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20FEC2" w14:textId="092556F3" w:rsidR="002168C2" w:rsidRPr="009D4CD4" w:rsidRDefault="00A11827">
      <w:pPr>
        <w:rPr>
          <w:rFonts w:asciiTheme="minorHAnsi" w:hAnsiTheme="minorHAnsi"/>
        </w:rPr>
      </w:pPr>
      <w:r w:rsidRPr="00822AC9">
        <w:rPr>
          <w:rFonts w:asciiTheme="minorHAnsi" w:hAnsiTheme="minorHAnsi"/>
        </w:rPr>
        <w:t xml:space="preserve"> </w:t>
      </w:r>
      <w:r w:rsidR="00822AC9" w:rsidRPr="009D4CD4">
        <w:rPr>
          <w:rFonts w:asciiTheme="minorHAnsi" w:hAnsiTheme="minorHAnsi"/>
        </w:rPr>
        <w:object w:dxaOrig="8999" w:dyaOrig="5101" w14:anchorId="1DA43F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4pt;height:44.4pt" o:ole="">
            <v:imagedata r:id="rId14" o:title=""/>
          </v:shape>
          <o:OLEObject Type="Embed" ProgID="MSPhotoEd.3" ShapeID="_x0000_i1025" DrawAspect="Content" ObjectID="_1707310729" r:id="rId15"/>
        </w:object>
      </w:r>
    </w:p>
    <w:p w14:paraId="3FDA305E" w14:textId="77777777" w:rsidR="002168C2" w:rsidRPr="009D4CD4" w:rsidRDefault="002168C2">
      <w:pPr>
        <w:rPr>
          <w:rFonts w:asciiTheme="minorHAnsi" w:hAnsiTheme="minorHAnsi"/>
        </w:rPr>
      </w:pPr>
    </w:p>
    <w:p w14:paraId="307E6276" w14:textId="77777777" w:rsidR="00BC4866" w:rsidRPr="009D4CD4" w:rsidRDefault="00BC4866" w:rsidP="004469DB">
      <w:pPr>
        <w:pBdr>
          <w:top w:val="single" w:sz="4" w:space="1" w:color="auto"/>
          <w:left w:val="single" w:sz="4" w:space="4" w:color="auto"/>
          <w:bottom w:val="single" w:sz="4" w:space="1" w:color="auto"/>
          <w:right w:val="single" w:sz="4" w:space="4" w:color="auto"/>
        </w:pBdr>
        <w:ind w:right="-2"/>
        <w:jc w:val="center"/>
        <w:rPr>
          <w:rFonts w:asciiTheme="minorHAnsi" w:hAnsiTheme="minorHAnsi"/>
        </w:rPr>
      </w:pPr>
    </w:p>
    <w:p w14:paraId="7B941A50" w14:textId="77777777" w:rsidR="00BC4866" w:rsidRPr="009D4CD4" w:rsidRDefault="00BC4866" w:rsidP="00822AC9">
      <w:pPr>
        <w:pBdr>
          <w:top w:val="single" w:sz="4" w:space="1" w:color="auto"/>
          <w:left w:val="single" w:sz="4" w:space="4" w:color="auto"/>
          <w:bottom w:val="single" w:sz="4" w:space="1" w:color="auto"/>
          <w:right w:val="single" w:sz="4" w:space="4" w:color="auto"/>
        </w:pBdr>
        <w:ind w:right="-2"/>
        <w:jc w:val="center"/>
        <w:rPr>
          <w:rFonts w:asciiTheme="minorHAnsi" w:hAnsiTheme="minorHAnsi"/>
        </w:rPr>
      </w:pPr>
    </w:p>
    <w:p w14:paraId="13DE8E33" w14:textId="77777777" w:rsidR="00484FF7" w:rsidRPr="009D4CD4" w:rsidRDefault="00822AC9" w:rsidP="00822AC9">
      <w:pPr>
        <w:pBdr>
          <w:top w:val="single" w:sz="4" w:space="1" w:color="auto"/>
          <w:left w:val="single" w:sz="4" w:space="4" w:color="auto"/>
          <w:bottom w:val="single" w:sz="4" w:space="1" w:color="auto"/>
          <w:right w:val="single" w:sz="4" w:space="4" w:color="auto"/>
        </w:pBdr>
        <w:ind w:right="-2"/>
        <w:jc w:val="center"/>
        <w:rPr>
          <w:rFonts w:asciiTheme="minorHAnsi" w:hAnsiTheme="minorHAnsi"/>
          <w:b/>
          <w:sz w:val="56"/>
          <w:szCs w:val="56"/>
        </w:rPr>
      </w:pPr>
      <w:r w:rsidRPr="009D4CD4">
        <w:rPr>
          <w:rFonts w:asciiTheme="minorHAnsi" w:hAnsiTheme="minorHAnsi"/>
          <w:b/>
          <w:sz w:val="56"/>
          <w:szCs w:val="56"/>
        </w:rPr>
        <w:t xml:space="preserve">Déclaration de performance </w:t>
      </w:r>
    </w:p>
    <w:p w14:paraId="7BC259E8" w14:textId="2CD57462" w:rsidR="00BC4866" w:rsidRPr="009D4CD4" w:rsidRDefault="00822AC9" w:rsidP="00822AC9">
      <w:pPr>
        <w:pBdr>
          <w:top w:val="single" w:sz="4" w:space="1" w:color="auto"/>
          <w:left w:val="single" w:sz="4" w:space="4" w:color="auto"/>
          <w:bottom w:val="single" w:sz="4" w:space="1" w:color="auto"/>
          <w:right w:val="single" w:sz="4" w:space="4" w:color="auto"/>
        </w:pBdr>
        <w:ind w:right="-2"/>
        <w:jc w:val="center"/>
        <w:rPr>
          <w:rFonts w:asciiTheme="minorHAnsi" w:hAnsiTheme="minorHAnsi"/>
          <w:b/>
          <w:sz w:val="56"/>
          <w:szCs w:val="56"/>
        </w:rPr>
      </w:pPr>
      <w:r w:rsidRPr="009D4CD4">
        <w:rPr>
          <w:rFonts w:asciiTheme="minorHAnsi" w:hAnsiTheme="minorHAnsi"/>
          <w:b/>
          <w:sz w:val="56"/>
          <w:szCs w:val="56"/>
        </w:rPr>
        <w:t>extra-financière 202</w:t>
      </w:r>
      <w:r w:rsidR="002E7CFF" w:rsidRPr="009D4CD4">
        <w:rPr>
          <w:rFonts w:asciiTheme="minorHAnsi" w:hAnsiTheme="minorHAnsi"/>
          <w:b/>
          <w:sz w:val="56"/>
          <w:szCs w:val="56"/>
        </w:rPr>
        <w:t>2</w:t>
      </w:r>
    </w:p>
    <w:p w14:paraId="6A001A61" w14:textId="21A736B1" w:rsidR="00CA5F33" w:rsidRPr="009D4CD4" w:rsidRDefault="00F45F32" w:rsidP="00822AC9">
      <w:pPr>
        <w:pBdr>
          <w:top w:val="single" w:sz="4" w:space="1" w:color="auto"/>
          <w:left w:val="single" w:sz="4" w:space="4" w:color="auto"/>
          <w:bottom w:val="single" w:sz="4" w:space="1" w:color="auto"/>
          <w:right w:val="single" w:sz="4" w:space="4" w:color="auto"/>
        </w:pBdr>
        <w:ind w:right="-2"/>
        <w:jc w:val="center"/>
        <w:rPr>
          <w:rFonts w:asciiTheme="minorHAnsi" w:hAnsiTheme="minorHAnsi"/>
          <w:sz w:val="44"/>
          <w:szCs w:val="44"/>
        </w:rPr>
      </w:pPr>
      <w:r w:rsidRPr="009D4CD4">
        <w:rPr>
          <w:rFonts w:asciiTheme="minorHAnsi" w:hAnsiTheme="minorHAnsi"/>
          <w:sz w:val="44"/>
          <w:szCs w:val="44"/>
        </w:rPr>
        <w:t xml:space="preserve">EXERCICE </w:t>
      </w:r>
      <w:r w:rsidR="002E7CFF" w:rsidRPr="009D4CD4">
        <w:rPr>
          <w:rFonts w:asciiTheme="minorHAnsi" w:hAnsiTheme="minorHAnsi"/>
          <w:sz w:val="44"/>
          <w:szCs w:val="44"/>
        </w:rPr>
        <w:t>2021</w:t>
      </w:r>
    </w:p>
    <w:p w14:paraId="2100FA3E" w14:textId="77777777" w:rsidR="00BC4866" w:rsidRPr="009D4CD4" w:rsidRDefault="00BC4866" w:rsidP="00CA5F33">
      <w:pPr>
        <w:pBdr>
          <w:top w:val="single" w:sz="4" w:space="1" w:color="auto"/>
          <w:left w:val="single" w:sz="4" w:space="4" w:color="auto"/>
          <w:bottom w:val="single" w:sz="4" w:space="1" w:color="auto"/>
          <w:right w:val="single" w:sz="4" w:space="4" w:color="auto"/>
        </w:pBdr>
        <w:ind w:right="-2"/>
        <w:rPr>
          <w:rFonts w:asciiTheme="minorHAnsi" w:hAnsiTheme="minorHAnsi"/>
        </w:rPr>
      </w:pPr>
    </w:p>
    <w:p w14:paraId="3D8CF1CB" w14:textId="77777777" w:rsidR="00BC4866" w:rsidRPr="009D4CD4" w:rsidRDefault="00BC4866" w:rsidP="004469DB">
      <w:pPr>
        <w:pBdr>
          <w:top w:val="single" w:sz="4" w:space="1" w:color="auto"/>
          <w:left w:val="single" w:sz="4" w:space="4" w:color="auto"/>
          <w:bottom w:val="single" w:sz="4" w:space="1" w:color="auto"/>
          <w:right w:val="single" w:sz="4" w:space="4" w:color="auto"/>
        </w:pBdr>
        <w:ind w:right="-2"/>
        <w:jc w:val="center"/>
        <w:rPr>
          <w:rFonts w:asciiTheme="minorHAnsi" w:hAnsiTheme="minorHAnsi"/>
        </w:rPr>
      </w:pPr>
    </w:p>
    <w:p w14:paraId="6324C758" w14:textId="77777777" w:rsidR="00BC4866" w:rsidRPr="009D4CD4" w:rsidRDefault="00BC4866" w:rsidP="004469DB">
      <w:pPr>
        <w:pBdr>
          <w:top w:val="single" w:sz="4" w:space="1" w:color="auto"/>
          <w:left w:val="single" w:sz="4" w:space="4" w:color="auto"/>
          <w:bottom w:val="single" w:sz="4" w:space="1" w:color="auto"/>
          <w:right w:val="single" w:sz="4" w:space="4" w:color="auto"/>
        </w:pBdr>
        <w:ind w:right="-2"/>
        <w:jc w:val="center"/>
        <w:rPr>
          <w:rFonts w:asciiTheme="minorHAnsi" w:hAnsiTheme="minorHAnsi"/>
        </w:rPr>
      </w:pPr>
    </w:p>
    <w:p w14:paraId="15006991" w14:textId="62BA901C" w:rsidR="00BC4866" w:rsidRPr="009D4CD4" w:rsidRDefault="00BC4866" w:rsidP="00C6032E">
      <w:pPr>
        <w:rPr>
          <w:b/>
          <w:sz w:val="28"/>
          <w:szCs w:val="28"/>
        </w:rPr>
      </w:pPr>
      <w:r w:rsidRPr="009D4CD4">
        <w:br w:type="page"/>
      </w:r>
      <w:r w:rsidRPr="009D4CD4">
        <w:rPr>
          <w:b/>
          <w:sz w:val="28"/>
          <w:szCs w:val="28"/>
        </w:rPr>
        <w:lastRenderedPageBreak/>
        <w:t>Table des matières</w:t>
      </w:r>
    </w:p>
    <w:p w14:paraId="2A375B90" w14:textId="79227823" w:rsidR="001800EB" w:rsidRPr="009D4CD4" w:rsidRDefault="001800EB" w:rsidP="00C6032E">
      <w:pPr>
        <w:rPr>
          <w:b/>
          <w:sz w:val="28"/>
          <w:szCs w:val="28"/>
        </w:rPr>
      </w:pPr>
    </w:p>
    <w:p w14:paraId="3A67C828" w14:textId="77777777" w:rsidR="001800EB" w:rsidRPr="009D4CD4" w:rsidRDefault="001800EB" w:rsidP="00C6032E">
      <w:pPr>
        <w:rPr>
          <w:b/>
          <w:sz w:val="28"/>
          <w:szCs w:val="28"/>
        </w:rPr>
      </w:pPr>
    </w:p>
    <w:sdt>
      <w:sdtPr>
        <w:rPr>
          <w:rFonts w:ascii="Calibri" w:hAnsi="Calibri"/>
          <w:b/>
          <w:bCs/>
          <w:color w:val="auto"/>
          <w:sz w:val="22"/>
          <w:szCs w:val="22"/>
        </w:rPr>
        <w:id w:val="910437859"/>
        <w:docPartObj>
          <w:docPartGallery w:val="Table of Contents"/>
          <w:docPartUnique/>
        </w:docPartObj>
      </w:sdtPr>
      <w:sdtEndPr>
        <w:rPr>
          <w:b w:val="0"/>
          <w:bCs w:val="0"/>
        </w:rPr>
      </w:sdtEndPr>
      <w:sdtContent>
        <w:p w14:paraId="4BDE970C" w14:textId="77777777" w:rsidR="00706F97" w:rsidRPr="009D4CD4" w:rsidRDefault="00706F97" w:rsidP="00AE29B8">
          <w:pPr>
            <w:pStyle w:val="CAA-N"/>
          </w:pPr>
        </w:p>
        <w:bookmarkStart w:id="0" w:name="_GoBack"/>
        <w:bookmarkEnd w:id="0"/>
        <w:p w14:paraId="2D86AD5A" w14:textId="536FDE14" w:rsidR="00E80406" w:rsidRDefault="001800EB">
          <w:pPr>
            <w:pStyle w:val="TM1"/>
            <w:rPr>
              <w:rFonts w:asciiTheme="minorHAnsi" w:eastAsiaTheme="minorEastAsia" w:hAnsiTheme="minorHAnsi" w:cstheme="minorBidi"/>
              <w:noProof/>
              <w:sz w:val="22"/>
              <w:lang w:eastAsia="fr-FR"/>
            </w:rPr>
          </w:pPr>
          <w:r w:rsidRPr="009D4CD4">
            <w:fldChar w:fldCharType="begin"/>
          </w:r>
          <w:r w:rsidRPr="009D4CD4">
            <w:instrText xml:space="preserve"> TOC \o "1-5" \h \z \u </w:instrText>
          </w:r>
          <w:r w:rsidRPr="009D4CD4">
            <w:fldChar w:fldCharType="separate"/>
          </w:r>
          <w:hyperlink w:anchor="_Toc96697956" w:history="1">
            <w:r w:rsidR="00E80406" w:rsidRPr="007864E8">
              <w:rPr>
                <w:rStyle w:val="Lienhypertexte"/>
                <w:noProof/>
              </w:rPr>
              <w:t>1</w:t>
            </w:r>
            <w:r w:rsidR="00E80406">
              <w:rPr>
                <w:rFonts w:asciiTheme="minorHAnsi" w:eastAsiaTheme="minorEastAsia" w:hAnsiTheme="minorHAnsi" w:cstheme="minorBidi"/>
                <w:noProof/>
                <w:sz w:val="22"/>
                <w:lang w:eastAsia="fr-FR"/>
              </w:rPr>
              <w:tab/>
            </w:r>
            <w:r w:rsidR="00E80406" w:rsidRPr="007864E8">
              <w:rPr>
                <w:rStyle w:val="Lienhypertexte"/>
                <w:noProof/>
              </w:rPr>
              <w:t>Le modèle d’affaires</w:t>
            </w:r>
            <w:r w:rsidR="00E80406">
              <w:rPr>
                <w:noProof/>
                <w:webHidden/>
              </w:rPr>
              <w:tab/>
            </w:r>
            <w:r w:rsidR="00E80406">
              <w:rPr>
                <w:noProof/>
                <w:webHidden/>
              </w:rPr>
              <w:fldChar w:fldCharType="begin"/>
            </w:r>
            <w:r w:rsidR="00E80406">
              <w:rPr>
                <w:noProof/>
                <w:webHidden/>
              </w:rPr>
              <w:instrText xml:space="preserve"> PAGEREF _Toc96697956 \h </w:instrText>
            </w:r>
            <w:r w:rsidR="00E80406">
              <w:rPr>
                <w:noProof/>
                <w:webHidden/>
              </w:rPr>
            </w:r>
            <w:r w:rsidR="00E80406">
              <w:rPr>
                <w:noProof/>
                <w:webHidden/>
              </w:rPr>
              <w:fldChar w:fldCharType="separate"/>
            </w:r>
            <w:r w:rsidR="00E80406">
              <w:rPr>
                <w:noProof/>
                <w:webHidden/>
              </w:rPr>
              <w:t>5</w:t>
            </w:r>
            <w:r w:rsidR="00E80406">
              <w:rPr>
                <w:noProof/>
                <w:webHidden/>
              </w:rPr>
              <w:fldChar w:fldCharType="end"/>
            </w:r>
          </w:hyperlink>
        </w:p>
        <w:p w14:paraId="22B51862" w14:textId="3EDFE9FF" w:rsidR="00E80406" w:rsidRDefault="00E80406">
          <w:pPr>
            <w:pStyle w:val="TM1"/>
            <w:rPr>
              <w:rFonts w:asciiTheme="minorHAnsi" w:eastAsiaTheme="minorEastAsia" w:hAnsiTheme="minorHAnsi" w:cstheme="minorBidi"/>
              <w:noProof/>
              <w:sz w:val="22"/>
              <w:lang w:eastAsia="fr-FR"/>
            </w:rPr>
          </w:pPr>
          <w:hyperlink w:anchor="_Toc96697957" w:history="1">
            <w:r w:rsidRPr="007864E8">
              <w:rPr>
                <w:rStyle w:val="Lienhypertexte"/>
                <w:noProof/>
              </w:rPr>
              <w:t>2</w:t>
            </w:r>
            <w:r>
              <w:rPr>
                <w:rFonts w:asciiTheme="minorHAnsi" w:eastAsiaTheme="minorEastAsia" w:hAnsiTheme="minorHAnsi" w:cstheme="minorBidi"/>
                <w:noProof/>
                <w:sz w:val="22"/>
                <w:lang w:eastAsia="fr-FR"/>
              </w:rPr>
              <w:tab/>
            </w:r>
            <w:r w:rsidRPr="007864E8">
              <w:rPr>
                <w:rStyle w:val="Lienhypertexte"/>
                <w:noProof/>
              </w:rPr>
              <w:t>Le pilotage de la démarche de Responsabilité Sociétale et Environnementale (RSE)</w:t>
            </w:r>
            <w:r>
              <w:rPr>
                <w:noProof/>
                <w:webHidden/>
              </w:rPr>
              <w:tab/>
            </w:r>
            <w:r>
              <w:rPr>
                <w:noProof/>
                <w:webHidden/>
              </w:rPr>
              <w:fldChar w:fldCharType="begin"/>
            </w:r>
            <w:r>
              <w:rPr>
                <w:noProof/>
                <w:webHidden/>
              </w:rPr>
              <w:instrText xml:space="preserve"> PAGEREF _Toc96697957 \h </w:instrText>
            </w:r>
            <w:r>
              <w:rPr>
                <w:noProof/>
                <w:webHidden/>
              </w:rPr>
            </w:r>
            <w:r>
              <w:rPr>
                <w:noProof/>
                <w:webHidden/>
              </w:rPr>
              <w:fldChar w:fldCharType="separate"/>
            </w:r>
            <w:r>
              <w:rPr>
                <w:noProof/>
                <w:webHidden/>
              </w:rPr>
              <w:t>9</w:t>
            </w:r>
            <w:r>
              <w:rPr>
                <w:noProof/>
                <w:webHidden/>
              </w:rPr>
              <w:fldChar w:fldCharType="end"/>
            </w:r>
          </w:hyperlink>
        </w:p>
        <w:p w14:paraId="18753468" w14:textId="23DD60AE" w:rsidR="00E80406" w:rsidRDefault="00E80406">
          <w:pPr>
            <w:pStyle w:val="TM1"/>
            <w:rPr>
              <w:rFonts w:asciiTheme="minorHAnsi" w:eastAsiaTheme="minorEastAsia" w:hAnsiTheme="minorHAnsi" w:cstheme="minorBidi"/>
              <w:noProof/>
              <w:sz w:val="22"/>
              <w:lang w:eastAsia="fr-FR"/>
            </w:rPr>
          </w:pPr>
          <w:hyperlink w:anchor="_Toc96697958" w:history="1">
            <w:r w:rsidRPr="007864E8">
              <w:rPr>
                <w:rStyle w:val="Lienhypertexte"/>
                <w:noProof/>
              </w:rPr>
              <w:t>3</w:t>
            </w:r>
            <w:r>
              <w:rPr>
                <w:rFonts w:asciiTheme="minorHAnsi" w:eastAsiaTheme="minorEastAsia" w:hAnsiTheme="minorHAnsi" w:cstheme="minorBidi"/>
                <w:noProof/>
                <w:sz w:val="22"/>
                <w:lang w:eastAsia="fr-FR"/>
              </w:rPr>
              <w:tab/>
            </w:r>
            <w:r w:rsidRPr="007864E8">
              <w:rPr>
                <w:rStyle w:val="Lienhypertexte"/>
                <w:noProof/>
              </w:rPr>
              <w:t>Les enjeux–clé de responsabilité sociétale et environnementale du CANMP</w:t>
            </w:r>
            <w:r>
              <w:rPr>
                <w:noProof/>
                <w:webHidden/>
              </w:rPr>
              <w:tab/>
            </w:r>
            <w:r>
              <w:rPr>
                <w:noProof/>
                <w:webHidden/>
              </w:rPr>
              <w:fldChar w:fldCharType="begin"/>
            </w:r>
            <w:r>
              <w:rPr>
                <w:noProof/>
                <w:webHidden/>
              </w:rPr>
              <w:instrText xml:space="preserve"> PAGEREF _Toc96697958 \h </w:instrText>
            </w:r>
            <w:r>
              <w:rPr>
                <w:noProof/>
                <w:webHidden/>
              </w:rPr>
            </w:r>
            <w:r>
              <w:rPr>
                <w:noProof/>
                <w:webHidden/>
              </w:rPr>
              <w:fldChar w:fldCharType="separate"/>
            </w:r>
            <w:r>
              <w:rPr>
                <w:noProof/>
                <w:webHidden/>
              </w:rPr>
              <w:t>10</w:t>
            </w:r>
            <w:r>
              <w:rPr>
                <w:noProof/>
                <w:webHidden/>
              </w:rPr>
              <w:fldChar w:fldCharType="end"/>
            </w:r>
          </w:hyperlink>
        </w:p>
        <w:p w14:paraId="63683439" w14:textId="6A0AA497" w:rsidR="00E80406" w:rsidRDefault="00E80406">
          <w:pPr>
            <w:pStyle w:val="TM2"/>
            <w:rPr>
              <w:rFonts w:asciiTheme="minorHAnsi" w:eastAsiaTheme="minorEastAsia" w:hAnsiTheme="minorHAnsi" w:cstheme="minorBidi"/>
              <w:noProof/>
              <w:lang w:eastAsia="fr-FR"/>
            </w:rPr>
          </w:pPr>
          <w:hyperlink w:anchor="_Toc96697959" w:history="1">
            <w:r w:rsidRPr="007864E8">
              <w:rPr>
                <w:rStyle w:val="Lienhypertexte"/>
                <w:noProof/>
              </w:rPr>
              <w:t>3.1</w:t>
            </w:r>
            <w:r>
              <w:rPr>
                <w:rFonts w:asciiTheme="minorHAnsi" w:eastAsiaTheme="minorEastAsia" w:hAnsiTheme="minorHAnsi" w:cstheme="minorBidi"/>
                <w:noProof/>
                <w:lang w:eastAsia="fr-FR"/>
              </w:rPr>
              <w:tab/>
            </w:r>
            <w:r w:rsidRPr="007864E8">
              <w:rPr>
                <w:rStyle w:val="Lienhypertexte"/>
                <w:noProof/>
              </w:rPr>
              <w:t>Agir avec éthique</w:t>
            </w:r>
            <w:r>
              <w:rPr>
                <w:noProof/>
                <w:webHidden/>
              </w:rPr>
              <w:tab/>
            </w:r>
            <w:r>
              <w:rPr>
                <w:noProof/>
                <w:webHidden/>
              </w:rPr>
              <w:fldChar w:fldCharType="begin"/>
            </w:r>
            <w:r>
              <w:rPr>
                <w:noProof/>
                <w:webHidden/>
              </w:rPr>
              <w:instrText xml:space="preserve"> PAGEREF _Toc96697959 \h </w:instrText>
            </w:r>
            <w:r>
              <w:rPr>
                <w:noProof/>
                <w:webHidden/>
              </w:rPr>
            </w:r>
            <w:r>
              <w:rPr>
                <w:noProof/>
                <w:webHidden/>
              </w:rPr>
              <w:fldChar w:fldCharType="separate"/>
            </w:r>
            <w:r>
              <w:rPr>
                <w:noProof/>
                <w:webHidden/>
              </w:rPr>
              <w:t>10</w:t>
            </w:r>
            <w:r>
              <w:rPr>
                <w:noProof/>
                <w:webHidden/>
              </w:rPr>
              <w:fldChar w:fldCharType="end"/>
            </w:r>
          </w:hyperlink>
        </w:p>
        <w:p w14:paraId="2FA8629F" w14:textId="6BC55E2D"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60" w:history="1">
            <w:r w:rsidRPr="007864E8">
              <w:rPr>
                <w:rStyle w:val="Lienhypertexte"/>
                <w:noProof/>
              </w:rPr>
              <w:t>3.1.1</w:t>
            </w:r>
            <w:r>
              <w:rPr>
                <w:rFonts w:asciiTheme="minorHAnsi" w:eastAsiaTheme="minorEastAsia" w:hAnsiTheme="minorHAnsi" w:cstheme="minorBidi"/>
                <w:noProof/>
                <w:sz w:val="22"/>
                <w:lang w:eastAsia="fr-FR"/>
              </w:rPr>
              <w:tab/>
            </w:r>
            <w:r w:rsidRPr="007864E8">
              <w:rPr>
                <w:rStyle w:val="Lienhypertexte"/>
                <w:noProof/>
              </w:rPr>
              <w:t>Renforcer les pratiques éthiques dans tous les métiers, entités et fonctions</w:t>
            </w:r>
            <w:r>
              <w:rPr>
                <w:noProof/>
                <w:webHidden/>
              </w:rPr>
              <w:tab/>
            </w:r>
            <w:r>
              <w:rPr>
                <w:noProof/>
                <w:webHidden/>
              </w:rPr>
              <w:fldChar w:fldCharType="begin"/>
            </w:r>
            <w:r>
              <w:rPr>
                <w:noProof/>
                <w:webHidden/>
              </w:rPr>
              <w:instrText xml:space="preserve"> PAGEREF _Toc96697960 \h </w:instrText>
            </w:r>
            <w:r>
              <w:rPr>
                <w:noProof/>
                <w:webHidden/>
              </w:rPr>
            </w:r>
            <w:r>
              <w:rPr>
                <w:noProof/>
                <w:webHidden/>
              </w:rPr>
              <w:fldChar w:fldCharType="separate"/>
            </w:r>
            <w:r>
              <w:rPr>
                <w:noProof/>
                <w:webHidden/>
              </w:rPr>
              <w:t>10</w:t>
            </w:r>
            <w:r>
              <w:rPr>
                <w:noProof/>
                <w:webHidden/>
              </w:rPr>
              <w:fldChar w:fldCharType="end"/>
            </w:r>
          </w:hyperlink>
        </w:p>
        <w:p w14:paraId="69DC4786" w14:textId="1E9E782F" w:rsidR="00E80406" w:rsidRDefault="00E80406">
          <w:pPr>
            <w:pStyle w:val="TM4"/>
            <w:rPr>
              <w:rFonts w:asciiTheme="minorHAnsi" w:eastAsiaTheme="minorEastAsia" w:hAnsiTheme="minorHAnsi" w:cstheme="minorBidi"/>
              <w:noProof/>
            </w:rPr>
          </w:pPr>
          <w:hyperlink w:anchor="_Toc96697961" w:history="1">
            <w:r w:rsidRPr="007864E8">
              <w:rPr>
                <w:rStyle w:val="Lienhypertexte"/>
                <w:noProof/>
              </w:rPr>
              <w:t>3.1.1.1</w:t>
            </w:r>
            <w:r>
              <w:rPr>
                <w:rFonts w:asciiTheme="minorHAnsi" w:eastAsiaTheme="minorEastAsia" w:hAnsiTheme="minorHAnsi" w:cstheme="minorBidi"/>
                <w:noProof/>
              </w:rPr>
              <w:tab/>
            </w:r>
            <w:r w:rsidRPr="007864E8">
              <w:rPr>
                <w:rStyle w:val="Lienhypertexte"/>
                <w:noProof/>
              </w:rPr>
              <w:t>L’éthique dans le conseil et le projet 100%Client</w:t>
            </w:r>
            <w:r>
              <w:rPr>
                <w:noProof/>
                <w:webHidden/>
              </w:rPr>
              <w:tab/>
            </w:r>
            <w:r>
              <w:rPr>
                <w:noProof/>
                <w:webHidden/>
              </w:rPr>
              <w:fldChar w:fldCharType="begin"/>
            </w:r>
            <w:r>
              <w:rPr>
                <w:noProof/>
                <w:webHidden/>
              </w:rPr>
              <w:instrText xml:space="preserve"> PAGEREF _Toc96697961 \h </w:instrText>
            </w:r>
            <w:r>
              <w:rPr>
                <w:noProof/>
                <w:webHidden/>
              </w:rPr>
            </w:r>
            <w:r>
              <w:rPr>
                <w:noProof/>
                <w:webHidden/>
              </w:rPr>
              <w:fldChar w:fldCharType="separate"/>
            </w:r>
            <w:r>
              <w:rPr>
                <w:noProof/>
                <w:webHidden/>
              </w:rPr>
              <w:t>10</w:t>
            </w:r>
            <w:r>
              <w:rPr>
                <w:noProof/>
                <w:webHidden/>
              </w:rPr>
              <w:fldChar w:fldCharType="end"/>
            </w:r>
          </w:hyperlink>
        </w:p>
        <w:p w14:paraId="42B0D0BF" w14:textId="1EC151DF" w:rsidR="00E80406" w:rsidRDefault="00E80406">
          <w:pPr>
            <w:pStyle w:val="TM4"/>
            <w:rPr>
              <w:rFonts w:asciiTheme="minorHAnsi" w:eastAsiaTheme="minorEastAsia" w:hAnsiTheme="minorHAnsi" w:cstheme="minorBidi"/>
              <w:noProof/>
            </w:rPr>
          </w:pPr>
          <w:hyperlink w:anchor="_Toc96697962" w:history="1">
            <w:r w:rsidRPr="007864E8">
              <w:rPr>
                <w:rStyle w:val="Lienhypertexte"/>
                <w:noProof/>
              </w:rPr>
              <w:t>3.1.1.2</w:t>
            </w:r>
            <w:r>
              <w:rPr>
                <w:rFonts w:asciiTheme="minorHAnsi" w:eastAsiaTheme="minorEastAsia" w:hAnsiTheme="minorHAnsi" w:cstheme="minorBidi"/>
                <w:noProof/>
              </w:rPr>
              <w:tab/>
            </w:r>
            <w:r w:rsidRPr="007864E8">
              <w:rPr>
                <w:rStyle w:val="Lienhypertexte"/>
                <w:noProof/>
              </w:rPr>
              <w:t>La déontologie et l’éthique</w:t>
            </w:r>
            <w:r>
              <w:rPr>
                <w:noProof/>
                <w:webHidden/>
              </w:rPr>
              <w:tab/>
            </w:r>
            <w:r>
              <w:rPr>
                <w:noProof/>
                <w:webHidden/>
              </w:rPr>
              <w:fldChar w:fldCharType="begin"/>
            </w:r>
            <w:r>
              <w:rPr>
                <w:noProof/>
                <w:webHidden/>
              </w:rPr>
              <w:instrText xml:space="preserve"> PAGEREF _Toc96697962 \h </w:instrText>
            </w:r>
            <w:r>
              <w:rPr>
                <w:noProof/>
                <w:webHidden/>
              </w:rPr>
            </w:r>
            <w:r>
              <w:rPr>
                <w:noProof/>
                <w:webHidden/>
              </w:rPr>
              <w:fldChar w:fldCharType="separate"/>
            </w:r>
            <w:r>
              <w:rPr>
                <w:noProof/>
                <w:webHidden/>
              </w:rPr>
              <w:t>11</w:t>
            </w:r>
            <w:r>
              <w:rPr>
                <w:noProof/>
                <w:webHidden/>
              </w:rPr>
              <w:fldChar w:fldCharType="end"/>
            </w:r>
          </w:hyperlink>
        </w:p>
        <w:p w14:paraId="14450CE6" w14:textId="79E36C54" w:rsidR="00E80406" w:rsidRDefault="00E80406">
          <w:pPr>
            <w:pStyle w:val="TM4"/>
            <w:rPr>
              <w:rFonts w:asciiTheme="minorHAnsi" w:eastAsiaTheme="minorEastAsia" w:hAnsiTheme="minorHAnsi" w:cstheme="minorBidi"/>
              <w:noProof/>
            </w:rPr>
          </w:pPr>
          <w:hyperlink w:anchor="_Toc96697963" w:history="1">
            <w:r w:rsidRPr="007864E8">
              <w:rPr>
                <w:rStyle w:val="Lienhypertexte"/>
                <w:noProof/>
              </w:rPr>
              <w:t>3.1.1.3</w:t>
            </w:r>
            <w:r>
              <w:rPr>
                <w:rFonts w:asciiTheme="minorHAnsi" w:eastAsiaTheme="minorEastAsia" w:hAnsiTheme="minorHAnsi" w:cstheme="minorBidi"/>
                <w:noProof/>
              </w:rPr>
              <w:tab/>
            </w:r>
            <w:r w:rsidRPr="007864E8">
              <w:rPr>
                <w:rStyle w:val="Lienhypertexte"/>
                <w:noProof/>
              </w:rPr>
              <w:t>La protection des clients investisseurs</w:t>
            </w:r>
            <w:r>
              <w:rPr>
                <w:noProof/>
                <w:webHidden/>
              </w:rPr>
              <w:tab/>
            </w:r>
            <w:r>
              <w:rPr>
                <w:noProof/>
                <w:webHidden/>
              </w:rPr>
              <w:fldChar w:fldCharType="begin"/>
            </w:r>
            <w:r>
              <w:rPr>
                <w:noProof/>
                <w:webHidden/>
              </w:rPr>
              <w:instrText xml:space="preserve"> PAGEREF _Toc96697963 \h </w:instrText>
            </w:r>
            <w:r>
              <w:rPr>
                <w:noProof/>
                <w:webHidden/>
              </w:rPr>
            </w:r>
            <w:r>
              <w:rPr>
                <w:noProof/>
                <w:webHidden/>
              </w:rPr>
              <w:fldChar w:fldCharType="separate"/>
            </w:r>
            <w:r>
              <w:rPr>
                <w:noProof/>
                <w:webHidden/>
              </w:rPr>
              <w:t>13</w:t>
            </w:r>
            <w:r>
              <w:rPr>
                <w:noProof/>
                <w:webHidden/>
              </w:rPr>
              <w:fldChar w:fldCharType="end"/>
            </w:r>
          </w:hyperlink>
        </w:p>
        <w:p w14:paraId="380CA168" w14:textId="5F05EAF1" w:rsidR="00E80406" w:rsidRDefault="00E80406">
          <w:pPr>
            <w:pStyle w:val="TM4"/>
            <w:rPr>
              <w:rFonts w:asciiTheme="minorHAnsi" w:eastAsiaTheme="minorEastAsia" w:hAnsiTheme="minorHAnsi" w:cstheme="minorBidi"/>
              <w:noProof/>
            </w:rPr>
          </w:pPr>
          <w:hyperlink w:anchor="_Toc96697964" w:history="1">
            <w:r w:rsidRPr="007864E8">
              <w:rPr>
                <w:rStyle w:val="Lienhypertexte"/>
                <w:noProof/>
              </w:rPr>
              <w:t>3.1.1.4</w:t>
            </w:r>
            <w:r>
              <w:rPr>
                <w:rFonts w:asciiTheme="minorHAnsi" w:eastAsiaTheme="minorEastAsia" w:hAnsiTheme="minorHAnsi" w:cstheme="minorBidi"/>
                <w:noProof/>
              </w:rPr>
              <w:tab/>
            </w:r>
            <w:r w:rsidRPr="007864E8">
              <w:rPr>
                <w:rStyle w:val="Lienhypertexte"/>
                <w:noProof/>
              </w:rPr>
              <w:t>Le dispositif de conformité et la formation</w:t>
            </w:r>
            <w:r>
              <w:rPr>
                <w:noProof/>
                <w:webHidden/>
              </w:rPr>
              <w:tab/>
            </w:r>
            <w:r>
              <w:rPr>
                <w:noProof/>
                <w:webHidden/>
              </w:rPr>
              <w:fldChar w:fldCharType="begin"/>
            </w:r>
            <w:r>
              <w:rPr>
                <w:noProof/>
                <w:webHidden/>
              </w:rPr>
              <w:instrText xml:space="preserve"> PAGEREF _Toc96697964 \h </w:instrText>
            </w:r>
            <w:r>
              <w:rPr>
                <w:noProof/>
                <w:webHidden/>
              </w:rPr>
            </w:r>
            <w:r>
              <w:rPr>
                <w:noProof/>
                <w:webHidden/>
              </w:rPr>
              <w:fldChar w:fldCharType="separate"/>
            </w:r>
            <w:r>
              <w:rPr>
                <w:noProof/>
                <w:webHidden/>
              </w:rPr>
              <w:t>13</w:t>
            </w:r>
            <w:r>
              <w:rPr>
                <w:noProof/>
                <w:webHidden/>
              </w:rPr>
              <w:fldChar w:fldCharType="end"/>
            </w:r>
          </w:hyperlink>
        </w:p>
        <w:p w14:paraId="5798E20E" w14:textId="76F6A146" w:rsidR="00E80406" w:rsidRDefault="00E80406">
          <w:pPr>
            <w:pStyle w:val="TM4"/>
            <w:rPr>
              <w:rFonts w:asciiTheme="minorHAnsi" w:eastAsiaTheme="minorEastAsia" w:hAnsiTheme="minorHAnsi" w:cstheme="minorBidi"/>
              <w:noProof/>
            </w:rPr>
          </w:pPr>
          <w:hyperlink w:anchor="_Toc96697965" w:history="1">
            <w:r w:rsidRPr="007864E8">
              <w:rPr>
                <w:rStyle w:val="Lienhypertexte"/>
                <w:noProof/>
              </w:rPr>
              <w:t>3.1.1.5</w:t>
            </w:r>
            <w:r>
              <w:rPr>
                <w:rFonts w:asciiTheme="minorHAnsi" w:eastAsiaTheme="minorEastAsia" w:hAnsiTheme="minorHAnsi" w:cstheme="minorBidi"/>
                <w:noProof/>
              </w:rPr>
              <w:tab/>
            </w:r>
            <w:r w:rsidRPr="007864E8">
              <w:rPr>
                <w:rStyle w:val="Lienhypertexte"/>
                <w:noProof/>
              </w:rPr>
              <w:t>La lutte anti-blanchiment et anti-corruption</w:t>
            </w:r>
            <w:r>
              <w:rPr>
                <w:noProof/>
                <w:webHidden/>
              </w:rPr>
              <w:tab/>
            </w:r>
            <w:r>
              <w:rPr>
                <w:noProof/>
                <w:webHidden/>
              </w:rPr>
              <w:fldChar w:fldCharType="begin"/>
            </w:r>
            <w:r>
              <w:rPr>
                <w:noProof/>
                <w:webHidden/>
              </w:rPr>
              <w:instrText xml:space="preserve"> PAGEREF _Toc96697965 \h </w:instrText>
            </w:r>
            <w:r>
              <w:rPr>
                <w:noProof/>
                <w:webHidden/>
              </w:rPr>
            </w:r>
            <w:r>
              <w:rPr>
                <w:noProof/>
                <w:webHidden/>
              </w:rPr>
              <w:fldChar w:fldCharType="separate"/>
            </w:r>
            <w:r>
              <w:rPr>
                <w:noProof/>
                <w:webHidden/>
              </w:rPr>
              <w:t>14</w:t>
            </w:r>
            <w:r>
              <w:rPr>
                <w:noProof/>
                <w:webHidden/>
              </w:rPr>
              <w:fldChar w:fldCharType="end"/>
            </w:r>
          </w:hyperlink>
        </w:p>
        <w:p w14:paraId="1F2513AC" w14:textId="13CFECFD" w:rsidR="00E80406" w:rsidRDefault="00E80406">
          <w:pPr>
            <w:pStyle w:val="TM4"/>
            <w:rPr>
              <w:rFonts w:asciiTheme="minorHAnsi" w:eastAsiaTheme="minorEastAsia" w:hAnsiTheme="minorHAnsi" w:cstheme="minorBidi"/>
              <w:noProof/>
            </w:rPr>
          </w:pPr>
          <w:hyperlink w:anchor="_Toc96697966" w:history="1">
            <w:r w:rsidRPr="007864E8">
              <w:rPr>
                <w:rStyle w:val="Lienhypertexte"/>
                <w:rFonts w:eastAsiaTheme="minorHAnsi"/>
                <w:noProof/>
              </w:rPr>
              <w:t>3.1.1.6</w:t>
            </w:r>
            <w:r>
              <w:rPr>
                <w:rFonts w:asciiTheme="minorHAnsi" w:eastAsiaTheme="minorEastAsia" w:hAnsiTheme="minorHAnsi" w:cstheme="minorBidi"/>
                <w:noProof/>
              </w:rPr>
              <w:tab/>
            </w:r>
            <w:r w:rsidRPr="007864E8">
              <w:rPr>
                <w:rStyle w:val="Lienhypertexte"/>
                <w:noProof/>
              </w:rPr>
              <w:t>La protection des clients et de leurs données</w:t>
            </w:r>
            <w:r>
              <w:rPr>
                <w:noProof/>
                <w:webHidden/>
              </w:rPr>
              <w:tab/>
            </w:r>
            <w:r>
              <w:rPr>
                <w:noProof/>
                <w:webHidden/>
              </w:rPr>
              <w:fldChar w:fldCharType="begin"/>
            </w:r>
            <w:r>
              <w:rPr>
                <w:noProof/>
                <w:webHidden/>
              </w:rPr>
              <w:instrText xml:space="preserve"> PAGEREF _Toc96697966 \h </w:instrText>
            </w:r>
            <w:r>
              <w:rPr>
                <w:noProof/>
                <w:webHidden/>
              </w:rPr>
            </w:r>
            <w:r>
              <w:rPr>
                <w:noProof/>
                <w:webHidden/>
              </w:rPr>
              <w:fldChar w:fldCharType="separate"/>
            </w:r>
            <w:r>
              <w:rPr>
                <w:noProof/>
                <w:webHidden/>
              </w:rPr>
              <w:t>15</w:t>
            </w:r>
            <w:r>
              <w:rPr>
                <w:noProof/>
                <w:webHidden/>
              </w:rPr>
              <w:fldChar w:fldCharType="end"/>
            </w:r>
          </w:hyperlink>
        </w:p>
        <w:p w14:paraId="6C706621" w14:textId="762B6A4C" w:rsidR="00E80406" w:rsidRDefault="00E80406">
          <w:pPr>
            <w:pStyle w:val="TM4"/>
            <w:rPr>
              <w:rFonts w:asciiTheme="minorHAnsi" w:eastAsiaTheme="minorEastAsia" w:hAnsiTheme="minorHAnsi" w:cstheme="minorBidi"/>
              <w:noProof/>
            </w:rPr>
          </w:pPr>
          <w:hyperlink w:anchor="_Toc96697967" w:history="1">
            <w:r w:rsidRPr="007864E8">
              <w:rPr>
                <w:rStyle w:val="Lienhypertexte"/>
                <w:noProof/>
              </w:rPr>
              <w:t>3.1.1.7</w:t>
            </w:r>
            <w:r>
              <w:rPr>
                <w:rFonts w:asciiTheme="minorHAnsi" w:eastAsiaTheme="minorEastAsia" w:hAnsiTheme="minorHAnsi" w:cstheme="minorBidi"/>
                <w:noProof/>
              </w:rPr>
              <w:tab/>
            </w:r>
            <w:r w:rsidRPr="007864E8">
              <w:rPr>
                <w:rStyle w:val="Lienhypertexte"/>
                <w:noProof/>
              </w:rPr>
              <w:t>Le lancement de nouveaux produits et activités</w:t>
            </w:r>
            <w:r>
              <w:rPr>
                <w:noProof/>
                <w:webHidden/>
              </w:rPr>
              <w:tab/>
            </w:r>
            <w:r>
              <w:rPr>
                <w:noProof/>
                <w:webHidden/>
              </w:rPr>
              <w:fldChar w:fldCharType="begin"/>
            </w:r>
            <w:r>
              <w:rPr>
                <w:noProof/>
                <w:webHidden/>
              </w:rPr>
              <w:instrText xml:space="preserve"> PAGEREF _Toc96697967 \h </w:instrText>
            </w:r>
            <w:r>
              <w:rPr>
                <w:noProof/>
                <w:webHidden/>
              </w:rPr>
            </w:r>
            <w:r>
              <w:rPr>
                <w:noProof/>
                <w:webHidden/>
              </w:rPr>
              <w:fldChar w:fldCharType="separate"/>
            </w:r>
            <w:r>
              <w:rPr>
                <w:noProof/>
                <w:webHidden/>
              </w:rPr>
              <w:t>17</w:t>
            </w:r>
            <w:r>
              <w:rPr>
                <w:noProof/>
                <w:webHidden/>
              </w:rPr>
              <w:fldChar w:fldCharType="end"/>
            </w:r>
          </w:hyperlink>
        </w:p>
        <w:p w14:paraId="2F0AE61E" w14:textId="26144C29" w:rsidR="00E80406" w:rsidRDefault="00E80406">
          <w:pPr>
            <w:pStyle w:val="TM4"/>
            <w:rPr>
              <w:rFonts w:asciiTheme="minorHAnsi" w:eastAsiaTheme="minorEastAsia" w:hAnsiTheme="minorHAnsi" w:cstheme="minorBidi"/>
              <w:noProof/>
            </w:rPr>
          </w:pPr>
          <w:hyperlink w:anchor="_Toc96697968" w:history="1">
            <w:r w:rsidRPr="007864E8">
              <w:rPr>
                <w:rStyle w:val="Lienhypertexte"/>
                <w:noProof/>
              </w:rPr>
              <w:t>3.1.1.8</w:t>
            </w:r>
            <w:r>
              <w:rPr>
                <w:rFonts w:asciiTheme="minorHAnsi" w:eastAsiaTheme="minorEastAsia" w:hAnsiTheme="minorHAnsi" w:cstheme="minorBidi"/>
                <w:noProof/>
              </w:rPr>
              <w:tab/>
            </w:r>
            <w:r w:rsidRPr="007864E8">
              <w:rPr>
                <w:rStyle w:val="Lienhypertexte"/>
                <w:noProof/>
              </w:rPr>
              <w:t>La lutte contre l’évasion fiscale</w:t>
            </w:r>
            <w:r>
              <w:rPr>
                <w:noProof/>
                <w:webHidden/>
              </w:rPr>
              <w:tab/>
            </w:r>
            <w:r>
              <w:rPr>
                <w:noProof/>
                <w:webHidden/>
              </w:rPr>
              <w:fldChar w:fldCharType="begin"/>
            </w:r>
            <w:r>
              <w:rPr>
                <w:noProof/>
                <w:webHidden/>
              </w:rPr>
              <w:instrText xml:space="preserve"> PAGEREF _Toc96697968 \h </w:instrText>
            </w:r>
            <w:r>
              <w:rPr>
                <w:noProof/>
                <w:webHidden/>
              </w:rPr>
            </w:r>
            <w:r>
              <w:rPr>
                <w:noProof/>
                <w:webHidden/>
              </w:rPr>
              <w:fldChar w:fldCharType="separate"/>
            </w:r>
            <w:r>
              <w:rPr>
                <w:noProof/>
                <w:webHidden/>
              </w:rPr>
              <w:t>17</w:t>
            </w:r>
            <w:r>
              <w:rPr>
                <w:noProof/>
                <w:webHidden/>
              </w:rPr>
              <w:fldChar w:fldCharType="end"/>
            </w:r>
          </w:hyperlink>
        </w:p>
        <w:p w14:paraId="502AD68D" w14:textId="5D6A46BB"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69" w:history="1">
            <w:r w:rsidRPr="007864E8">
              <w:rPr>
                <w:rStyle w:val="Lienhypertexte"/>
                <w:noProof/>
              </w:rPr>
              <w:t>3.1.2</w:t>
            </w:r>
            <w:r>
              <w:rPr>
                <w:rFonts w:asciiTheme="minorHAnsi" w:eastAsiaTheme="minorEastAsia" w:hAnsiTheme="minorHAnsi" w:cstheme="minorBidi"/>
                <w:noProof/>
                <w:sz w:val="22"/>
                <w:lang w:eastAsia="fr-FR"/>
              </w:rPr>
              <w:tab/>
            </w:r>
            <w:r w:rsidRPr="007864E8">
              <w:rPr>
                <w:rStyle w:val="Lienhypertexte"/>
                <w:noProof/>
                <w:shd w:val="clear" w:color="auto" w:fill="FFFFFF"/>
              </w:rPr>
              <w:t>Le droit d’alerte</w:t>
            </w:r>
            <w:r>
              <w:rPr>
                <w:noProof/>
                <w:webHidden/>
              </w:rPr>
              <w:tab/>
            </w:r>
            <w:r>
              <w:rPr>
                <w:noProof/>
                <w:webHidden/>
              </w:rPr>
              <w:fldChar w:fldCharType="begin"/>
            </w:r>
            <w:r>
              <w:rPr>
                <w:noProof/>
                <w:webHidden/>
              </w:rPr>
              <w:instrText xml:space="preserve"> PAGEREF _Toc96697969 \h </w:instrText>
            </w:r>
            <w:r>
              <w:rPr>
                <w:noProof/>
                <w:webHidden/>
              </w:rPr>
            </w:r>
            <w:r>
              <w:rPr>
                <w:noProof/>
                <w:webHidden/>
              </w:rPr>
              <w:fldChar w:fldCharType="separate"/>
            </w:r>
            <w:r>
              <w:rPr>
                <w:noProof/>
                <w:webHidden/>
              </w:rPr>
              <w:t>19</w:t>
            </w:r>
            <w:r>
              <w:rPr>
                <w:noProof/>
                <w:webHidden/>
              </w:rPr>
              <w:fldChar w:fldCharType="end"/>
            </w:r>
          </w:hyperlink>
        </w:p>
        <w:p w14:paraId="1675CE45" w14:textId="6B903FFD"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70" w:history="1">
            <w:r w:rsidRPr="007864E8">
              <w:rPr>
                <w:rStyle w:val="Lienhypertexte"/>
                <w:noProof/>
              </w:rPr>
              <w:t>3.1.3</w:t>
            </w:r>
            <w:r>
              <w:rPr>
                <w:rFonts w:asciiTheme="minorHAnsi" w:eastAsiaTheme="minorEastAsia" w:hAnsiTheme="minorHAnsi" w:cstheme="minorBidi"/>
                <w:noProof/>
                <w:sz w:val="22"/>
                <w:lang w:eastAsia="fr-FR"/>
              </w:rPr>
              <w:tab/>
            </w:r>
            <w:r w:rsidRPr="007864E8">
              <w:rPr>
                <w:rStyle w:val="Lienhypertexte"/>
                <w:noProof/>
              </w:rPr>
              <w:t>L’écoute-clients et le traitement des réclamations</w:t>
            </w:r>
            <w:r>
              <w:rPr>
                <w:noProof/>
                <w:webHidden/>
              </w:rPr>
              <w:tab/>
            </w:r>
            <w:r>
              <w:rPr>
                <w:noProof/>
                <w:webHidden/>
              </w:rPr>
              <w:fldChar w:fldCharType="begin"/>
            </w:r>
            <w:r>
              <w:rPr>
                <w:noProof/>
                <w:webHidden/>
              </w:rPr>
              <w:instrText xml:space="preserve"> PAGEREF _Toc96697970 \h </w:instrText>
            </w:r>
            <w:r>
              <w:rPr>
                <w:noProof/>
                <w:webHidden/>
              </w:rPr>
            </w:r>
            <w:r>
              <w:rPr>
                <w:noProof/>
                <w:webHidden/>
              </w:rPr>
              <w:fldChar w:fldCharType="separate"/>
            </w:r>
            <w:r>
              <w:rPr>
                <w:noProof/>
                <w:webHidden/>
              </w:rPr>
              <w:t>20</w:t>
            </w:r>
            <w:r>
              <w:rPr>
                <w:noProof/>
                <w:webHidden/>
              </w:rPr>
              <w:fldChar w:fldCharType="end"/>
            </w:r>
          </w:hyperlink>
        </w:p>
        <w:p w14:paraId="4076E7E3" w14:textId="6E2B58F0"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71" w:history="1">
            <w:r w:rsidRPr="007864E8">
              <w:rPr>
                <w:rStyle w:val="Lienhypertexte"/>
                <w:noProof/>
              </w:rPr>
              <w:t>3.1.4</w:t>
            </w:r>
            <w:r>
              <w:rPr>
                <w:rFonts w:asciiTheme="minorHAnsi" w:eastAsiaTheme="minorEastAsia" w:hAnsiTheme="minorHAnsi" w:cstheme="minorBidi"/>
                <w:noProof/>
                <w:sz w:val="22"/>
                <w:lang w:eastAsia="fr-FR"/>
              </w:rPr>
              <w:tab/>
            </w:r>
            <w:r w:rsidRPr="007864E8">
              <w:rPr>
                <w:rStyle w:val="Lienhypertexte"/>
                <w:noProof/>
              </w:rPr>
              <w:t>La démarche d’achats responsables</w:t>
            </w:r>
            <w:r>
              <w:rPr>
                <w:noProof/>
                <w:webHidden/>
              </w:rPr>
              <w:tab/>
            </w:r>
            <w:r>
              <w:rPr>
                <w:noProof/>
                <w:webHidden/>
              </w:rPr>
              <w:fldChar w:fldCharType="begin"/>
            </w:r>
            <w:r>
              <w:rPr>
                <w:noProof/>
                <w:webHidden/>
              </w:rPr>
              <w:instrText xml:space="preserve"> PAGEREF _Toc96697971 \h </w:instrText>
            </w:r>
            <w:r>
              <w:rPr>
                <w:noProof/>
                <w:webHidden/>
              </w:rPr>
            </w:r>
            <w:r>
              <w:rPr>
                <w:noProof/>
                <w:webHidden/>
              </w:rPr>
              <w:fldChar w:fldCharType="separate"/>
            </w:r>
            <w:r>
              <w:rPr>
                <w:noProof/>
                <w:webHidden/>
              </w:rPr>
              <w:t>22</w:t>
            </w:r>
            <w:r>
              <w:rPr>
                <w:noProof/>
                <w:webHidden/>
              </w:rPr>
              <w:fldChar w:fldCharType="end"/>
            </w:r>
          </w:hyperlink>
        </w:p>
        <w:p w14:paraId="2CAAB97F" w14:textId="482E6D66"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72" w:history="1">
            <w:r w:rsidRPr="007864E8">
              <w:rPr>
                <w:rStyle w:val="Lienhypertexte"/>
                <w:noProof/>
              </w:rPr>
              <w:t>3.1.5</w:t>
            </w:r>
            <w:r>
              <w:rPr>
                <w:rFonts w:asciiTheme="minorHAnsi" w:eastAsiaTheme="minorEastAsia" w:hAnsiTheme="minorHAnsi" w:cstheme="minorBidi"/>
                <w:noProof/>
                <w:sz w:val="22"/>
                <w:lang w:eastAsia="fr-FR"/>
              </w:rPr>
              <w:tab/>
            </w:r>
            <w:r w:rsidRPr="007864E8">
              <w:rPr>
                <w:rStyle w:val="Lienhypertexte"/>
                <w:noProof/>
              </w:rPr>
              <w:t>Renforcer la prise en compte des clientèles fragilisées</w:t>
            </w:r>
            <w:r>
              <w:rPr>
                <w:noProof/>
                <w:webHidden/>
              </w:rPr>
              <w:tab/>
            </w:r>
            <w:r>
              <w:rPr>
                <w:noProof/>
                <w:webHidden/>
              </w:rPr>
              <w:fldChar w:fldCharType="begin"/>
            </w:r>
            <w:r>
              <w:rPr>
                <w:noProof/>
                <w:webHidden/>
              </w:rPr>
              <w:instrText xml:space="preserve"> PAGEREF _Toc96697972 \h </w:instrText>
            </w:r>
            <w:r>
              <w:rPr>
                <w:noProof/>
                <w:webHidden/>
              </w:rPr>
            </w:r>
            <w:r>
              <w:rPr>
                <w:noProof/>
                <w:webHidden/>
              </w:rPr>
              <w:fldChar w:fldCharType="separate"/>
            </w:r>
            <w:r>
              <w:rPr>
                <w:noProof/>
                <w:webHidden/>
              </w:rPr>
              <w:t>23</w:t>
            </w:r>
            <w:r>
              <w:rPr>
                <w:noProof/>
                <w:webHidden/>
              </w:rPr>
              <w:fldChar w:fldCharType="end"/>
            </w:r>
          </w:hyperlink>
        </w:p>
        <w:p w14:paraId="2C9B024C" w14:textId="44C81FF4" w:rsidR="00E80406" w:rsidRDefault="00E80406">
          <w:pPr>
            <w:pStyle w:val="TM4"/>
            <w:rPr>
              <w:rFonts w:asciiTheme="minorHAnsi" w:eastAsiaTheme="minorEastAsia" w:hAnsiTheme="minorHAnsi" w:cstheme="minorBidi"/>
              <w:noProof/>
            </w:rPr>
          </w:pPr>
          <w:hyperlink w:anchor="_Toc96697973" w:history="1">
            <w:r w:rsidRPr="007864E8">
              <w:rPr>
                <w:rStyle w:val="Lienhypertexte"/>
                <w:noProof/>
              </w:rPr>
              <w:t>3.1.5.1</w:t>
            </w:r>
            <w:r>
              <w:rPr>
                <w:rFonts w:asciiTheme="minorHAnsi" w:eastAsiaTheme="minorEastAsia" w:hAnsiTheme="minorHAnsi" w:cstheme="minorBidi"/>
                <w:noProof/>
              </w:rPr>
              <w:tab/>
            </w:r>
            <w:r w:rsidRPr="007864E8">
              <w:rPr>
                <w:rStyle w:val="Lienhypertexte"/>
                <w:noProof/>
              </w:rPr>
              <w:t>La prise en compte du handicap</w:t>
            </w:r>
            <w:r>
              <w:rPr>
                <w:noProof/>
                <w:webHidden/>
              </w:rPr>
              <w:tab/>
            </w:r>
            <w:r>
              <w:rPr>
                <w:noProof/>
                <w:webHidden/>
              </w:rPr>
              <w:fldChar w:fldCharType="begin"/>
            </w:r>
            <w:r>
              <w:rPr>
                <w:noProof/>
                <w:webHidden/>
              </w:rPr>
              <w:instrText xml:space="preserve"> PAGEREF _Toc96697973 \h </w:instrText>
            </w:r>
            <w:r>
              <w:rPr>
                <w:noProof/>
                <w:webHidden/>
              </w:rPr>
            </w:r>
            <w:r>
              <w:rPr>
                <w:noProof/>
                <w:webHidden/>
              </w:rPr>
              <w:fldChar w:fldCharType="separate"/>
            </w:r>
            <w:r>
              <w:rPr>
                <w:noProof/>
                <w:webHidden/>
              </w:rPr>
              <w:t>23</w:t>
            </w:r>
            <w:r>
              <w:rPr>
                <w:noProof/>
                <w:webHidden/>
              </w:rPr>
              <w:fldChar w:fldCharType="end"/>
            </w:r>
          </w:hyperlink>
        </w:p>
        <w:p w14:paraId="51B3EA2F" w14:textId="6B3784CE" w:rsidR="00E80406" w:rsidRDefault="00E80406">
          <w:pPr>
            <w:pStyle w:val="TM4"/>
            <w:rPr>
              <w:rFonts w:asciiTheme="minorHAnsi" w:eastAsiaTheme="minorEastAsia" w:hAnsiTheme="minorHAnsi" w:cstheme="minorBidi"/>
              <w:noProof/>
            </w:rPr>
          </w:pPr>
          <w:hyperlink w:anchor="_Toc96697974" w:history="1">
            <w:r w:rsidRPr="007864E8">
              <w:rPr>
                <w:rStyle w:val="Lienhypertexte"/>
                <w:noProof/>
              </w:rPr>
              <w:t>3.1.5.2</w:t>
            </w:r>
            <w:r>
              <w:rPr>
                <w:rFonts w:asciiTheme="minorHAnsi" w:eastAsiaTheme="minorEastAsia" w:hAnsiTheme="minorHAnsi" w:cstheme="minorBidi"/>
                <w:noProof/>
              </w:rPr>
              <w:tab/>
            </w:r>
            <w:r w:rsidRPr="007864E8">
              <w:rPr>
                <w:rStyle w:val="Lienhypertexte"/>
                <w:noProof/>
              </w:rPr>
              <w:t>L’accompagnement des clients en situation de fragilité financière</w:t>
            </w:r>
            <w:r>
              <w:rPr>
                <w:noProof/>
                <w:webHidden/>
              </w:rPr>
              <w:tab/>
            </w:r>
            <w:r>
              <w:rPr>
                <w:noProof/>
                <w:webHidden/>
              </w:rPr>
              <w:fldChar w:fldCharType="begin"/>
            </w:r>
            <w:r>
              <w:rPr>
                <w:noProof/>
                <w:webHidden/>
              </w:rPr>
              <w:instrText xml:space="preserve"> PAGEREF _Toc96697974 \h </w:instrText>
            </w:r>
            <w:r>
              <w:rPr>
                <w:noProof/>
                <w:webHidden/>
              </w:rPr>
            </w:r>
            <w:r>
              <w:rPr>
                <w:noProof/>
                <w:webHidden/>
              </w:rPr>
              <w:fldChar w:fldCharType="separate"/>
            </w:r>
            <w:r>
              <w:rPr>
                <w:noProof/>
                <w:webHidden/>
              </w:rPr>
              <w:t>24</w:t>
            </w:r>
            <w:r>
              <w:rPr>
                <w:noProof/>
                <w:webHidden/>
              </w:rPr>
              <w:fldChar w:fldCharType="end"/>
            </w:r>
          </w:hyperlink>
        </w:p>
        <w:p w14:paraId="7E2BFF56" w14:textId="5A6CF7DE" w:rsidR="00E80406" w:rsidRDefault="00E80406">
          <w:pPr>
            <w:pStyle w:val="TM4"/>
            <w:rPr>
              <w:rFonts w:asciiTheme="minorHAnsi" w:eastAsiaTheme="minorEastAsia" w:hAnsiTheme="minorHAnsi" w:cstheme="minorBidi"/>
              <w:noProof/>
            </w:rPr>
          </w:pPr>
          <w:hyperlink w:anchor="_Toc96697975" w:history="1">
            <w:r w:rsidRPr="007864E8">
              <w:rPr>
                <w:rStyle w:val="Lienhypertexte"/>
                <w:noProof/>
              </w:rPr>
              <w:t>3.1.5.3</w:t>
            </w:r>
            <w:r>
              <w:rPr>
                <w:rFonts w:asciiTheme="minorHAnsi" w:eastAsiaTheme="minorEastAsia" w:hAnsiTheme="minorHAnsi" w:cstheme="minorBidi"/>
                <w:noProof/>
              </w:rPr>
              <w:tab/>
            </w:r>
            <w:r w:rsidRPr="007864E8">
              <w:rPr>
                <w:rStyle w:val="Lienhypertexte"/>
                <w:noProof/>
              </w:rPr>
              <w:t>Le dispositif des Points-Passerelle</w:t>
            </w:r>
            <w:r>
              <w:rPr>
                <w:noProof/>
                <w:webHidden/>
              </w:rPr>
              <w:tab/>
            </w:r>
            <w:r>
              <w:rPr>
                <w:noProof/>
                <w:webHidden/>
              </w:rPr>
              <w:fldChar w:fldCharType="begin"/>
            </w:r>
            <w:r>
              <w:rPr>
                <w:noProof/>
                <w:webHidden/>
              </w:rPr>
              <w:instrText xml:space="preserve"> PAGEREF _Toc96697975 \h </w:instrText>
            </w:r>
            <w:r>
              <w:rPr>
                <w:noProof/>
                <w:webHidden/>
              </w:rPr>
            </w:r>
            <w:r>
              <w:rPr>
                <w:noProof/>
                <w:webHidden/>
              </w:rPr>
              <w:fldChar w:fldCharType="separate"/>
            </w:r>
            <w:r>
              <w:rPr>
                <w:noProof/>
                <w:webHidden/>
              </w:rPr>
              <w:t>25</w:t>
            </w:r>
            <w:r>
              <w:rPr>
                <w:noProof/>
                <w:webHidden/>
              </w:rPr>
              <w:fldChar w:fldCharType="end"/>
            </w:r>
          </w:hyperlink>
        </w:p>
        <w:p w14:paraId="78EF8684" w14:textId="5E4B7B3E" w:rsidR="00E80406" w:rsidRDefault="00E80406">
          <w:pPr>
            <w:pStyle w:val="TM2"/>
            <w:rPr>
              <w:rFonts w:asciiTheme="minorHAnsi" w:eastAsiaTheme="minorEastAsia" w:hAnsiTheme="minorHAnsi" w:cstheme="minorBidi"/>
              <w:noProof/>
              <w:lang w:eastAsia="fr-FR"/>
            </w:rPr>
          </w:pPr>
          <w:hyperlink w:anchor="_Toc96697976" w:history="1">
            <w:r w:rsidRPr="007864E8">
              <w:rPr>
                <w:rStyle w:val="Lienhypertexte"/>
                <w:noProof/>
              </w:rPr>
              <w:t>3.2</w:t>
            </w:r>
            <w:r>
              <w:rPr>
                <w:rFonts w:asciiTheme="minorHAnsi" w:eastAsiaTheme="minorEastAsia" w:hAnsiTheme="minorHAnsi" w:cstheme="minorBidi"/>
                <w:noProof/>
                <w:lang w:eastAsia="fr-FR"/>
              </w:rPr>
              <w:tab/>
            </w:r>
            <w:r w:rsidRPr="007864E8">
              <w:rPr>
                <w:rStyle w:val="Lienhypertexte"/>
                <w:noProof/>
              </w:rPr>
              <w:t>Apporter notre expertise à nos clients partout sur le territoire</w:t>
            </w:r>
            <w:r>
              <w:rPr>
                <w:noProof/>
                <w:webHidden/>
              </w:rPr>
              <w:tab/>
            </w:r>
            <w:r>
              <w:rPr>
                <w:noProof/>
                <w:webHidden/>
              </w:rPr>
              <w:fldChar w:fldCharType="begin"/>
            </w:r>
            <w:r>
              <w:rPr>
                <w:noProof/>
                <w:webHidden/>
              </w:rPr>
              <w:instrText xml:space="preserve"> PAGEREF _Toc96697976 \h </w:instrText>
            </w:r>
            <w:r>
              <w:rPr>
                <w:noProof/>
                <w:webHidden/>
              </w:rPr>
            </w:r>
            <w:r>
              <w:rPr>
                <w:noProof/>
                <w:webHidden/>
              </w:rPr>
              <w:fldChar w:fldCharType="separate"/>
            </w:r>
            <w:r>
              <w:rPr>
                <w:noProof/>
                <w:webHidden/>
              </w:rPr>
              <w:t>26</w:t>
            </w:r>
            <w:r>
              <w:rPr>
                <w:noProof/>
                <w:webHidden/>
              </w:rPr>
              <w:fldChar w:fldCharType="end"/>
            </w:r>
          </w:hyperlink>
        </w:p>
        <w:p w14:paraId="180874F6" w14:textId="5CBFBF83"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77" w:history="1">
            <w:r w:rsidRPr="007864E8">
              <w:rPr>
                <w:rStyle w:val="Lienhypertexte"/>
                <w:noProof/>
              </w:rPr>
              <w:t>3.2.1</w:t>
            </w:r>
            <w:r>
              <w:rPr>
                <w:rFonts w:asciiTheme="minorHAnsi" w:eastAsiaTheme="minorEastAsia" w:hAnsiTheme="minorHAnsi" w:cstheme="minorBidi"/>
                <w:noProof/>
                <w:sz w:val="22"/>
                <w:lang w:eastAsia="fr-FR"/>
              </w:rPr>
              <w:tab/>
            </w:r>
            <w:r w:rsidRPr="007864E8">
              <w:rPr>
                <w:rStyle w:val="Lienhypertexte"/>
                <w:noProof/>
              </w:rPr>
              <w:t>Consolider l’ancrage local du CANMP</w:t>
            </w:r>
            <w:r>
              <w:rPr>
                <w:noProof/>
                <w:webHidden/>
              </w:rPr>
              <w:tab/>
            </w:r>
            <w:r>
              <w:rPr>
                <w:noProof/>
                <w:webHidden/>
              </w:rPr>
              <w:fldChar w:fldCharType="begin"/>
            </w:r>
            <w:r>
              <w:rPr>
                <w:noProof/>
                <w:webHidden/>
              </w:rPr>
              <w:instrText xml:space="preserve"> PAGEREF _Toc96697977 \h </w:instrText>
            </w:r>
            <w:r>
              <w:rPr>
                <w:noProof/>
                <w:webHidden/>
              </w:rPr>
            </w:r>
            <w:r>
              <w:rPr>
                <w:noProof/>
                <w:webHidden/>
              </w:rPr>
              <w:fldChar w:fldCharType="separate"/>
            </w:r>
            <w:r>
              <w:rPr>
                <w:noProof/>
                <w:webHidden/>
              </w:rPr>
              <w:t>26</w:t>
            </w:r>
            <w:r>
              <w:rPr>
                <w:noProof/>
                <w:webHidden/>
              </w:rPr>
              <w:fldChar w:fldCharType="end"/>
            </w:r>
          </w:hyperlink>
        </w:p>
        <w:p w14:paraId="177BB05A" w14:textId="7D14D07E"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78" w:history="1">
            <w:r w:rsidRPr="007864E8">
              <w:rPr>
                <w:rStyle w:val="Lienhypertexte"/>
                <w:noProof/>
              </w:rPr>
              <w:t>3.2.2</w:t>
            </w:r>
            <w:r>
              <w:rPr>
                <w:rFonts w:asciiTheme="minorHAnsi" w:eastAsiaTheme="minorEastAsia" w:hAnsiTheme="minorHAnsi" w:cstheme="minorBidi"/>
                <w:noProof/>
                <w:sz w:val="22"/>
                <w:lang w:eastAsia="fr-FR"/>
              </w:rPr>
              <w:tab/>
            </w:r>
            <w:r w:rsidRPr="007864E8">
              <w:rPr>
                <w:rStyle w:val="Lienhypertexte"/>
                <w:noProof/>
              </w:rPr>
              <w:t>Développer la banque connectée</w:t>
            </w:r>
            <w:r>
              <w:rPr>
                <w:noProof/>
                <w:webHidden/>
              </w:rPr>
              <w:tab/>
            </w:r>
            <w:r>
              <w:rPr>
                <w:noProof/>
                <w:webHidden/>
              </w:rPr>
              <w:fldChar w:fldCharType="begin"/>
            </w:r>
            <w:r>
              <w:rPr>
                <w:noProof/>
                <w:webHidden/>
              </w:rPr>
              <w:instrText xml:space="preserve"> PAGEREF _Toc96697978 \h </w:instrText>
            </w:r>
            <w:r>
              <w:rPr>
                <w:noProof/>
                <w:webHidden/>
              </w:rPr>
            </w:r>
            <w:r>
              <w:rPr>
                <w:noProof/>
                <w:webHidden/>
              </w:rPr>
              <w:fldChar w:fldCharType="separate"/>
            </w:r>
            <w:r>
              <w:rPr>
                <w:noProof/>
                <w:webHidden/>
              </w:rPr>
              <w:t>27</w:t>
            </w:r>
            <w:r>
              <w:rPr>
                <w:noProof/>
                <w:webHidden/>
              </w:rPr>
              <w:fldChar w:fldCharType="end"/>
            </w:r>
          </w:hyperlink>
        </w:p>
        <w:p w14:paraId="7F291BE6" w14:textId="53D08BD7"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79" w:history="1">
            <w:r w:rsidRPr="007864E8">
              <w:rPr>
                <w:rStyle w:val="Lienhypertexte"/>
                <w:noProof/>
              </w:rPr>
              <w:t>3.2.3</w:t>
            </w:r>
            <w:r>
              <w:rPr>
                <w:rFonts w:asciiTheme="minorHAnsi" w:eastAsiaTheme="minorEastAsia" w:hAnsiTheme="minorHAnsi" w:cstheme="minorBidi"/>
                <w:noProof/>
                <w:sz w:val="22"/>
                <w:lang w:eastAsia="fr-FR"/>
              </w:rPr>
              <w:tab/>
            </w:r>
            <w:r w:rsidRPr="007864E8">
              <w:rPr>
                <w:rStyle w:val="Lienhypertexte"/>
                <w:noProof/>
              </w:rPr>
              <w:t>Mobiliser l’expertise en faveur de l’activité socio-économique et de l’innovation</w:t>
            </w:r>
            <w:r>
              <w:rPr>
                <w:noProof/>
                <w:webHidden/>
              </w:rPr>
              <w:tab/>
            </w:r>
            <w:r>
              <w:rPr>
                <w:noProof/>
                <w:webHidden/>
              </w:rPr>
              <w:fldChar w:fldCharType="begin"/>
            </w:r>
            <w:r>
              <w:rPr>
                <w:noProof/>
                <w:webHidden/>
              </w:rPr>
              <w:instrText xml:space="preserve"> PAGEREF _Toc96697979 \h </w:instrText>
            </w:r>
            <w:r>
              <w:rPr>
                <w:noProof/>
                <w:webHidden/>
              </w:rPr>
            </w:r>
            <w:r>
              <w:rPr>
                <w:noProof/>
                <w:webHidden/>
              </w:rPr>
              <w:fldChar w:fldCharType="separate"/>
            </w:r>
            <w:r>
              <w:rPr>
                <w:noProof/>
                <w:webHidden/>
              </w:rPr>
              <w:t>27</w:t>
            </w:r>
            <w:r>
              <w:rPr>
                <w:noProof/>
                <w:webHidden/>
              </w:rPr>
              <w:fldChar w:fldCharType="end"/>
            </w:r>
          </w:hyperlink>
        </w:p>
        <w:p w14:paraId="67203107" w14:textId="26913148" w:rsidR="00E80406" w:rsidRDefault="00E80406">
          <w:pPr>
            <w:pStyle w:val="TM4"/>
            <w:rPr>
              <w:rFonts w:asciiTheme="minorHAnsi" w:eastAsiaTheme="minorEastAsia" w:hAnsiTheme="minorHAnsi" w:cstheme="minorBidi"/>
              <w:noProof/>
            </w:rPr>
          </w:pPr>
          <w:hyperlink w:anchor="_Toc96697980" w:history="1">
            <w:r w:rsidRPr="007864E8">
              <w:rPr>
                <w:rStyle w:val="Lienhypertexte"/>
                <w:noProof/>
              </w:rPr>
              <w:t>3.2.3.1</w:t>
            </w:r>
            <w:r>
              <w:rPr>
                <w:rFonts w:asciiTheme="minorHAnsi" w:eastAsiaTheme="minorEastAsia" w:hAnsiTheme="minorHAnsi" w:cstheme="minorBidi"/>
                <w:noProof/>
              </w:rPr>
              <w:tab/>
            </w:r>
            <w:r w:rsidRPr="007864E8">
              <w:rPr>
                <w:rStyle w:val="Lienhypertexte"/>
                <w:noProof/>
              </w:rPr>
              <w:t>Les Cafés de la Création</w:t>
            </w:r>
            <w:r>
              <w:rPr>
                <w:noProof/>
                <w:webHidden/>
              </w:rPr>
              <w:tab/>
            </w:r>
            <w:r>
              <w:rPr>
                <w:noProof/>
                <w:webHidden/>
              </w:rPr>
              <w:fldChar w:fldCharType="begin"/>
            </w:r>
            <w:r>
              <w:rPr>
                <w:noProof/>
                <w:webHidden/>
              </w:rPr>
              <w:instrText xml:space="preserve"> PAGEREF _Toc96697980 \h </w:instrText>
            </w:r>
            <w:r>
              <w:rPr>
                <w:noProof/>
                <w:webHidden/>
              </w:rPr>
            </w:r>
            <w:r>
              <w:rPr>
                <w:noProof/>
                <w:webHidden/>
              </w:rPr>
              <w:fldChar w:fldCharType="separate"/>
            </w:r>
            <w:r>
              <w:rPr>
                <w:noProof/>
                <w:webHidden/>
              </w:rPr>
              <w:t>27</w:t>
            </w:r>
            <w:r>
              <w:rPr>
                <w:noProof/>
                <w:webHidden/>
              </w:rPr>
              <w:fldChar w:fldCharType="end"/>
            </w:r>
          </w:hyperlink>
        </w:p>
        <w:p w14:paraId="5905B7BA" w14:textId="4B6607D4" w:rsidR="00E80406" w:rsidRDefault="00E80406">
          <w:pPr>
            <w:pStyle w:val="TM4"/>
            <w:rPr>
              <w:rFonts w:asciiTheme="minorHAnsi" w:eastAsiaTheme="minorEastAsia" w:hAnsiTheme="minorHAnsi" w:cstheme="minorBidi"/>
              <w:noProof/>
            </w:rPr>
          </w:pPr>
          <w:hyperlink w:anchor="_Toc96697981" w:history="1">
            <w:r w:rsidRPr="007864E8">
              <w:rPr>
                <w:rStyle w:val="Lienhypertexte"/>
                <w:noProof/>
              </w:rPr>
              <w:t>3.2.3.2</w:t>
            </w:r>
            <w:r>
              <w:rPr>
                <w:rFonts w:asciiTheme="minorHAnsi" w:eastAsiaTheme="minorEastAsia" w:hAnsiTheme="minorHAnsi" w:cstheme="minorBidi"/>
                <w:noProof/>
              </w:rPr>
              <w:tab/>
            </w:r>
            <w:r w:rsidRPr="007864E8">
              <w:rPr>
                <w:rStyle w:val="Lienhypertexte"/>
                <w:noProof/>
              </w:rPr>
              <w:t>Les cafés de l’international</w:t>
            </w:r>
            <w:r>
              <w:rPr>
                <w:noProof/>
                <w:webHidden/>
              </w:rPr>
              <w:tab/>
            </w:r>
            <w:r>
              <w:rPr>
                <w:noProof/>
                <w:webHidden/>
              </w:rPr>
              <w:fldChar w:fldCharType="begin"/>
            </w:r>
            <w:r>
              <w:rPr>
                <w:noProof/>
                <w:webHidden/>
              </w:rPr>
              <w:instrText xml:space="preserve"> PAGEREF _Toc96697981 \h </w:instrText>
            </w:r>
            <w:r>
              <w:rPr>
                <w:noProof/>
                <w:webHidden/>
              </w:rPr>
            </w:r>
            <w:r>
              <w:rPr>
                <w:noProof/>
                <w:webHidden/>
              </w:rPr>
              <w:fldChar w:fldCharType="separate"/>
            </w:r>
            <w:r>
              <w:rPr>
                <w:noProof/>
                <w:webHidden/>
              </w:rPr>
              <w:t>27</w:t>
            </w:r>
            <w:r>
              <w:rPr>
                <w:noProof/>
                <w:webHidden/>
              </w:rPr>
              <w:fldChar w:fldCharType="end"/>
            </w:r>
          </w:hyperlink>
        </w:p>
        <w:p w14:paraId="4B6640C6" w14:textId="4969C3C4" w:rsidR="00E80406" w:rsidRDefault="00E80406">
          <w:pPr>
            <w:pStyle w:val="TM4"/>
            <w:rPr>
              <w:rFonts w:asciiTheme="minorHAnsi" w:eastAsiaTheme="minorEastAsia" w:hAnsiTheme="minorHAnsi" w:cstheme="minorBidi"/>
              <w:noProof/>
            </w:rPr>
          </w:pPr>
          <w:hyperlink w:anchor="_Toc96697982" w:history="1">
            <w:r w:rsidRPr="007864E8">
              <w:rPr>
                <w:rStyle w:val="Lienhypertexte"/>
                <w:noProof/>
              </w:rPr>
              <w:t>3.2.3.3</w:t>
            </w:r>
            <w:r>
              <w:rPr>
                <w:rFonts w:asciiTheme="minorHAnsi" w:eastAsiaTheme="minorEastAsia" w:hAnsiTheme="minorHAnsi" w:cstheme="minorBidi"/>
                <w:noProof/>
              </w:rPr>
              <w:tab/>
            </w:r>
            <w:r w:rsidRPr="007864E8">
              <w:rPr>
                <w:rStyle w:val="Lienhypertexte"/>
                <w:noProof/>
              </w:rPr>
              <w:t>Le soutien à l’innovation avec le Pôle de compétitivité Agri Sud-Ouest Innovation</w:t>
            </w:r>
            <w:r>
              <w:rPr>
                <w:noProof/>
                <w:webHidden/>
              </w:rPr>
              <w:tab/>
            </w:r>
            <w:r>
              <w:rPr>
                <w:noProof/>
                <w:webHidden/>
              </w:rPr>
              <w:fldChar w:fldCharType="begin"/>
            </w:r>
            <w:r>
              <w:rPr>
                <w:noProof/>
                <w:webHidden/>
              </w:rPr>
              <w:instrText xml:space="preserve"> PAGEREF _Toc96697982 \h </w:instrText>
            </w:r>
            <w:r>
              <w:rPr>
                <w:noProof/>
                <w:webHidden/>
              </w:rPr>
            </w:r>
            <w:r>
              <w:rPr>
                <w:noProof/>
                <w:webHidden/>
              </w:rPr>
              <w:fldChar w:fldCharType="separate"/>
            </w:r>
            <w:r>
              <w:rPr>
                <w:noProof/>
                <w:webHidden/>
              </w:rPr>
              <w:t>28</w:t>
            </w:r>
            <w:r>
              <w:rPr>
                <w:noProof/>
                <w:webHidden/>
              </w:rPr>
              <w:fldChar w:fldCharType="end"/>
            </w:r>
          </w:hyperlink>
        </w:p>
        <w:p w14:paraId="2CCFBC7B" w14:textId="251BFEC7" w:rsidR="00E80406" w:rsidRDefault="00E80406">
          <w:pPr>
            <w:pStyle w:val="TM4"/>
            <w:rPr>
              <w:rFonts w:asciiTheme="minorHAnsi" w:eastAsiaTheme="minorEastAsia" w:hAnsiTheme="minorHAnsi" w:cstheme="minorBidi"/>
              <w:noProof/>
            </w:rPr>
          </w:pPr>
          <w:hyperlink w:anchor="_Toc96697983" w:history="1">
            <w:r w:rsidRPr="007864E8">
              <w:rPr>
                <w:rStyle w:val="Lienhypertexte"/>
                <w:noProof/>
              </w:rPr>
              <w:t>3.2.3.4</w:t>
            </w:r>
            <w:r>
              <w:rPr>
                <w:rFonts w:asciiTheme="minorHAnsi" w:eastAsiaTheme="minorEastAsia" w:hAnsiTheme="minorHAnsi" w:cstheme="minorBidi"/>
                <w:noProof/>
              </w:rPr>
              <w:tab/>
            </w:r>
            <w:r w:rsidRPr="007864E8">
              <w:rPr>
                <w:rStyle w:val="Lienhypertexte"/>
                <w:noProof/>
              </w:rPr>
              <w:t>La matinale du Numérique</w:t>
            </w:r>
            <w:r>
              <w:rPr>
                <w:noProof/>
                <w:webHidden/>
              </w:rPr>
              <w:tab/>
            </w:r>
            <w:r>
              <w:rPr>
                <w:noProof/>
                <w:webHidden/>
              </w:rPr>
              <w:fldChar w:fldCharType="begin"/>
            </w:r>
            <w:r>
              <w:rPr>
                <w:noProof/>
                <w:webHidden/>
              </w:rPr>
              <w:instrText xml:space="preserve"> PAGEREF _Toc96697983 \h </w:instrText>
            </w:r>
            <w:r>
              <w:rPr>
                <w:noProof/>
                <w:webHidden/>
              </w:rPr>
            </w:r>
            <w:r>
              <w:rPr>
                <w:noProof/>
                <w:webHidden/>
              </w:rPr>
              <w:fldChar w:fldCharType="separate"/>
            </w:r>
            <w:r>
              <w:rPr>
                <w:noProof/>
                <w:webHidden/>
              </w:rPr>
              <w:t>28</w:t>
            </w:r>
            <w:r>
              <w:rPr>
                <w:noProof/>
                <w:webHidden/>
              </w:rPr>
              <w:fldChar w:fldCharType="end"/>
            </w:r>
          </w:hyperlink>
        </w:p>
        <w:p w14:paraId="387E7847" w14:textId="09DF59C8" w:rsidR="00E80406" w:rsidRDefault="00E80406">
          <w:pPr>
            <w:pStyle w:val="TM2"/>
            <w:rPr>
              <w:rFonts w:asciiTheme="minorHAnsi" w:eastAsiaTheme="minorEastAsia" w:hAnsiTheme="minorHAnsi" w:cstheme="minorBidi"/>
              <w:noProof/>
              <w:lang w:eastAsia="fr-FR"/>
            </w:rPr>
          </w:pPr>
          <w:hyperlink w:anchor="_Toc96697984" w:history="1">
            <w:r w:rsidRPr="007864E8">
              <w:rPr>
                <w:rStyle w:val="Lienhypertexte"/>
                <w:noProof/>
              </w:rPr>
              <w:t>3.3</w:t>
            </w:r>
            <w:r>
              <w:rPr>
                <w:rFonts w:asciiTheme="minorHAnsi" w:eastAsiaTheme="minorEastAsia" w:hAnsiTheme="minorHAnsi" w:cstheme="minorBidi"/>
                <w:noProof/>
                <w:lang w:eastAsia="fr-FR"/>
              </w:rPr>
              <w:tab/>
            </w:r>
            <w:r w:rsidRPr="007864E8">
              <w:rPr>
                <w:rStyle w:val="Lienhypertexte"/>
                <w:noProof/>
              </w:rPr>
              <w:t>Accompagner les transitions sociétales et environnementales</w:t>
            </w:r>
            <w:r>
              <w:rPr>
                <w:noProof/>
                <w:webHidden/>
              </w:rPr>
              <w:tab/>
            </w:r>
            <w:r>
              <w:rPr>
                <w:noProof/>
                <w:webHidden/>
              </w:rPr>
              <w:fldChar w:fldCharType="begin"/>
            </w:r>
            <w:r>
              <w:rPr>
                <w:noProof/>
                <w:webHidden/>
              </w:rPr>
              <w:instrText xml:space="preserve"> PAGEREF _Toc96697984 \h </w:instrText>
            </w:r>
            <w:r>
              <w:rPr>
                <w:noProof/>
                <w:webHidden/>
              </w:rPr>
            </w:r>
            <w:r>
              <w:rPr>
                <w:noProof/>
                <w:webHidden/>
              </w:rPr>
              <w:fldChar w:fldCharType="separate"/>
            </w:r>
            <w:r>
              <w:rPr>
                <w:noProof/>
                <w:webHidden/>
              </w:rPr>
              <w:t>28</w:t>
            </w:r>
            <w:r>
              <w:rPr>
                <w:noProof/>
                <w:webHidden/>
              </w:rPr>
              <w:fldChar w:fldCharType="end"/>
            </w:r>
          </w:hyperlink>
        </w:p>
        <w:p w14:paraId="66D8FB1B" w14:textId="0132DDBD"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85" w:history="1">
            <w:r w:rsidRPr="007864E8">
              <w:rPr>
                <w:rStyle w:val="Lienhypertexte"/>
                <w:noProof/>
              </w:rPr>
              <w:t>3.3.1</w:t>
            </w:r>
            <w:r>
              <w:rPr>
                <w:rFonts w:asciiTheme="minorHAnsi" w:eastAsiaTheme="minorEastAsia" w:hAnsiTheme="minorHAnsi" w:cstheme="minorBidi"/>
                <w:noProof/>
                <w:sz w:val="22"/>
                <w:lang w:eastAsia="fr-FR"/>
              </w:rPr>
              <w:tab/>
            </w:r>
            <w:r w:rsidRPr="007864E8">
              <w:rPr>
                <w:rStyle w:val="Lienhypertexte"/>
                <w:noProof/>
              </w:rPr>
              <w:t>Accompagner les transitions sur le marché des Particuliers</w:t>
            </w:r>
            <w:r>
              <w:rPr>
                <w:noProof/>
                <w:webHidden/>
              </w:rPr>
              <w:tab/>
            </w:r>
            <w:r>
              <w:rPr>
                <w:noProof/>
                <w:webHidden/>
              </w:rPr>
              <w:fldChar w:fldCharType="begin"/>
            </w:r>
            <w:r>
              <w:rPr>
                <w:noProof/>
                <w:webHidden/>
              </w:rPr>
              <w:instrText xml:space="preserve"> PAGEREF _Toc96697985 \h </w:instrText>
            </w:r>
            <w:r>
              <w:rPr>
                <w:noProof/>
                <w:webHidden/>
              </w:rPr>
            </w:r>
            <w:r>
              <w:rPr>
                <w:noProof/>
                <w:webHidden/>
              </w:rPr>
              <w:fldChar w:fldCharType="separate"/>
            </w:r>
            <w:r>
              <w:rPr>
                <w:noProof/>
                <w:webHidden/>
              </w:rPr>
              <w:t>28</w:t>
            </w:r>
            <w:r>
              <w:rPr>
                <w:noProof/>
                <w:webHidden/>
              </w:rPr>
              <w:fldChar w:fldCharType="end"/>
            </w:r>
          </w:hyperlink>
        </w:p>
        <w:p w14:paraId="2D26274E" w14:textId="2D76D97B" w:rsidR="00E80406" w:rsidRDefault="00E80406">
          <w:pPr>
            <w:pStyle w:val="TM4"/>
            <w:rPr>
              <w:rFonts w:asciiTheme="minorHAnsi" w:eastAsiaTheme="minorEastAsia" w:hAnsiTheme="minorHAnsi" w:cstheme="minorBidi"/>
              <w:noProof/>
            </w:rPr>
          </w:pPr>
          <w:hyperlink w:anchor="_Toc96697986" w:history="1">
            <w:r w:rsidRPr="007864E8">
              <w:rPr>
                <w:rStyle w:val="Lienhypertexte"/>
                <w:noProof/>
              </w:rPr>
              <w:t>3.3.1.1</w:t>
            </w:r>
            <w:r>
              <w:rPr>
                <w:rFonts w:asciiTheme="minorHAnsi" w:eastAsiaTheme="minorEastAsia" w:hAnsiTheme="minorHAnsi" w:cstheme="minorBidi"/>
                <w:noProof/>
              </w:rPr>
              <w:tab/>
            </w:r>
            <w:r w:rsidRPr="007864E8">
              <w:rPr>
                <w:rStyle w:val="Lienhypertexte"/>
                <w:noProof/>
              </w:rPr>
              <w:t>L’animation de la démarche</w:t>
            </w:r>
            <w:r>
              <w:rPr>
                <w:noProof/>
                <w:webHidden/>
              </w:rPr>
              <w:tab/>
            </w:r>
            <w:r>
              <w:rPr>
                <w:noProof/>
                <w:webHidden/>
              </w:rPr>
              <w:fldChar w:fldCharType="begin"/>
            </w:r>
            <w:r>
              <w:rPr>
                <w:noProof/>
                <w:webHidden/>
              </w:rPr>
              <w:instrText xml:space="preserve"> PAGEREF _Toc96697986 \h </w:instrText>
            </w:r>
            <w:r>
              <w:rPr>
                <w:noProof/>
                <w:webHidden/>
              </w:rPr>
            </w:r>
            <w:r>
              <w:rPr>
                <w:noProof/>
                <w:webHidden/>
              </w:rPr>
              <w:fldChar w:fldCharType="separate"/>
            </w:r>
            <w:r>
              <w:rPr>
                <w:noProof/>
                <w:webHidden/>
              </w:rPr>
              <w:t>29</w:t>
            </w:r>
            <w:r>
              <w:rPr>
                <w:noProof/>
                <w:webHidden/>
              </w:rPr>
              <w:fldChar w:fldCharType="end"/>
            </w:r>
          </w:hyperlink>
        </w:p>
        <w:p w14:paraId="2BBEB5C7" w14:textId="41341193" w:rsidR="00E80406" w:rsidRDefault="00E80406">
          <w:pPr>
            <w:pStyle w:val="TM4"/>
            <w:rPr>
              <w:rFonts w:asciiTheme="minorHAnsi" w:eastAsiaTheme="minorEastAsia" w:hAnsiTheme="minorHAnsi" w:cstheme="minorBidi"/>
              <w:noProof/>
            </w:rPr>
          </w:pPr>
          <w:hyperlink w:anchor="_Toc96697987" w:history="1">
            <w:r w:rsidRPr="007864E8">
              <w:rPr>
                <w:rStyle w:val="Lienhypertexte"/>
                <w:noProof/>
              </w:rPr>
              <w:t>3.3.1.2</w:t>
            </w:r>
            <w:r>
              <w:rPr>
                <w:rFonts w:asciiTheme="minorHAnsi" w:eastAsiaTheme="minorEastAsia" w:hAnsiTheme="minorHAnsi" w:cstheme="minorBidi"/>
                <w:noProof/>
              </w:rPr>
              <w:tab/>
            </w:r>
            <w:r w:rsidRPr="007864E8">
              <w:rPr>
                <w:rStyle w:val="Lienhypertexte"/>
                <w:noProof/>
              </w:rPr>
              <w:t>L’investissement responsable</w:t>
            </w:r>
            <w:r>
              <w:rPr>
                <w:noProof/>
                <w:webHidden/>
              </w:rPr>
              <w:tab/>
            </w:r>
            <w:r>
              <w:rPr>
                <w:noProof/>
                <w:webHidden/>
              </w:rPr>
              <w:fldChar w:fldCharType="begin"/>
            </w:r>
            <w:r>
              <w:rPr>
                <w:noProof/>
                <w:webHidden/>
              </w:rPr>
              <w:instrText xml:space="preserve"> PAGEREF _Toc96697987 \h </w:instrText>
            </w:r>
            <w:r>
              <w:rPr>
                <w:noProof/>
                <w:webHidden/>
              </w:rPr>
            </w:r>
            <w:r>
              <w:rPr>
                <w:noProof/>
                <w:webHidden/>
              </w:rPr>
              <w:fldChar w:fldCharType="separate"/>
            </w:r>
            <w:r>
              <w:rPr>
                <w:noProof/>
                <w:webHidden/>
              </w:rPr>
              <w:t>29</w:t>
            </w:r>
            <w:r>
              <w:rPr>
                <w:noProof/>
                <w:webHidden/>
              </w:rPr>
              <w:fldChar w:fldCharType="end"/>
            </w:r>
          </w:hyperlink>
        </w:p>
        <w:p w14:paraId="4E504FFC" w14:textId="6D0479CE" w:rsidR="00E80406" w:rsidRDefault="00E80406">
          <w:pPr>
            <w:pStyle w:val="TM4"/>
            <w:rPr>
              <w:rFonts w:asciiTheme="minorHAnsi" w:eastAsiaTheme="minorEastAsia" w:hAnsiTheme="minorHAnsi" w:cstheme="minorBidi"/>
              <w:noProof/>
            </w:rPr>
          </w:pPr>
          <w:hyperlink w:anchor="_Toc96697988" w:history="1">
            <w:r w:rsidRPr="007864E8">
              <w:rPr>
                <w:rStyle w:val="Lienhypertexte"/>
                <w:noProof/>
              </w:rPr>
              <w:t>3.3.1.3</w:t>
            </w:r>
            <w:r>
              <w:rPr>
                <w:rFonts w:asciiTheme="minorHAnsi" w:eastAsiaTheme="minorEastAsia" w:hAnsiTheme="minorHAnsi" w:cstheme="minorBidi"/>
                <w:noProof/>
              </w:rPr>
              <w:tab/>
            </w:r>
            <w:r w:rsidRPr="007864E8">
              <w:rPr>
                <w:rStyle w:val="Lienhypertexte"/>
                <w:noProof/>
              </w:rPr>
              <w:t>Les prêts pour la transition énergétique</w:t>
            </w:r>
            <w:r>
              <w:rPr>
                <w:noProof/>
                <w:webHidden/>
              </w:rPr>
              <w:tab/>
            </w:r>
            <w:r>
              <w:rPr>
                <w:noProof/>
                <w:webHidden/>
              </w:rPr>
              <w:fldChar w:fldCharType="begin"/>
            </w:r>
            <w:r>
              <w:rPr>
                <w:noProof/>
                <w:webHidden/>
              </w:rPr>
              <w:instrText xml:space="preserve"> PAGEREF _Toc96697988 \h </w:instrText>
            </w:r>
            <w:r>
              <w:rPr>
                <w:noProof/>
                <w:webHidden/>
              </w:rPr>
            </w:r>
            <w:r>
              <w:rPr>
                <w:noProof/>
                <w:webHidden/>
              </w:rPr>
              <w:fldChar w:fldCharType="separate"/>
            </w:r>
            <w:r>
              <w:rPr>
                <w:noProof/>
                <w:webHidden/>
              </w:rPr>
              <w:t>31</w:t>
            </w:r>
            <w:r>
              <w:rPr>
                <w:noProof/>
                <w:webHidden/>
              </w:rPr>
              <w:fldChar w:fldCharType="end"/>
            </w:r>
          </w:hyperlink>
        </w:p>
        <w:p w14:paraId="7A195554" w14:textId="1F58F16E" w:rsidR="00E80406" w:rsidRDefault="00E80406">
          <w:pPr>
            <w:pStyle w:val="TM4"/>
            <w:rPr>
              <w:rFonts w:asciiTheme="minorHAnsi" w:eastAsiaTheme="minorEastAsia" w:hAnsiTheme="minorHAnsi" w:cstheme="minorBidi"/>
              <w:noProof/>
            </w:rPr>
          </w:pPr>
          <w:hyperlink w:anchor="_Toc96697989" w:history="1">
            <w:r w:rsidRPr="007864E8">
              <w:rPr>
                <w:rStyle w:val="Lienhypertexte"/>
                <w:noProof/>
              </w:rPr>
              <w:t>3.3.1.4</w:t>
            </w:r>
            <w:r>
              <w:rPr>
                <w:rFonts w:asciiTheme="minorHAnsi" w:eastAsiaTheme="minorEastAsia" w:hAnsiTheme="minorHAnsi" w:cstheme="minorBidi"/>
                <w:noProof/>
              </w:rPr>
              <w:tab/>
            </w:r>
            <w:r w:rsidRPr="007864E8">
              <w:rPr>
                <w:rStyle w:val="Lienhypertexte"/>
                <w:noProof/>
              </w:rPr>
              <w:t>Mobilité douce</w:t>
            </w:r>
            <w:r>
              <w:rPr>
                <w:noProof/>
                <w:webHidden/>
              </w:rPr>
              <w:tab/>
            </w:r>
            <w:r>
              <w:rPr>
                <w:noProof/>
                <w:webHidden/>
              </w:rPr>
              <w:fldChar w:fldCharType="begin"/>
            </w:r>
            <w:r>
              <w:rPr>
                <w:noProof/>
                <w:webHidden/>
              </w:rPr>
              <w:instrText xml:space="preserve"> PAGEREF _Toc96697989 \h </w:instrText>
            </w:r>
            <w:r>
              <w:rPr>
                <w:noProof/>
                <w:webHidden/>
              </w:rPr>
            </w:r>
            <w:r>
              <w:rPr>
                <w:noProof/>
                <w:webHidden/>
              </w:rPr>
              <w:fldChar w:fldCharType="separate"/>
            </w:r>
            <w:r>
              <w:rPr>
                <w:noProof/>
                <w:webHidden/>
              </w:rPr>
              <w:t>31</w:t>
            </w:r>
            <w:r>
              <w:rPr>
                <w:noProof/>
                <w:webHidden/>
              </w:rPr>
              <w:fldChar w:fldCharType="end"/>
            </w:r>
          </w:hyperlink>
        </w:p>
        <w:p w14:paraId="38EB6F1A" w14:textId="3FA1E99A" w:rsidR="00E80406" w:rsidRDefault="00E80406">
          <w:pPr>
            <w:pStyle w:val="TM4"/>
            <w:rPr>
              <w:rFonts w:asciiTheme="minorHAnsi" w:eastAsiaTheme="minorEastAsia" w:hAnsiTheme="minorHAnsi" w:cstheme="minorBidi"/>
              <w:noProof/>
            </w:rPr>
          </w:pPr>
          <w:hyperlink w:anchor="_Toc96697990" w:history="1">
            <w:r w:rsidRPr="007864E8">
              <w:rPr>
                <w:rStyle w:val="Lienhypertexte"/>
                <w:noProof/>
              </w:rPr>
              <w:t>3.3.1.5</w:t>
            </w:r>
            <w:r>
              <w:rPr>
                <w:rFonts w:asciiTheme="minorHAnsi" w:eastAsiaTheme="minorEastAsia" w:hAnsiTheme="minorHAnsi" w:cstheme="minorBidi"/>
                <w:noProof/>
              </w:rPr>
              <w:tab/>
            </w:r>
            <w:r w:rsidRPr="007864E8">
              <w:rPr>
                <w:rStyle w:val="Lienhypertexte"/>
                <w:noProof/>
              </w:rPr>
              <w:t>Financer la transition énergétique en épargnant sur la plateforme ENERFIP</w:t>
            </w:r>
            <w:r>
              <w:rPr>
                <w:noProof/>
                <w:webHidden/>
              </w:rPr>
              <w:tab/>
            </w:r>
            <w:r>
              <w:rPr>
                <w:noProof/>
                <w:webHidden/>
              </w:rPr>
              <w:fldChar w:fldCharType="begin"/>
            </w:r>
            <w:r>
              <w:rPr>
                <w:noProof/>
                <w:webHidden/>
              </w:rPr>
              <w:instrText xml:space="preserve"> PAGEREF _Toc96697990 \h </w:instrText>
            </w:r>
            <w:r>
              <w:rPr>
                <w:noProof/>
                <w:webHidden/>
              </w:rPr>
            </w:r>
            <w:r>
              <w:rPr>
                <w:noProof/>
                <w:webHidden/>
              </w:rPr>
              <w:fldChar w:fldCharType="separate"/>
            </w:r>
            <w:r>
              <w:rPr>
                <w:noProof/>
                <w:webHidden/>
              </w:rPr>
              <w:t>31</w:t>
            </w:r>
            <w:r>
              <w:rPr>
                <w:noProof/>
                <w:webHidden/>
              </w:rPr>
              <w:fldChar w:fldCharType="end"/>
            </w:r>
          </w:hyperlink>
        </w:p>
        <w:p w14:paraId="3B120E64" w14:textId="45443922" w:rsidR="00E80406" w:rsidRDefault="00E80406">
          <w:pPr>
            <w:pStyle w:val="TM4"/>
            <w:rPr>
              <w:rFonts w:asciiTheme="minorHAnsi" w:eastAsiaTheme="minorEastAsia" w:hAnsiTheme="minorHAnsi" w:cstheme="minorBidi"/>
              <w:noProof/>
            </w:rPr>
          </w:pPr>
          <w:hyperlink w:anchor="_Toc96697991" w:history="1">
            <w:r w:rsidRPr="007864E8">
              <w:rPr>
                <w:rStyle w:val="Lienhypertexte"/>
                <w:noProof/>
              </w:rPr>
              <w:t>3.3.1.6</w:t>
            </w:r>
            <w:r>
              <w:rPr>
                <w:rFonts w:asciiTheme="minorHAnsi" w:eastAsiaTheme="minorEastAsia" w:hAnsiTheme="minorHAnsi" w:cstheme="minorBidi"/>
                <w:noProof/>
              </w:rPr>
              <w:tab/>
            </w:r>
            <w:r w:rsidRPr="007864E8">
              <w:rPr>
                <w:rStyle w:val="Lienhypertexte"/>
                <w:noProof/>
              </w:rPr>
              <w:t>Les parts sociales des Caisses locales</w:t>
            </w:r>
            <w:r>
              <w:rPr>
                <w:noProof/>
                <w:webHidden/>
              </w:rPr>
              <w:tab/>
            </w:r>
            <w:r>
              <w:rPr>
                <w:noProof/>
                <w:webHidden/>
              </w:rPr>
              <w:fldChar w:fldCharType="begin"/>
            </w:r>
            <w:r>
              <w:rPr>
                <w:noProof/>
                <w:webHidden/>
              </w:rPr>
              <w:instrText xml:space="preserve"> PAGEREF _Toc96697991 \h </w:instrText>
            </w:r>
            <w:r>
              <w:rPr>
                <w:noProof/>
                <w:webHidden/>
              </w:rPr>
            </w:r>
            <w:r>
              <w:rPr>
                <w:noProof/>
                <w:webHidden/>
              </w:rPr>
              <w:fldChar w:fldCharType="separate"/>
            </w:r>
            <w:r>
              <w:rPr>
                <w:noProof/>
                <w:webHidden/>
              </w:rPr>
              <w:t>32</w:t>
            </w:r>
            <w:r>
              <w:rPr>
                <w:noProof/>
                <w:webHidden/>
              </w:rPr>
              <w:fldChar w:fldCharType="end"/>
            </w:r>
          </w:hyperlink>
        </w:p>
        <w:p w14:paraId="3EBED2EB" w14:textId="0E48FB1A" w:rsidR="00E80406" w:rsidRDefault="00E80406">
          <w:pPr>
            <w:pStyle w:val="TM4"/>
            <w:rPr>
              <w:rFonts w:asciiTheme="minorHAnsi" w:eastAsiaTheme="minorEastAsia" w:hAnsiTheme="minorHAnsi" w:cstheme="minorBidi"/>
              <w:noProof/>
            </w:rPr>
          </w:pPr>
          <w:hyperlink w:anchor="_Toc96697992" w:history="1">
            <w:r w:rsidRPr="007864E8">
              <w:rPr>
                <w:rStyle w:val="Lienhypertexte"/>
                <w:noProof/>
              </w:rPr>
              <w:t>3.3.1.7</w:t>
            </w:r>
            <w:r>
              <w:rPr>
                <w:rFonts w:asciiTheme="minorHAnsi" w:eastAsiaTheme="minorEastAsia" w:hAnsiTheme="minorHAnsi" w:cstheme="minorBidi"/>
                <w:noProof/>
              </w:rPr>
              <w:tab/>
            </w:r>
            <w:r w:rsidRPr="007864E8">
              <w:rPr>
                <w:rStyle w:val="Lienhypertexte"/>
                <w:noProof/>
              </w:rPr>
              <w:t>La carte - sociétaire</w:t>
            </w:r>
            <w:r>
              <w:rPr>
                <w:noProof/>
                <w:webHidden/>
              </w:rPr>
              <w:tab/>
            </w:r>
            <w:r>
              <w:rPr>
                <w:noProof/>
                <w:webHidden/>
              </w:rPr>
              <w:fldChar w:fldCharType="begin"/>
            </w:r>
            <w:r>
              <w:rPr>
                <w:noProof/>
                <w:webHidden/>
              </w:rPr>
              <w:instrText xml:space="preserve"> PAGEREF _Toc96697992 \h </w:instrText>
            </w:r>
            <w:r>
              <w:rPr>
                <w:noProof/>
                <w:webHidden/>
              </w:rPr>
            </w:r>
            <w:r>
              <w:rPr>
                <w:noProof/>
                <w:webHidden/>
              </w:rPr>
              <w:fldChar w:fldCharType="separate"/>
            </w:r>
            <w:r>
              <w:rPr>
                <w:noProof/>
                <w:webHidden/>
              </w:rPr>
              <w:t>32</w:t>
            </w:r>
            <w:r>
              <w:rPr>
                <w:noProof/>
                <w:webHidden/>
              </w:rPr>
              <w:fldChar w:fldCharType="end"/>
            </w:r>
          </w:hyperlink>
        </w:p>
        <w:p w14:paraId="39AE4AE0" w14:textId="6A8B7B1C" w:rsidR="00E80406" w:rsidRDefault="00E80406">
          <w:pPr>
            <w:pStyle w:val="TM4"/>
            <w:rPr>
              <w:rFonts w:asciiTheme="minorHAnsi" w:eastAsiaTheme="minorEastAsia" w:hAnsiTheme="minorHAnsi" w:cstheme="minorBidi"/>
              <w:noProof/>
            </w:rPr>
          </w:pPr>
          <w:hyperlink w:anchor="_Toc96697993" w:history="1">
            <w:r w:rsidRPr="007864E8">
              <w:rPr>
                <w:rStyle w:val="Lienhypertexte"/>
                <w:noProof/>
              </w:rPr>
              <w:t>3.3.1.8</w:t>
            </w:r>
            <w:r>
              <w:rPr>
                <w:rFonts w:asciiTheme="minorHAnsi" w:eastAsiaTheme="minorEastAsia" w:hAnsiTheme="minorHAnsi" w:cstheme="minorBidi"/>
                <w:noProof/>
              </w:rPr>
              <w:tab/>
            </w:r>
            <w:r w:rsidRPr="007864E8">
              <w:rPr>
                <w:rStyle w:val="Lienhypertexte"/>
                <w:noProof/>
              </w:rPr>
              <w:t>Assurances auto</w:t>
            </w:r>
            <w:r>
              <w:rPr>
                <w:noProof/>
                <w:webHidden/>
              </w:rPr>
              <w:tab/>
            </w:r>
            <w:r>
              <w:rPr>
                <w:noProof/>
                <w:webHidden/>
              </w:rPr>
              <w:fldChar w:fldCharType="begin"/>
            </w:r>
            <w:r>
              <w:rPr>
                <w:noProof/>
                <w:webHidden/>
              </w:rPr>
              <w:instrText xml:space="preserve"> PAGEREF _Toc96697993 \h </w:instrText>
            </w:r>
            <w:r>
              <w:rPr>
                <w:noProof/>
                <w:webHidden/>
              </w:rPr>
            </w:r>
            <w:r>
              <w:rPr>
                <w:noProof/>
                <w:webHidden/>
              </w:rPr>
              <w:fldChar w:fldCharType="separate"/>
            </w:r>
            <w:r>
              <w:rPr>
                <w:noProof/>
                <w:webHidden/>
              </w:rPr>
              <w:t>32</w:t>
            </w:r>
            <w:r>
              <w:rPr>
                <w:noProof/>
                <w:webHidden/>
              </w:rPr>
              <w:fldChar w:fldCharType="end"/>
            </w:r>
          </w:hyperlink>
        </w:p>
        <w:p w14:paraId="6E7B547B" w14:textId="329F08C4" w:rsidR="00E80406" w:rsidRDefault="00E80406">
          <w:pPr>
            <w:pStyle w:val="TM4"/>
            <w:rPr>
              <w:rFonts w:asciiTheme="minorHAnsi" w:eastAsiaTheme="minorEastAsia" w:hAnsiTheme="minorHAnsi" w:cstheme="minorBidi"/>
              <w:noProof/>
            </w:rPr>
          </w:pPr>
          <w:hyperlink w:anchor="_Toc96697994" w:history="1">
            <w:r w:rsidRPr="007864E8">
              <w:rPr>
                <w:rStyle w:val="Lienhypertexte"/>
                <w:noProof/>
              </w:rPr>
              <w:t>3.3.1.9</w:t>
            </w:r>
            <w:r>
              <w:rPr>
                <w:rFonts w:asciiTheme="minorHAnsi" w:eastAsiaTheme="minorEastAsia" w:hAnsiTheme="minorHAnsi" w:cstheme="minorBidi"/>
                <w:noProof/>
              </w:rPr>
              <w:tab/>
            </w:r>
            <w:r w:rsidRPr="007864E8">
              <w:rPr>
                <w:rStyle w:val="Lienhypertexte"/>
                <w:noProof/>
              </w:rPr>
              <w:t>L’offre 1ère clé en Albigeois</w:t>
            </w:r>
            <w:r>
              <w:rPr>
                <w:noProof/>
                <w:webHidden/>
              </w:rPr>
              <w:tab/>
            </w:r>
            <w:r>
              <w:rPr>
                <w:noProof/>
                <w:webHidden/>
              </w:rPr>
              <w:fldChar w:fldCharType="begin"/>
            </w:r>
            <w:r>
              <w:rPr>
                <w:noProof/>
                <w:webHidden/>
              </w:rPr>
              <w:instrText xml:space="preserve"> PAGEREF _Toc96697994 \h </w:instrText>
            </w:r>
            <w:r>
              <w:rPr>
                <w:noProof/>
                <w:webHidden/>
              </w:rPr>
            </w:r>
            <w:r>
              <w:rPr>
                <w:noProof/>
                <w:webHidden/>
              </w:rPr>
              <w:fldChar w:fldCharType="separate"/>
            </w:r>
            <w:r>
              <w:rPr>
                <w:noProof/>
                <w:webHidden/>
              </w:rPr>
              <w:t>32</w:t>
            </w:r>
            <w:r>
              <w:rPr>
                <w:noProof/>
                <w:webHidden/>
              </w:rPr>
              <w:fldChar w:fldCharType="end"/>
            </w:r>
          </w:hyperlink>
        </w:p>
        <w:p w14:paraId="0C64DC1C" w14:textId="4DDD8B91"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95" w:history="1">
            <w:r w:rsidRPr="007864E8">
              <w:rPr>
                <w:rStyle w:val="Lienhypertexte"/>
                <w:noProof/>
              </w:rPr>
              <w:t>3.3.2</w:t>
            </w:r>
            <w:r>
              <w:rPr>
                <w:rFonts w:asciiTheme="minorHAnsi" w:eastAsiaTheme="minorEastAsia" w:hAnsiTheme="minorHAnsi" w:cstheme="minorBidi"/>
                <w:noProof/>
                <w:sz w:val="22"/>
                <w:lang w:eastAsia="fr-FR"/>
              </w:rPr>
              <w:tab/>
            </w:r>
            <w:r w:rsidRPr="007864E8">
              <w:rPr>
                <w:rStyle w:val="Lienhypertexte"/>
                <w:noProof/>
              </w:rPr>
              <w:t>Accompagner les transitions sur le marché des Agriculteurs et des Professionnels</w:t>
            </w:r>
            <w:r>
              <w:rPr>
                <w:noProof/>
                <w:webHidden/>
              </w:rPr>
              <w:tab/>
            </w:r>
            <w:r>
              <w:rPr>
                <w:noProof/>
                <w:webHidden/>
              </w:rPr>
              <w:fldChar w:fldCharType="begin"/>
            </w:r>
            <w:r>
              <w:rPr>
                <w:noProof/>
                <w:webHidden/>
              </w:rPr>
              <w:instrText xml:space="preserve"> PAGEREF _Toc96697995 \h </w:instrText>
            </w:r>
            <w:r>
              <w:rPr>
                <w:noProof/>
                <w:webHidden/>
              </w:rPr>
            </w:r>
            <w:r>
              <w:rPr>
                <w:noProof/>
                <w:webHidden/>
              </w:rPr>
              <w:fldChar w:fldCharType="separate"/>
            </w:r>
            <w:r>
              <w:rPr>
                <w:noProof/>
                <w:webHidden/>
              </w:rPr>
              <w:t>33</w:t>
            </w:r>
            <w:r>
              <w:rPr>
                <w:noProof/>
                <w:webHidden/>
              </w:rPr>
              <w:fldChar w:fldCharType="end"/>
            </w:r>
          </w:hyperlink>
        </w:p>
        <w:p w14:paraId="145CE788" w14:textId="5B75EB51" w:rsidR="00E80406" w:rsidRDefault="00E80406">
          <w:pPr>
            <w:pStyle w:val="TM4"/>
            <w:rPr>
              <w:rFonts w:asciiTheme="minorHAnsi" w:eastAsiaTheme="minorEastAsia" w:hAnsiTheme="minorHAnsi" w:cstheme="minorBidi"/>
              <w:noProof/>
            </w:rPr>
          </w:pPr>
          <w:hyperlink w:anchor="_Toc96697996" w:history="1">
            <w:r w:rsidRPr="007864E8">
              <w:rPr>
                <w:rStyle w:val="Lienhypertexte"/>
                <w:noProof/>
              </w:rPr>
              <w:t>3.3.2.1</w:t>
            </w:r>
            <w:r>
              <w:rPr>
                <w:rFonts w:asciiTheme="minorHAnsi" w:eastAsiaTheme="minorEastAsia" w:hAnsiTheme="minorHAnsi" w:cstheme="minorBidi"/>
                <w:noProof/>
              </w:rPr>
              <w:tab/>
            </w:r>
            <w:r w:rsidRPr="007864E8">
              <w:rPr>
                <w:rStyle w:val="Lienhypertexte"/>
                <w:noProof/>
              </w:rPr>
              <w:t>Les prêts aux agriculteurs et professionnels pour la Transition énergétique</w:t>
            </w:r>
            <w:r>
              <w:rPr>
                <w:noProof/>
                <w:webHidden/>
              </w:rPr>
              <w:tab/>
            </w:r>
            <w:r>
              <w:rPr>
                <w:noProof/>
                <w:webHidden/>
              </w:rPr>
              <w:fldChar w:fldCharType="begin"/>
            </w:r>
            <w:r>
              <w:rPr>
                <w:noProof/>
                <w:webHidden/>
              </w:rPr>
              <w:instrText xml:space="preserve"> PAGEREF _Toc96697996 \h </w:instrText>
            </w:r>
            <w:r>
              <w:rPr>
                <w:noProof/>
                <w:webHidden/>
              </w:rPr>
            </w:r>
            <w:r>
              <w:rPr>
                <w:noProof/>
                <w:webHidden/>
              </w:rPr>
              <w:fldChar w:fldCharType="separate"/>
            </w:r>
            <w:r>
              <w:rPr>
                <w:noProof/>
                <w:webHidden/>
              </w:rPr>
              <w:t>33</w:t>
            </w:r>
            <w:r>
              <w:rPr>
                <w:noProof/>
                <w:webHidden/>
              </w:rPr>
              <w:fldChar w:fldCharType="end"/>
            </w:r>
          </w:hyperlink>
        </w:p>
        <w:p w14:paraId="4B2AF937" w14:textId="0CF67D55" w:rsidR="00E80406" w:rsidRDefault="00E80406">
          <w:pPr>
            <w:pStyle w:val="TM4"/>
            <w:rPr>
              <w:rFonts w:asciiTheme="minorHAnsi" w:eastAsiaTheme="minorEastAsia" w:hAnsiTheme="minorHAnsi" w:cstheme="minorBidi"/>
              <w:noProof/>
            </w:rPr>
          </w:pPr>
          <w:hyperlink w:anchor="_Toc96697997" w:history="1">
            <w:r w:rsidRPr="007864E8">
              <w:rPr>
                <w:rStyle w:val="Lienhypertexte"/>
                <w:noProof/>
              </w:rPr>
              <w:t>3.3.2.2</w:t>
            </w:r>
            <w:r>
              <w:rPr>
                <w:rFonts w:asciiTheme="minorHAnsi" w:eastAsiaTheme="minorEastAsia" w:hAnsiTheme="minorHAnsi" w:cstheme="minorBidi"/>
                <w:noProof/>
              </w:rPr>
              <w:tab/>
            </w:r>
            <w:r w:rsidRPr="007864E8">
              <w:rPr>
                <w:rStyle w:val="Lienhypertexte"/>
                <w:noProof/>
              </w:rPr>
              <w:t>L’épargne</w:t>
            </w:r>
            <w:r>
              <w:rPr>
                <w:noProof/>
                <w:webHidden/>
              </w:rPr>
              <w:tab/>
            </w:r>
            <w:r>
              <w:rPr>
                <w:noProof/>
                <w:webHidden/>
              </w:rPr>
              <w:fldChar w:fldCharType="begin"/>
            </w:r>
            <w:r>
              <w:rPr>
                <w:noProof/>
                <w:webHidden/>
              </w:rPr>
              <w:instrText xml:space="preserve"> PAGEREF _Toc96697997 \h </w:instrText>
            </w:r>
            <w:r>
              <w:rPr>
                <w:noProof/>
                <w:webHidden/>
              </w:rPr>
            </w:r>
            <w:r>
              <w:rPr>
                <w:noProof/>
                <w:webHidden/>
              </w:rPr>
              <w:fldChar w:fldCharType="separate"/>
            </w:r>
            <w:r>
              <w:rPr>
                <w:noProof/>
                <w:webHidden/>
              </w:rPr>
              <w:t>33</w:t>
            </w:r>
            <w:r>
              <w:rPr>
                <w:noProof/>
                <w:webHidden/>
              </w:rPr>
              <w:fldChar w:fldCharType="end"/>
            </w:r>
          </w:hyperlink>
        </w:p>
        <w:p w14:paraId="4AA77E48" w14:textId="3C9DC92D" w:rsidR="00E80406" w:rsidRDefault="00E80406">
          <w:pPr>
            <w:pStyle w:val="TM4"/>
            <w:rPr>
              <w:rFonts w:asciiTheme="minorHAnsi" w:eastAsiaTheme="minorEastAsia" w:hAnsiTheme="minorHAnsi" w:cstheme="minorBidi"/>
              <w:noProof/>
            </w:rPr>
          </w:pPr>
          <w:hyperlink w:anchor="_Toc96697998" w:history="1">
            <w:r w:rsidRPr="007864E8">
              <w:rPr>
                <w:rStyle w:val="Lienhypertexte"/>
                <w:noProof/>
              </w:rPr>
              <w:t>3.3.2.3</w:t>
            </w:r>
            <w:r>
              <w:rPr>
                <w:rFonts w:asciiTheme="minorHAnsi" w:eastAsiaTheme="minorEastAsia" w:hAnsiTheme="minorHAnsi" w:cstheme="minorBidi"/>
                <w:noProof/>
              </w:rPr>
              <w:tab/>
            </w:r>
            <w:r w:rsidRPr="007864E8">
              <w:rPr>
                <w:rStyle w:val="Lienhypertexte"/>
                <w:noProof/>
              </w:rPr>
              <w:t>Accompagner les transitions agricoles</w:t>
            </w:r>
            <w:r>
              <w:rPr>
                <w:noProof/>
                <w:webHidden/>
              </w:rPr>
              <w:tab/>
            </w:r>
            <w:r>
              <w:rPr>
                <w:noProof/>
                <w:webHidden/>
              </w:rPr>
              <w:fldChar w:fldCharType="begin"/>
            </w:r>
            <w:r>
              <w:rPr>
                <w:noProof/>
                <w:webHidden/>
              </w:rPr>
              <w:instrText xml:space="preserve"> PAGEREF _Toc96697998 \h </w:instrText>
            </w:r>
            <w:r>
              <w:rPr>
                <w:noProof/>
                <w:webHidden/>
              </w:rPr>
            </w:r>
            <w:r>
              <w:rPr>
                <w:noProof/>
                <w:webHidden/>
              </w:rPr>
              <w:fldChar w:fldCharType="separate"/>
            </w:r>
            <w:r>
              <w:rPr>
                <w:noProof/>
                <w:webHidden/>
              </w:rPr>
              <w:t>34</w:t>
            </w:r>
            <w:r>
              <w:rPr>
                <w:noProof/>
                <w:webHidden/>
              </w:rPr>
              <w:fldChar w:fldCharType="end"/>
            </w:r>
          </w:hyperlink>
        </w:p>
        <w:p w14:paraId="16A47F0E" w14:textId="6DEE1EC3"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7999" w:history="1">
            <w:r w:rsidRPr="007864E8">
              <w:rPr>
                <w:rStyle w:val="Lienhypertexte"/>
                <w:noProof/>
              </w:rPr>
              <w:t>3.3.3</w:t>
            </w:r>
            <w:r>
              <w:rPr>
                <w:rFonts w:asciiTheme="minorHAnsi" w:eastAsiaTheme="minorEastAsia" w:hAnsiTheme="minorHAnsi" w:cstheme="minorBidi"/>
                <w:noProof/>
                <w:sz w:val="22"/>
                <w:lang w:eastAsia="fr-FR"/>
              </w:rPr>
              <w:tab/>
            </w:r>
            <w:r w:rsidRPr="007864E8">
              <w:rPr>
                <w:rStyle w:val="Lienhypertexte"/>
                <w:noProof/>
              </w:rPr>
              <w:t>Accompagner les transitions des Entreprises</w:t>
            </w:r>
            <w:r>
              <w:rPr>
                <w:noProof/>
                <w:webHidden/>
              </w:rPr>
              <w:tab/>
            </w:r>
            <w:r>
              <w:rPr>
                <w:noProof/>
                <w:webHidden/>
              </w:rPr>
              <w:fldChar w:fldCharType="begin"/>
            </w:r>
            <w:r>
              <w:rPr>
                <w:noProof/>
                <w:webHidden/>
              </w:rPr>
              <w:instrText xml:space="preserve"> PAGEREF _Toc96697999 \h </w:instrText>
            </w:r>
            <w:r>
              <w:rPr>
                <w:noProof/>
                <w:webHidden/>
              </w:rPr>
            </w:r>
            <w:r>
              <w:rPr>
                <w:noProof/>
                <w:webHidden/>
              </w:rPr>
              <w:fldChar w:fldCharType="separate"/>
            </w:r>
            <w:r>
              <w:rPr>
                <w:noProof/>
                <w:webHidden/>
              </w:rPr>
              <w:t>35</w:t>
            </w:r>
            <w:r>
              <w:rPr>
                <w:noProof/>
                <w:webHidden/>
              </w:rPr>
              <w:fldChar w:fldCharType="end"/>
            </w:r>
          </w:hyperlink>
        </w:p>
        <w:p w14:paraId="3FAAE8F8" w14:textId="1E78F5F5" w:rsidR="00E80406" w:rsidRDefault="00E80406">
          <w:pPr>
            <w:pStyle w:val="TM4"/>
            <w:rPr>
              <w:rFonts w:asciiTheme="minorHAnsi" w:eastAsiaTheme="minorEastAsia" w:hAnsiTheme="minorHAnsi" w:cstheme="minorBidi"/>
              <w:noProof/>
            </w:rPr>
          </w:pPr>
          <w:hyperlink w:anchor="_Toc96698000" w:history="1">
            <w:r w:rsidRPr="007864E8">
              <w:rPr>
                <w:rStyle w:val="Lienhypertexte"/>
                <w:noProof/>
              </w:rPr>
              <w:t>3.3.3.1</w:t>
            </w:r>
            <w:r>
              <w:rPr>
                <w:rFonts w:asciiTheme="minorHAnsi" w:eastAsiaTheme="minorEastAsia" w:hAnsiTheme="minorHAnsi" w:cstheme="minorBidi"/>
                <w:noProof/>
              </w:rPr>
              <w:tab/>
            </w:r>
            <w:r w:rsidRPr="007864E8">
              <w:rPr>
                <w:rStyle w:val="Lienhypertexte"/>
                <w:noProof/>
              </w:rPr>
              <w:t>Accompagner les démarches RSE des Entreprises</w:t>
            </w:r>
            <w:r>
              <w:rPr>
                <w:noProof/>
                <w:webHidden/>
              </w:rPr>
              <w:tab/>
            </w:r>
            <w:r>
              <w:rPr>
                <w:noProof/>
                <w:webHidden/>
              </w:rPr>
              <w:fldChar w:fldCharType="begin"/>
            </w:r>
            <w:r>
              <w:rPr>
                <w:noProof/>
                <w:webHidden/>
              </w:rPr>
              <w:instrText xml:space="preserve"> PAGEREF _Toc96698000 \h </w:instrText>
            </w:r>
            <w:r>
              <w:rPr>
                <w:noProof/>
                <w:webHidden/>
              </w:rPr>
            </w:r>
            <w:r>
              <w:rPr>
                <w:noProof/>
                <w:webHidden/>
              </w:rPr>
              <w:fldChar w:fldCharType="separate"/>
            </w:r>
            <w:r>
              <w:rPr>
                <w:noProof/>
                <w:webHidden/>
              </w:rPr>
              <w:t>35</w:t>
            </w:r>
            <w:r>
              <w:rPr>
                <w:noProof/>
                <w:webHidden/>
              </w:rPr>
              <w:fldChar w:fldCharType="end"/>
            </w:r>
          </w:hyperlink>
        </w:p>
        <w:p w14:paraId="1AB8445E" w14:textId="34B977E9" w:rsidR="00E80406" w:rsidRDefault="00E80406">
          <w:pPr>
            <w:pStyle w:val="TM4"/>
            <w:rPr>
              <w:rFonts w:asciiTheme="minorHAnsi" w:eastAsiaTheme="minorEastAsia" w:hAnsiTheme="minorHAnsi" w:cstheme="minorBidi"/>
              <w:noProof/>
            </w:rPr>
          </w:pPr>
          <w:hyperlink w:anchor="_Toc96698001" w:history="1">
            <w:r w:rsidRPr="007864E8">
              <w:rPr>
                <w:rStyle w:val="Lienhypertexte"/>
                <w:noProof/>
              </w:rPr>
              <w:t>3.3.3.2</w:t>
            </w:r>
            <w:r>
              <w:rPr>
                <w:rFonts w:asciiTheme="minorHAnsi" w:eastAsiaTheme="minorEastAsia" w:hAnsiTheme="minorHAnsi" w:cstheme="minorBidi"/>
                <w:noProof/>
              </w:rPr>
              <w:tab/>
            </w:r>
            <w:r w:rsidRPr="007864E8">
              <w:rPr>
                <w:rStyle w:val="Lienhypertexte"/>
                <w:noProof/>
              </w:rPr>
              <w:t>La cellule d’expertise dédiée à la Transition Energétique</w:t>
            </w:r>
            <w:r>
              <w:rPr>
                <w:noProof/>
                <w:webHidden/>
              </w:rPr>
              <w:tab/>
            </w:r>
            <w:r>
              <w:rPr>
                <w:noProof/>
                <w:webHidden/>
              </w:rPr>
              <w:fldChar w:fldCharType="begin"/>
            </w:r>
            <w:r>
              <w:rPr>
                <w:noProof/>
                <w:webHidden/>
              </w:rPr>
              <w:instrText xml:space="preserve"> PAGEREF _Toc96698001 \h </w:instrText>
            </w:r>
            <w:r>
              <w:rPr>
                <w:noProof/>
                <w:webHidden/>
              </w:rPr>
            </w:r>
            <w:r>
              <w:rPr>
                <w:noProof/>
                <w:webHidden/>
              </w:rPr>
              <w:fldChar w:fldCharType="separate"/>
            </w:r>
            <w:r>
              <w:rPr>
                <w:noProof/>
                <w:webHidden/>
              </w:rPr>
              <w:t>36</w:t>
            </w:r>
            <w:r>
              <w:rPr>
                <w:noProof/>
                <w:webHidden/>
              </w:rPr>
              <w:fldChar w:fldCharType="end"/>
            </w:r>
          </w:hyperlink>
        </w:p>
        <w:p w14:paraId="2A238E8F" w14:textId="2F03AED4" w:rsidR="00E80406" w:rsidRDefault="00E80406">
          <w:pPr>
            <w:pStyle w:val="TM4"/>
            <w:rPr>
              <w:rFonts w:asciiTheme="minorHAnsi" w:eastAsiaTheme="minorEastAsia" w:hAnsiTheme="minorHAnsi" w:cstheme="minorBidi"/>
              <w:noProof/>
            </w:rPr>
          </w:pPr>
          <w:hyperlink w:anchor="_Toc96698002" w:history="1">
            <w:r w:rsidRPr="007864E8">
              <w:rPr>
                <w:rStyle w:val="Lienhypertexte"/>
                <w:noProof/>
              </w:rPr>
              <w:t>3.3.3.3</w:t>
            </w:r>
            <w:r>
              <w:rPr>
                <w:rFonts w:asciiTheme="minorHAnsi" w:eastAsiaTheme="minorEastAsia" w:hAnsiTheme="minorHAnsi" w:cstheme="minorBidi"/>
                <w:noProof/>
              </w:rPr>
              <w:tab/>
            </w:r>
            <w:r w:rsidRPr="007864E8">
              <w:rPr>
                <w:rStyle w:val="Lienhypertexte"/>
                <w:noProof/>
              </w:rPr>
              <w:t>Les solutions de financement de la TE</w:t>
            </w:r>
            <w:r>
              <w:rPr>
                <w:noProof/>
                <w:webHidden/>
              </w:rPr>
              <w:tab/>
            </w:r>
            <w:r>
              <w:rPr>
                <w:noProof/>
                <w:webHidden/>
              </w:rPr>
              <w:fldChar w:fldCharType="begin"/>
            </w:r>
            <w:r>
              <w:rPr>
                <w:noProof/>
                <w:webHidden/>
              </w:rPr>
              <w:instrText xml:space="preserve"> PAGEREF _Toc96698002 \h </w:instrText>
            </w:r>
            <w:r>
              <w:rPr>
                <w:noProof/>
                <w:webHidden/>
              </w:rPr>
            </w:r>
            <w:r>
              <w:rPr>
                <w:noProof/>
                <w:webHidden/>
              </w:rPr>
              <w:fldChar w:fldCharType="separate"/>
            </w:r>
            <w:r>
              <w:rPr>
                <w:noProof/>
                <w:webHidden/>
              </w:rPr>
              <w:t>36</w:t>
            </w:r>
            <w:r>
              <w:rPr>
                <w:noProof/>
                <w:webHidden/>
              </w:rPr>
              <w:fldChar w:fldCharType="end"/>
            </w:r>
          </w:hyperlink>
        </w:p>
        <w:p w14:paraId="3120D792" w14:textId="7CA5B35F" w:rsidR="00E80406" w:rsidRDefault="00E80406">
          <w:pPr>
            <w:pStyle w:val="TM4"/>
            <w:rPr>
              <w:rFonts w:asciiTheme="minorHAnsi" w:eastAsiaTheme="minorEastAsia" w:hAnsiTheme="minorHAnsi" w:cstheme="minorBidi"/>
              <w:noProof/>
            </w:rPr>
          </w:pPr>
          <w:hyperlink w:anchor="_Toc96698003" w:history="1">
            <w:r w:rsidRPr="007864E8">
              <w:rPr>
                <w:rStyle w:val="Lienhypertexte"/>
                <w:noProof/>
              </w:rPr>
              <w:t>3.3.3.4</w:t>
            </w:r>
            <w:r>
              <w:rPr>
                <w:rFonts w:asciiTheme="minorHAnsi" w:eastAsiaTheme="minorEastAsia" w:hAnsiTheme="minorHAnsi" w:cstheme="minorBidi"/>
                <w:noProof/>
              </w:rPr>
              <w:tab/>
            </w:r>
            <w:r w:rsidRPr="007864E8">
              <w:rPr>
                <w:rStyle w:val="Lienhypertexte"/>
                <w:noProof/>
              </w:rPr>
              <w:t>L’apport en fonds propres sur les projets de Transition Energétique.</w:t>
            </w:r>
            <w:r>
              <w:rPr>
                <w:noProof/>
                <w:webHidden/>
              </w:rPr>
              <w:tab/>
            </w:r>
            <w:r>
              <w:rPr>
                <w:noProof/>
                <w:webHidden/>
              </w:rPr>
              <w:fldChar w:fldCharType="begin"/>
            </w:r>
            <w:r>
              <w:rPr>
                <w:noProof/>
                <w:webHidden/>
              </w:rPr>
              <w:instrText xml:space="preserve"> PAGEREF _Toc96698003 \h </w:instrText>
            </w:r>
            <w:r>
              <w:rPr>
                <w:noProof/>
                <w:webHidden/>
              </w:rPr>
            </w:r>
            <w:r>
              <w:rPr>
                <w:noProof/>
                <w:webHidden/>
              </w:rPr>
              <w:fldChar w:fldCharType="separate"/>
            </w:r>
            <w:r>
              <w:rPr>
                <w:noProof/>
                <w:webHidden/>
              </w:rPr>
              <w:t>36</w:t>
            </w:r>
            <w:r>
              <w:rPr>
                <w:noProof/>
                <w:webHidden/>
              </w:rPr>
              <w:fldChar w:fldCharType="end"/>
            </w:r>
          </w:hyperlink>
        </w:p>
        <w:p w14:paraId="53FACACA" w14:textId="2990FE69" w:rsidR="00E80406" w:rsidRDefault="00E80406">
          <w:pPr>
            <w:pStyle w:val="TM2"/>
            <w:rPr>
              <w:rFonts w:asciiTheme="minorHAnsi" w:eastAsiaTheme="minorEastAsia" w:hAnsiTheme="minorHAnsi" w:cstheme="minorBidi"/>
              <w:noProof/>
              <w:lang w:eastAsia="fr-FR"/>
            </w:rPr>
          </w:pPr>
          <w:hyperlink w:anchor="_Toc96698004" w:history="1">
            <w:r w:rsidRPr="007864E8">
              <w:rPr>
                <w:rStyle w:val="Lienhypertexte"/>
                <w:noProof/>
              </w:rPr>
              <w:t>3.4</w:t>
            </w:r>
            <w:r>
              <w:rPr>
                <w:rFonts w:asciiTheme="minorHAnsi" w:eastAsiaTheme="minorEastAsia" w:hAnsiTheme="minorHAnsi" w:cstheme="minorBidi"/>
                <w:noProof/>
                <w:lang w:eastAsia="fr-FR"/>
              </w:rPr>
              <w:tab/>
            </w:r>
            <w:r w:rsidRPr="007864E8">
              <w:rPr>
                <w:rStyle w:val="Lienhypertexte"/>
                <w:noProof/>
              </w:rPr>
              <w:t>Etre le partenaire solidaire du territoire.</w:t>
            </w:r>
            <w:r>
              <w:rPr>
                <w:noProof/>
                <w:webHidden/>
              </w:rPr>
              <w:tab/>
            </w:r>
            <w:r>
              <w:rPr>
                <w:noProof/>
                <w:webHidden/>
              </w:rPr>
              <w:fldChar w:fldCharType="begin"/>
            </w:r>
            <w:r>
              <w:rPr>
                <w:noProof/>
                <w:webHidden/>
              </w:rPr>
              <w:instrText xml:space="preserve"> PAGEREF _Toc96698004 \h </w:instrText>
            </w:r>
            <w:r>
              <w:rPr>
                <w:noProof/>
                <w:webHidden/>
              </w:rPr>
            </w:r>
            <w:r>
              <w:rPr>
                <w:noProof/>
                <w:webHidden/>
              </w:rPr>
              <w:fldChar w:fldCharType="separate"/>
            </w:r>
            <w:r>
              <w:rPr>
                <w:noProof/>
                <w:webHidden/>
              </w:rPr>
              <w:t>37</w:t>
            </w:r>
            <w:r>
              <w:rPr>
                <w:noProof/>
                <w:webHidden/>
              </w:rPr>
              <w:fldChar w:fldCharType="end"/>
            </w:r>
          </w:hyperlink>
        </w:p>
        <w:p w14:paraId="57427D8D" w14:textId="66076A9A" w:rsidR="00E80406" w:rsidRDefault="00E80406">
          <w:pPr>
            <w:pStyle w:val="TM4"/>
            <w:rPr>
              <w:rFonts w:asciiTheme="minorHAnsi" w:eastAsiaTheme="minorEastAsia" w:hAnsiTheme="minorHAnsi" w:cstheme="minorBidi"/>
              <w:noProof/>
            </w:rPr>
          </w:pPr>
          <w:hyperlink w:anchor="_Toc96698005" w:history="1">
            <w:r w:rsidRPr="007864E8">
              <w:rPr>
                <w:rStyle w:val="Lienhypertexte"/>
                <w:noProof/>
              </w:rPr>
              <w:t>3.4.1.1</w:t>
            </w:r>
            <w:r>
              <w:rPr>
                <w:rFonts w:asciiTheme="minorHAnsi" w:eastAsiaTheme="minorEastAsia" w:hAnsiTheme="minorHAnsi" w:cstheme="minorBidi"/>
                <w:noProof/>
              </w:rPr>
              <w:tab/>
            </w:r>
            <w:r w:rsidRPr="007864E8">
              <w:rPr>
                <w:rStyle w:val="Lienhypertexte"/>
                <w:noProof/>
              </w:rPr>
              <w:t>Le CANMP, solidaire des jeunes</w:t>
            </w:r>
            <w:r>
              <w:rPr>
                <w:noProof/>
                <w:webHidden/>
              </w:rPr>
              <w:tab/>
            </w:r>
            <w:r>
              <w:rPr>
                <w:noProof/>
                <w:webHidden/>
              </w:rPr>
              <w:fldChar w:fldCharType="begin"/>
            </w:r>
            <w:r>
              <w:rPr>
                <w:noProof/>
                <w:webHidden/>
              </w:rPr>
              <w:instrText xml:space="preserve"> PAGEREF _Toc96698005 \h </w:instrText>
            </w:r>
            <w:r>
              <w:rPr>
                <w:noProof/>
                <w:webHidden/>
              </w:rPr>
            </w:r>
            <w:r>
              <w:rPr>
                <w:noProof/>
                <w:webHidden/>
              </w:rPr>
              <w:fldChar w:fldCharType="separate"/>
            </w:r>
            <w:r>
              <w:rPr>
                <w:noProof/>
                <w:webHidden/>
              </w:rPr>
              <w:t>37</w:t>
            </w:r>
            <w:r>
              <w:rPr>
                <w:noProof/>
                <w:webHidden/>
              </w:rPr>
              <w:fldChar w:fldCharType="end"/>
            </w:r>
          </w:hyperlink>
        </w:p>
        <w:p w14:paraId="2CD75FB8" w14:textId="28C2E07B"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06" w:history="1">
            <w:r w:rsidRPr="007864E8">
              <w:rPr>
                <w:rStyle w:val="Lienhypertexte"/>
                <w:noProof/>
              </w:rPr>
              <w:t>3.4.1.1.1</w:t>
            </w:r>
            <w:r>
              <w:rPr>
                <w:rFonts w:asciiTheme="minorHAnsi" w:eastAsiaTheme="minorEastAsia" w:hAnsiTheme="minorHAnsi" w:cstheme="minorBidi"/>
                <w:noProof/>
              </w:rPr>
              <w:tab/>
            </w:r>
            <w:r w:rsidRPr="007864E8">
              <w:rPr>
                <w:rStyle w:val="Lienhypertexte"/>
                <w:noProof/>
              </w:rPr>
              <w:t>L’accompagnement financier des étudiants sans caution personnelle ni condition de ressources</w:t>
            </w:r>
            <w:r>
              <w:rPr>
                <w:noProof/>
                <w:webHidden/>
              </w:rPr>
              <w:tab/>
            </w:r>
            <w:r>
              <w:rPr>
                <w:noProof/>
                <w:webHidden/>
              </w:rPr>
              <w:fldChar w:fldCharType="begin"/>
            </w:r>
            <w:r>
              <w:rPr>
                <w:noProof/>
                <w:webHidden/>
              </w:rPr>
              <w:instrText xml:space="preserve"> PAGEREF _Toc96698006 \h </w:instrText>
            </w:r>
            <w:r>
              <w:rPr>
                <w:noProof/>
                <w:webHidden/>
              </w:rPr>
            </w:r>
            <w:r>
              <w:rPr>
                <w:noProof/>
                <w:webHidden/>
              </w:rPr>
              <w:fldChar w:fldCharType="separate"/>
            </w:r>
            <w:r>
              <w:rPr>
                <w:noProof/>
                <w:webHidden/>
              </w:rPr>
              <w:t>37</w:t>
            </w:r>
            <w:r>
              <w:rPr>
                <w:noProof/>
                <w:webHidden/>
              </w:rPr>
              <w:fldChar w:fldCharType="end"/>
            </w:r>
          </w:hyperlink>
        </w:p>
        <w:p w14:paraId="5D7FD2FC" w14:textId="3F8F4AFE"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07" w:history="1">
            <w:r w:rsidRPr="007864E8">
              <w:rPr>
                <w:rStyle w:val="Lienhypertexte"/>
                <w:noProof/>
              </w:rPr>
              <w:t>3.4.1.1.2</w:t>
            </w:r>
            <w:r>
              <w:rPr>
                <w:rFonts w:asciiTheme="minorHAnsi" w:eastAsiaTheme="minorEastAsia" w:hAnsiTheme="minorHAnsi" w:cstheme="minorBidi"/>
                <w:noProof/>
              </w:rPr>
              <w:tab/>
            </w:r>
            <w:r w:rsidRPr="007864E8">
              <w:rPr>
                <w:rStyle w:val="Lienhypertexte"/>
                <w:noProof/>
              </w:rPr>
              <w:t>Le Fond’Action Jeunes du CANMP</w:t>
            </w:r>
            <w:r>
              <w:rPr>
                <w:noProof/>
                <w:webHidden/>
              </w:rPr>
              <w:tab/>
            </w:r>
            <w:r>
              <w:rPr>
                <w:noProof/>
                <w:webHidden/>
              </w:rPr>
              <w:fldChar w:fldCharType="begin"/>
            </w:r>
            <w:r>
              <w:rPr>
                <w:noProof/>
                <w:webHidden/>
              </w:rPr>
              <w:instrText xml:space="preserve"> PAGEREF _Toc96698007 \h </w:instrText>
            </w:r>
            <w:r>
              <w:rPr>
                <w:noProof/>
                <w:webHidden/>
              </w:rPr>
            </w:r>
            <w:r>
              <w:rPr>
                <w:noProof/>
                <w:webHidden/>
              </w:rPr>
              <w:fldChar w:fldCharType="separate"/>
            </w:r>
            <w:r>
              <w:rPr>
                <w:noProof/>
                <w:webHidden/>
              </w:rPr>
              <w:t>37</w:t>
            </w:r>
            <w:r>
              <w:rPr>
                <w:noProof/>
                <w:webHidden/>
              </w:rPr>
              <w:fldChar w:fldCharType="end"/>
            </w:r>
          </w:hyperlink>
        </w:p>
        <w:p w14:paraId="0BCDEFC8" w14:textId="174C9D9B"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08" w:history="1">
            <w:r w:rsidRPr="007864E8">
              <w:rPr>
                <w:rStyle w:val="Lienhypertexte"/>
                <w:noProof/>
              </w:rPr>
              <w:t>3.4.1.1.3</w:t>
            </w:r>
            <w:r>
              <w:rPr>
                <w:rFonts w:asciiTheme="minorHAnsi" w:eastAsiaTheme="minorEastAsia" w:hAnsiTheme="minorHAnsi" w:cstheme="minorBidi"/>
                <w:noProof/>
              </w:rPr>
              <w:tab/>
            </w:r>
            <w:r w:rsidRPr="007864E8">
              <w:rPr>
                <w:rStyle w:val="Lienhypertexte"/>
                <w:noProof/>
              </w:rPr>
              <w:t>Youzful</w:t>
            </w:r>
            <w:r>
              <w:rPr>
                <w:noProof/>
                <w:webHidden/>
              </w:rPr>
              <w:tab/>
            </w:r>
            <w:r>
              <w:rPr>
                <w:noProof/>
                <w:webHidden/>
              </w:rPr>
              <w:fldChar w:fldCharType="begin"/>
            </w:r>
            <w:r>
              <w:rPr>
                <w:noProof/>
                <w:webHidden/>
              </w:rPr>
              <w:instrText xml:space="preserve"> PAGEREF _Toc96698008 \h </w:instrText>
            </w:r>
            <w:r>
              <w:rPr>
                <w:noProof/>
                <w:webHidden/>
              </w:rPr>
            </w:r>
            <w:r>
              <w:rPr>
                <w:noProof/>
                <w:webHidden/>
              </w:rPr>
              <w:fldChar w:fldCharType="separate"/>
            </w:r>
            <w:r>
              <w:rPr>
                <w:noProof/>
                <w:webHidden/>
              </w:rPr>
              <w:t>38</w:t>
            </w:r>
            <w:r>
              <w:rPr>
                <w:noProof/>
                <w:webHidden/>
              </w:rPr>
              <w:fldChar w:fldCharType="end"/>
            </w:r>
          </w:hyperlink>
        </w:p>
        <w:p w14:paraId="76748426" w14:textId="21F1135F"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09" w:history="1">
            <w:r w:rsidRPr="007864E8">
              <w:rPr>
                <w:rStyle w:val="Lienhypertexte"/>
                <w:noProof/>
              </w:rPr>
              <w:t>3.4.1.1.4</w:t>
            </w:r>
            <w:r>
              <w:rPr>
                <w:rFonts w:asciiTheme="minorHAnsi" w:eastAsiaTheme="minorEastAsia" w:hAnsiTheme="minorHAnsi" w:cstheme="minorBidi"/>
                <w:noProof/>
              </w:rPr>
              <w:tab/>
            </w:r>
            <w:r w:rsidRPr="007864E8">
              <w:rPr>
                <w:rStyle w:val="Lienhypertexte"/>
                <w:noProof/>
              </w:rPr>
              <w:t>Du Territoire aux Grandes écoles</w:t>
            </w:r>
            <w:r>
              <w:rPr>
                <w:noProof/>
                <w:webHidden/>
              </w:rPr>
              <w:tab/>
            </w:r>
            <w:r>
              <w:rPr>
                <w:noProof/>
                <w:webHidden/>
              </w:rPr>
              <w:fldChar w:fldCharType="begin"/>
            </w:r>
            <w:r>
              <w:rPr>
                <w:noProof/>
                <w:webHidden/>
              </w:rPr>
              <w:instrText xml:space="preserve"> PAGEREF _Toc96698009 \h </w:instrText>
            </w:r>
            <w:r>
              <w:rPr>
                <w:noProof/>
                <w:webHidden/>
              </w:rPr>
            </w:r>
            <w:r>
              <w:rPr>
                <w:noProof/>
                <w:webHidden/>
              </w:rPr>
              <w:fldChar w:fldCharType="separate"/>
            </w:r>
            <w:r>
              <w:rPr>
                <w:noProof/>
                <w:webHidden/>
              </w:rPr>
              <w:t>38</w:t>
            </w:r>
            <w:r>
              <w:rPr>
                <w:noProof/>
                <w:webHidden/>
              </w:rPr>
              <w:fldChar w:fldCharType="end"/>
            </w:r>
          </w:hyperlink>
        </w:p>
        <w:p w14:paraId="6EFEA45B" w14:textId="34C4759E"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10" w:history="1">
            <w:r w:rsidRPr="007864E8">
              <w:rPr>
                <w:rStyle w:val="Lienhypertexte"/>
                <w:noProof/>
              </w:rPr>
              <w:t>3.4.1.1.5</w:t>
            </w:r>
            <w:r>
              <w:rPr>
                <w:rFonts w:asciiTheme="minorHAnsi" w:eastAsiaTheme="minorEastAsia" w:hAnsiTheme="minorHAnsi" w:cstheme="minorBidi"/>
                <w:noProof/>
              </w:rPr>
              <w:tab/>
            </w:r>
            <w:r w:rsidRPr="007864E8">
              <w:rPr>
                <w:rStyle w:val="Lienhypertexte"/>
                <w:noProof/>
              </w:rPr>
              <w:t>Passerelle Jeunes : une aide pour les jeunes en difficulté</w:t>
            </w:r>
            <w:r>
              <w:rPr>
                <w:noProof/>
                <w:webHidden/>
              </w:rPr>
              <w:tab/>
            </w:r>
            <w:r>
              <w:rPr>
                <w:noProof/>
                <w:webHidden/>
              </w:rPr>
              <w:fldChar w:fldCharType="begin"/>
            </w:r>
            <w:r>
              <w:rPr>
                <w:noProof/>
                <w:webHidden/>
              </w:rPr>
              <w:instrText xml:space="preserve"> PAGEREF _Toc96698010 \h </w:instrText>
            </w:r>
            <w:r>
              <w:rPr>
                <w:noProof/>
                <w:webHidden/>
              </w:rPr>
            </w:r>
            <w:r>
              <w:rPr>
                <w:noProof/>
                <w:webHidden/>
              </w:rPr>
              <w:fldChar w:fldCharType="separate"/>
            </w:r>
            <w:r>
              <w:rPr>
                <w:noProof/>
                <w:webHidden/>
              </w:rPr>
              <w:t>39</w:t>
            </w:r>
            <w:r>
              <w:rPr>
                <w:noProof/>
                <w:webHidden/>
              </w:rPr>
              <w:fldChar w:fldCharType="end"/>
            </w:r>
          </w:hyperlink>
        </w:p>
        <w:p w14:paraId="39F42F52" w14:textId="14B52678"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11" w:history="1">
            <w:r w:rsidRPr="007864E8">
              <w:rPr>
                <w:rStyle w:val="Lienhypertexte"/>
                <w:noProof/>
              </w:rPr>
              <w:t>3.4.1.1.6</w:t>
            </w:r>
            <w:r>
              <w:rPr>
                <w:rFonts w:asciiTheme="minorHAnsi" w:eastAsiaTheme="minorEastAsia" w:hAnsiTheme="minorHAnsi" w:cstheme="minorBidi"/>
                <w:noProof/>
              </w:rPr>
              <w:tab/>
            </w:r>
            <w:r w:rsidRPr="007864E8">
              <w:rPr>
                <w:rStyle w:val="Lienhypertexte"/>
                <w:noProof/>
              </w:rPr>
              <w:t xml:space="preserve">L’appel à projets pour les jeunes : </w:t>
            </w:r>
            <w:r w:rsidRPr="007864E8">
              <w:rPr>
                <w:rStyle w:val="Lienhypertexte"/>
                <w:i/>
                <w:noProof/>
              </w:rPr>
              <w:t>tout REcommence ici</w:t>
            </w:r>
            <w:r w:rsidRPr="007864E8">
              <w:rPr>
                <w:rStyle w:val="Lienhypertexte"/>
                <w:noProof/>
              </w:rPr>
              <w:t> !</w:t>
            </w:r>
            <w:r>
              <w:rPr>
                <w:noProof/>
                <w:webHidden/>
              </w:rPr>
              <w:tab/>
            </w:r>
            <w:r>
              <w:rPr>
                <w:noProof/>
                <w:webHidden/>
              </w:rPr>
              <w:fldChar w:fldCharType="begin"/>
            </w:r>
            <w:r>
              <w:rPr>
                <w:noProof/>
                <w:webHidden/>
              </w:rPr>
              <w:instrText xml:space="preserve"> PAGEREF _Toc96698011 \h </w:instrText>
            </w:r>
            <w:r>
              <w:rPr>
                <w:noProof/>
                <w:webHidden/>
              </w:rPr>
            </w:r>
            <w:r>
              <w:rPr>
                <w:noProof/>
                <w:webHidden/>
              </w:rPr>
              <w:fldChar w:fldCharType="separate"/>
            </w:r>
            <w:r>
              <w:rPr>
                <w:noProof/>
                <w:webHidden/>
              </w:rPr>
              <w:t>39</w:t>
            </w:r>
            <w:r>
              <w:rPr>
                <w:noProof/>
                <w:webHidden/>
              </w:rPr>
              <w:fldChar w:fldCharType="end"/>
            </w:r>
          </w:hyperlink>
        </w:p>
        <w:p w14:paraId="67C824CB" w14:textId="68077507"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12" w:history="1">
            <w:r w:rsidRPr="007864E8">
              <w:rPr>
                <w:rStyle w:val="Lienhypertexte"/>
                <w:noProof/>
              </w:rPr>
              <w:t>3.4.1.1.7</w:t>
            </w:r>
            <w:r>
              <w:rPr>
                <w:rFonts w:asciiTheme="minorHAnsi" w:eastAsiaTheme="minorEastAsia" w:hAnsiTheme="minorHAnsi" w:cstheme="minorBidi"/>
                <w:noProof/>
              </w:rPr>
              <w:tab/>
            </w:r>
            <w:r w:rsidRPr="007864E8">
              <w:rPr>
                <w:rStyle w:val="Lienhypertexte"/>
                <w:noProof/>
              </w:rPr>
              <w:t>Le partenariat avec l’association Entreprendre pour Apprendre Midi-Pyrénées (EPA MP)</w:t>
            </w:r>
            <w:r>
              <w:rPr>
                <w:noProof/>
                <w:webHidden/>
              </w:rPr>
              <w:tab/>
            </w:r>
            <w:r>
              <w:rPr>
                <w:noProof/>
                <w:webHidden/>
              </w:rPr>
              <w:fldChar w:fldCharType="begin"/>
            </w:r>
            <w:r>
              <w:rPr>
                <w:noProof/>
                <w:webHidden/>
              </w:rPr>
              <w:instrText xml:space="preserve"> PAGEREF _Toc96698012 \h </w:instrText>
            </w:r>
            <w:r>
              <w:rPr>
                <w:noProof/>
                <w:webHidden/>
              </w:rPr>
            </w:r>
            <w:r>
              <w:rPr>
                <w:noProof/>
                <w:webHidden/>
              </w:rPr>
              <w:fldChar w:fldCharType="separate"/>
            </w:r>
            <w:r>
              <w:rPr>
                <w:noProof/>
                <w:webHidden/>
              </w:rPr>
              <w:t>39</w:t>
            </w:r>
            <w:r>
              <w:rPr>
                <w:noProof/>
                <w:webHidden/>
              </w:rPr>
              <w:fldChar w:fldCharType="end"/>
            </w:r>
          </w:hyperlink>
        </w:p>
        <w:p w14:paraId="04386EF2" w14:textId="3BAF8FC0" w:rsidR="00E80406" w:rsidRDefault="00E80406">
          <w:pPr>
            <w:pStyle w:val="TM4"/>
            <w:rPr>
              <w:rFonts w:asciiTheme="minorHAnsi" w:eastAsiaTheme="minorEastAsia" w:hAnsiTheme="minorHAnsi" w:cstheme="minorBidi"/>
              <w:noProof/>
            </w:rPr>
          </w:pPr>
          <w:hyperlink w:anchor="_Toc96698013" w:history="1">
            <w:r w:rsidRPr="007864E8">
              <w:rPr>
                <w:rStyle w:val="Lienhypertexte"/>
                <w:noProof/>
              </w:rPr>
              <w:t>3.4.1.2</w:t>
            </w:r>
            <w:r>
              <w:rPr>
                <w:rFonts w:asciiTheme="minorHAnsi" w:eastAsiaTheme="minorEastAsia" w:hAnsiTheme="minorHAnsi" w:cstheme="minorBidi"/>
                <w:noProof/>
              </w:rPr>
              <w:tab/>
            </w:r>
            <w:r w:rsidRPr="007864E8">
              <w:rPr>
                <w:rStyle w:val="Lienhypertexte"/>
                <w:noProof/>
              </w:rPr>
              <w:t>Le CANMP, soutien des acteurs du territoire</w:t>
            </w:r>
            <w:r>
              <w:rPr>
                <w:noProof/>
                <w:webHidden/>
              </w:rPr>
              <w:tab/>
            </w:r>
            <w:r>
              <w:rPr>
                <w:noProof/>
                <w:webHidden/>
              </w:rPr>
              <w:fldChar w:fldCharType="begin"/>
            </w:r>
            <w:r>
              <w:rPr>
                <w:noProof/>
                <w:webHidden/>
              </w:rPr>
              <w:instrText xml:space="preserve"> PAGEREF _Toc96698013 \h </w:instrText>
            </w:r>
            <w:r>
              <w:rPr>
                <w:noProof/>
                <w:webHidden/>
              </w:rPr>
            </w:r>
            <w:r>
              <w:rPr>
                <w:noProof/>
                <w:webHidden/>
              </w:rPr>
              <w:fldChar w:fldCharType="separate"/>
            </w:r>
            <w:r>
              <w:rPr>
                <w:noProof/>
                <w:webHidden/>
              </w:rPr>
              <w:t>39</w:t>
            </w:r>
            <w:r>
              <w:rPr>
                <w:noProof/>
                <w:webHidden/>
              </w:rPr>
              <w:fldChar w:fldCharType="end"/>
            </w:r>
          </w:hyperlink>
        </w:p>
        <w:p w14:paraId="0404DC4F" w14:textId="2D97BFBB"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14" w:history="1">
            <w:r w:rsidRPr="007864E8">
              <w:rPr>
                <w:rStyle w:val="Lienhypertexte"/>
                <w:noProof/>
              </w:rPr>
              <w:t>3.4.1.2.1</w:t>
            </w:r>
            <w:r>
              <w:rPr>
                <w:rFonts w:asciiTheme="minorHAnsi" w:eastAsiaTheme="minorEastAsia" w:hAnsiTheme="minorHAnsi" w:cstheme="minorBidi"/>
                <w:noProof/>
              </w:rPr>
              <w:tab/>
            </w:r>
            <w:r w:rsidRPr="007864E8">
              <w:rPr>
                <w:rStyle w:val="Lienhypertexte"/>
                <w:noProof/>
              </w:rPr>
              <w:t>Illustrations d’actions mutualistes</w:t>
            </w:r>
            <w:r>
              <w:rPr>
                <w:noProof/>
                <w:webHidden/>
              </w:rPr>
              <w:tab/>
            </w:r>
            <w:r>
              <w:rPr>
                <w:noProof/>
                <w:webHidden/>
              </w:rPr>
              <w:fldChar w:fldCharType="begin"/>
            </w:r>
            <w:r>
              <w:rPr>
                <w:noProof/>
                <w:webHidden/>
              </w:rPr>
              <w:instrText xml:space="preserve"> PAGEREF _Toc96698014 \h </w:instrText>
            </w:r>
            <w:r>
              <w:rPr>
                <w:noProof/>
                <w:webHidden/>
              </w:rPr>
            </w:r>
            <w:r>
              <w:rPr>
                <w:noProof/>
                <w:webHidden/>
              </w:rPr>
              <w:fldChar w:fldCharType="separate"/>
            </w:r>
            <w:r>
              <w:rPr>
                <w:noProof/>
                <w:webHidden/>
              </w:rPr>
              <w:t>40</w:t>
            </w:r>
            <w:r>
              <w:rPr>
                <w:noProof/>
                <w:webHidden/>
              </w:rPr>
              <w:fldChar w:fldCharType="end"/>
            </w:r>
          </w:hyperlink>
        </w:p>
        <w:p w14:paraId="4984847C" w14:textId="198AA0FE"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15" w:history="1">
            <w:r w:rsidRPr="007864E8">
              <w:rPr>
                <w:rStyle w:val="Lienhypertexte"/>
                <w:noProof/>
              </w:rPr>
              <w:t>3.4.1.2.2</w:t>
            </w:r>
            <w:r>
              <w:rPr>
                <w:rFonts w:asciiTheme="minorHAnsi" w:eastAsiaTheme="minorEastAsia" w:hAnsiTheme="minorHAnsi" w:cstheme="minorBidi"/>
                <w:noProof/>
              </w:rPr>
              <w:tab/>
            </w:r>
            <w:r w:rsidRPr="007864E8">
              <w:rPr>
                <w:rStyle w:val="Lienhypertexte"/>
                <w:noProof/>
              </w:rPr>
              <w:t>Les Tremplins</w:t>
            </w:r>
            <w:r>
              <w:rPr>
                <w:noProof/>
                <w:webHidden/>
              </w:rPr>
              <w:tab/>
            </w:r>
            <w:r>
              <w:rPr>
                <w:noProof/>
                <w:webHidden/>
              </w:rPr>
              <w:fldChar w:fldCharType="begin"/>
            </w:r>
            <w:r>
              <w:rPr>
                <w:noProof/>
                <w:webHidden/>
              </w:rPr>
              <w:instrText xml:space="preserve"> PAGEREF _Toc96698015 \h </w:instrText>
            </w:r>
            <w:r>
              <w:rPr>
                <w:noProof/>
                <w:webHidden/>
              </w:rPr>
            </w:r>
            <w:r>
              <w:rPr>
                <w:noProof/>
                <w:webHidden/>
              </w:rPr>
              <w:fldChar w:fldCharType="separate"/>
            </w:r>
            <w:r>
              <w:rPr>
                <w:noProof/>
                <w:webHidden/>
              </w:rPr>
              <w:t>41</w:t>
            </w:r>
            <w:r>
              <w:rPr>
                <w:noProof/>
                <w:webHidden/>
              </w:rPr>
              <w:fldChar w:fldCharType="end"/>
            </w:r>
          </w:hyperlink>
        </w:p>
        <w:p w14:paraId="7BDB7551" w14:textId="573849CD"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16" w:history="1">
            <w:r w:rsidRPr="007864E8">
              <w:rPr>
                <w:rStyle w:val="Lienhypertexte"/>
                <w:noProof/>
              </w:rPr>
              <w:t>3.4.1.2.3</w:t>
            </w:r>
            <w:r>
              <w:rPr>
                <w:rFonts w:asciiTheme="minorHAnsi" w:eastAsiaTheme="minorEastAsia" w:hAnsiTheme="minorHAnsi" w:cstheme="minorBidi"/>
                <w:noProof/>
              </w:rPr>
              <w:tab/>
            </w:r>
            <w:r w:rsidRPr="007864E8">
              <w:rPr>
                <w:rStyle w:val="Lienhypertexte"/>
                <w:noProof/>
              </w:rPr>
              <w:t>La valorisation du patrimoine avec la Fondation du Crédit Agricole-Pays de France</w:t>
            </w:r>
            <w:r>
              <w:rPr>
                <w:noProof/>
                <w:webHidden/>
              </w:rPr>
              <w:tab/>
            </w:r>
            <w:r>
              <w:rPr>
                <w:noProof/>
                <w:webHidden/>
              </w:rPr>
              <w:fldChar w:fldCharType="begin"/>
            </w:r>
            <w:r>
              <w:rPr>
                <w:noProof/>
                <w:webHidden/>
              </w:rPr>
              <w:instrText xml:space="preserve"> PAGEREF _Toc96698016 \h </w:instrText>
            </w:r>
            <w:r>
              <w:rPr>
                <w:noProof/>
                <w:webHidden/>
              </w:rPr>
            </w:r>
            <w:r>
              <w:rPr>
                <w:noProof/>
                <w:webHidden/>
              </w:rPr>
              <w:fldChar w:fldCharType="separate"/>
            </w:r>
            <w:r>
              <w:rPr>
                <w:noProof/>
                <w:webHidden/>
              </w:rPr>
              <w:t>41</w:t>
            </w:r>
            <w:r>
              <w:rPr>
                <w:noProof/>
                <w:webHidden/>
              </w:rPr>
              <w:fldChar w:fldCharType="end"/>
            </w:r>
          </w:hyperlink>
        </w:p>
        <w:p w14:paraId="2D309053" w14:textId="5451FAF5"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17" w:history="1">
            <w:r w:rsidRPr="007864E8">
              <w:rPr>
                <w:rStyle w:val="Lienhypertexte"/>
                <w:rFonts w:cs="Arial"/>
                <w:noProof/>
              </w:rPr>
              <w:t>3.4.1.2.4</w:t>
            </w:r>
            <w:r>
              <w:rPr>
                <w:rFonts w:asciiTheme="minorHAnsi" w:eastAsiaTheme="minorEastAsia" w:hAnsiTheme="minorHAnsi" w:cstheme="minorBidi"/>
                <w:noProof/>
              </w:rPr>
              <w:tab/>
            </w:r>
            <w:r w:rsidRPr="007864E8">
              <w:rPr>
                <w:rStyle w:val="Lienhypertexte"/>
                <w:noProof/>
              </w:rPr>
              <w:t>Les actions conduites avec la Fondation Crédit Agricole Solidarité et Développ</w:t>
            </w:r>
            <w:r w:rsidRPr="007864E8">
              <w:rPr>
                <w:rStyle w:val="Lienhypertexte"/>
                <w:rFonts w:cs="Arial"/>
                <w:noProof/>
              </w:rPr>
              <w:t>ement</w:t>
            </w:r>
            <w:r>
              <w:rPr>
                <w:noProof/>
                <w:webHidden/>
              </w:rPr>
              <w:tab/>
            </w:r>
            <w:r>
              <w:rPr>
                <w:noProof/>
                <w:webHidden/>
              </w:rPr>
              <w:fldChar w:fldCharType="begin"/>
            </w:r>
            <w:r>
              <w:rPr>
                <w:noProof/>
                <w:webHidden/>
              </w:rPr>
              <w:instrText xml:space="preserve"> PAGEREF _Toc96698017 \h </w:instrText>
            </w:r>
            <w:r>
              <w:rPr>
                <w:noProof/>
                <w:webHidden/>
              </w:rPr>
            </w:r>
            <w:r>
              <w:rPr>
                <w:noProof/>
                <w:webHidden/>
              </w:rPr>
              <w:fldChar w:fldCharType="separate"/>
            </w:r>
            <w:r>
              <w:rPr>
                <w:noProof/>
                <w:webHidden/>
              </w:rPr>
              <w:t>41</w:t>
            </w:r>
            <w:r>
              <w:rPr>
                <w:noProof/>
                <w:webHidden/>
              </w:rPr>
              <w:fldChar w:fldCharType="end"/>
            </w:r>
          </w:hyperlink>
        </w:p>
        <w:p w14:paraId="3B1D8935" w14:textId="39320EAC" w:rsidR="00E80406" w:rsidRDefault="00E80406">
          <w:pPr>
            <w:pStyle w:val="TM2"/>
            <w:rPr>
              <w:rFonts w:asciiTheme="minorHAnsi" w:eastAsiaTheme="minorEastAsia" w:hAnsiTheme="minorHAnsi" w:cstheme="minorBidi"/>
              <w:noProof/>
              <w:lang w:eastAsia="fr-FR"/>
            </w:rPr>
          </w:pPr>
          <w:hyperlink w:anchor="_Toc96698018" w:history="1">
            <w:r w:rsidRPr="007864E8">
              <w:rPr>
                <w:rStyle w:val="Lienhypertexte"/>
                <w:noProof/>
              </w:rPr>
              <w:t>3.5</w:t>
            </w:r>
            <w:r>
              <w:rPr>
                <w:rFonts w:asciiTheme="minorHAnsi" w:eastAsiaTheme="minorEastAsia" w:hAnsiTheme="minorHAnsi" w:cstheme="minorBidi"/>
                <w:noProof/>
                <w:lang w:eastAsia="fr-FR"/>
              </w:rPr>
              <w:tab/>
            </w:r>
            <w:r w:rsidRPr="007864E8">
              <w:rPr>
                <w:rStyle w:val="Lienhypertexte"/>
                <w:noProof/>
              </w:rPr>
              <w:t>Accompagner la montée en compétence des salariés</w:t>
            </w:r>
            <w:r>
              <w:rPr>
                <w:noProof/>
                <w:webHidden/>
              </w:rPr>
              <w:tab/>
            </w:r>
            <w:r>
              <w:rPr>
                <w:noProof/>
                <w:webHidden/>
              </w:rPr>
              <w:fldChar w:fldCharType="begin"/>
            </w:r>
            <w:r>
              <w:rPr>
                <w:noProof/>
                <w:webHidden/>
              </w:rPr>
              <w:instrText xml:space="preserve"> PAGEREF _Toc96698018 \h </w:instrText>
            </w:r>
            <w:r>
              <w:rPr>
                <w:noProof/>
                <w:webHidden/>
              </w:rPr>
            </w:r>
            <w:r>
              <w:rPr>
                <w:noProof/>
                <w:webHidden/>
              </w:rPr>
              <w:fldChar w:fldCharType="separate"/>
            </w:r>
            <w:r>
              <w:rPr>
                <w:noProof/>
                <w:webHidden/>
              </w:rPr>
              <w:t>42</w:t>
            </w:r>
            <w:r>
              <w:rPr>
                <w:noProof/>
                <w:webHidden/>
              </w:rPr>
              <w:fldChar w:fldCharType="end"/>
            </w:r>
          </w:hyperlink>
        </w:p>
        <w:p w14:paraId="772593E9" w14:textId="7E598EE3" w:rsidR="00E80406" w:rsidRDefault="00E80406">
          <w:pPr>
            <w:pStyle w:val="TM2"/>
            <w:rPr>
              <w:rFonts w:asciiTheme="minorHAnsi" w:eastAsiaTheme="minorEastAsia" w:hAnsiTheme="minorHAnsi" w:cstheme="minorBidi"/>
              <w:noProof/>
              <w:lang w:eastAsia="fr-FR"/>
            </w:rPr>
          </w:pPr>
          <w:hyperlink w:anchor="_Toc96698019" w:history="1">
            <w:r w:rsidRPr="007864E8">
              <w:rPr>
                <w:rStyle w:val="Lienhypertexte"/>
                <w:noProof/>
              </w:rPr>
              <w:t>3.6</w:t>
            </w:r>
            <w:r>
              <w:rPr>
                <w:rFonts w:asciiTheme="minorHAnsi" w:eastAsiaTheme="minorEastAsia" w:hAnsiTheme="minorHAnsi" w:cstheme="minorBidi"/>
                <w:noProof/>
                <w:lang w:eastAsia="fr-FR"/>
              </w:rPr>
              <w:tab/>
            </w:r>
            <w:r w:rsidRPr="007864E8">
              <w:rPr>
                <w:rStyle w:val="Lienhypertexte"/>
                <w:noProof/>
              </w:rPr>
              <w:t>Favoriser l'épanouissement des salariés au travail</w:t>
            </w:r>
            <w:r>
              <w:rPr>
                <w:noProof/>
                <w:webHidden/>
              </w:rPr>
              <w:tab/>
            </w:r>
            <w:r>
              <w:rPr>
                <w:noProof/>
                <w:webHidden/>
              </w:rPr>
              <w:fldChar w:fldCharType="begin"/>
            </w:r>
            <w:r>
              <w:rPr>
                <w:noProof/>
                <w:webHidden/>
              </w:rPr>
              <w:instrText xml:space="preserve"> PAGEREF _Toc96698019 \h </w:instrText>
            </w:r>
            <w:r>
              <w:rPr>
                <w:noProof/>
                <w:webHidden/>
              </w:rPr>
            </w:r>
            <w:r>
              <w:rPr>
                <w:noProof/>
                <w:webHidden/>
              </w:rPr>
              <w:fldChar w:fldCharType="separate"/>
            </w:r>
            <w:r>
              <w:rPr>
                <w:noProof/>
                <w:webHidden/>
              </w:rPr>
              <w:t>43</w:t>
            </w:r>
            <w:r>
              <w:rPr>
                <w:noProof/>
                <w:webHidden/>
              </w:rPr>
              <w:fldChar w:fldCharType="end"/>
            </w:r>
          </w:hyperlink>
        </w:p>
        <w:p w14:paraId="77A853CB" w14:textId="446060BD"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20" w:history="1">
            <w:r w:rsidRPr="007864E8">
              <w:rPr>
                <w:rStyle w:val="Lienhypertexte"/>
                <w:noProof/>
              </w:rPr>
              <w:t>3.6.1</w:t>
            </w:r>
            <w:r>
              <w:rPr>
                <w:rFonts w:asciiTheme="minorHAnsi" w:eastAsiaTheme="minorEastAsia" w:hAnsiTheme="minorHAnsi" w:cstheme="minorBidi"/>
                <w:noProof/>
                <w:sz w:val="22"/>
                <w:lang w:eastAsia="fr-FR"/>
              </w:rPr>
              <w:tab/>
            </w:r>
            <w:r w:rsidRPr="007864E8">
              <w:rPr>
                <w:rStyle w:val="Lienhypertexte"/>
                <w:noProof/>
              </w:rPr>
              <w:t>Favoriser des conditions d’emploi attractives et une organisation du temps de travail</w:t>
            </w:r>
            <w:r w:rsidRPr="007864E8">
              <w:rPr>
                <w:rStyle w:val="Lienhypertexte"/>
                <w:rFonts w:cs="Arial"/>
                <w:noProof/>
              </w:rPr>
              <w:t xml:space="preserve"> adaptée</w:t>
            </w:r>
            <w:r>
              <w:rPr>
                <w:noProof/>
                <w:webHidden/>
              </w:rPr>
              <w:tab/>
            </w:r>
            <w:r>
              <w:rPr>
                <w:noProof/>
                <w:webHidden/>
              </w:rPr>
              <w:fldChar w:fldCharType="begin"/>
            </w:r>
            <w:r>
              <w:rPr>
                <w:noProof/>
                <w:webHidden/>
              </w:rPr>
              <w:instrText xml:space="preserve"> PAGEREF _Toc96698020 \h </w:instrText>
            </w:r>
            <w:r>
              <w:rPr>
                <w:noProof/>
                <w:webHidden/>
              </w:rPr>
            </w:r>
            <w:r>
              <w:rPr>
                <w:noProof/>
                <w:webHidden/>
              </w:rPr>
              <w:fldChar w:fldCharType="separate"/>
            </w:r>
            <w:r>
              <w:rPr>
                <w:noProof/>
                <w:webHidden/>
              </w:rPr>
              <w:t>43</w:t>
            </w:r>
            <w:r>
              <w:rPr>
                <w:noProof/>
                <w:webHidden/>
              </w:rPr>
              <w:fldChar w:fldCharType="end"/>
            </w:r>
          </w:hyperlink>
        </w:p>
        <w:p w14:paraId="0FA38038" w14:textId="503A84D2"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21" w:history="1">
            <w:r w:rsidRPr="007864E8">
              <w:rPr>
                <w:rStyle w:val="Lienhypertexte"/>
                <w:noProof/>
              </w:rPr>
              <w:t>3.6.2</w:t>
            </w:r>
            <w:r>
              <w:rPr>
                <w:rFonts w:asciiTheme="minorHAnsi" w:eastAsiaTheme="minorEastAsia" w:hAnsiTheme="minorHAnsi" w:cstheme="minorBidi"/>
                <w:noProof/>
                <w:sz w:val="22"/>
                <w:lang w:eastAsia="fr-FR"/>
              </w:rPr>
              <w:tab/>
            </w:r>
            <w:r w:rsidRPr="007864E8">
              <w:rPr>
                <w:rStyle w:val="Lienhypertexte"/>
                <w:noProof/>
              </w:rPr>
              <w:t>Entretenir le dialogue social</w:t>
            </w:r>
            <w:r>
              <w:rPr>
                <w:noProof/>
                <w:webHidden/>
              </w:rPr>
              <w:tab/>
            </w:r>
            <w:r>
              <w:rPr>
                <w:noProof/>
                <w:webHidden/>
              </w:rPr>
              <w:fldChar w:fldCharType="begin"/>
            </w:r>
            <w:r>
              <w:rPr>
                <w:noProof/>
                <w:webHidden/>
              </w:rPr>
              <w:instrText xml:space="preserve"> PAGEREF _Toc96698021 \h </w:instrText>
            </w:r>
            <w:r>
              <w:rPr>
                <w:noProof/>
                <w:webHidden/>
              </w:rPr>
            </w:r>
            <w:r>
              <w:rPr>
                <w:noProof/>
                <w:webHidden/>
              </w:rPr>
              <w:fldChar w:fldCharType="separate"/>
            </w:r>
            <w:r>
              <w:rPr>
                <w:noProof/>
                <w:webHidden/>
              </w:rPr>
              <w:t>46</w:t>
            </w:r>
            <w:r>
              <w:rPr>
                <w:noProof/>
                <w:webHidden/>
              </w:rPr>
              <w:fldChar w:fldCharType="end"/>
            </w:r>
          </w:hyperlink>
        </w:p>
        <w:p w14:paraId="0E7AA65C" w14:textId="05AF08E3"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22" w:history="1">
            <w:r w:rsidRPr="007864E8">
              <w:rPr>
                <w:rStyle w:val="Lienhypertexte"/>
                <w:noProof/>
              </w:rPr>
              <w:t>3.6.3</w:t>
            </w:r>
            <w:r>
              <w:rPr>
                <w:rFonts w:asciiTheme="minorHAnsi" w:eastAsiaTheme="minorEastAsia" w:hAnsiTheme="minorHAnsi" w:cstheme="minorBidi"/>
                <w:noProof/>
                <w:sz w:val="22"/>
                <w:lang w:eastAsia="fr-FR"/>
              </w:rPr>
              <w:tab/>
            </w:r>
            <w:r w:rsidRPr="007864E8">
              <w:rPr>
                <w:rStyle w:val="Lienhypertexte"/>
                <w:noProof/>
              </w:rPr>
              <w:t>Garantir les conditions de santé et de sécurité au travail</w:t>
            </w:r>
            <w:r>
              <w:rPr>
                <w:noProof/>
                <w:webHidden/>
              </w:rPr>
              <w:tab/>
            </w:r>
            <w:r>
              <w:rPr>
                <w:noProof/>
                <w:webHidden/>
              </w:rPr>
              <w:fldChar w:fldCharType="begin"/>
            </w:r>
            <w:r>
              <w:rPr>
                <w:noProof/>
                <w:webHidden/>
              </w:rPr>
              <w:instrText xml:space="preserve"> PAGEREF _Toc96698022 \h </w:instrText>
            </w:r>
            <w:r>
              <w:rPr>
                <w:noProof/>
                <w:webHidden/>
              </w:rPr>
            </w:r>
            <w:r>
              <w:rPr>
                <w:noProof/>
                <w:webHidden/>
              </w:rPr>
              <w:fldChar w:fldCharType="separate"/>
            </w:r>
            <w:r>
              <w:rPr>
                <w:noProof/>
                <w:webHidden/>
              </w:rPr>
              <w:t>46</w:t>
            </w:r>
            <w:r>
              <w:rPr>
                <w:noProof/>
                <w:webHidden/>
              </w:rPr>
              <w:fldChar w:fldCharType="end"/>
            </w:r>
          </w:hyperlink>
        </w:p>
        <w:p w14:paraId="124CCBE0" w14:textId="01E8FE6B"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23" w:history="1">
            <w:r w:rsidRPr="007864E8">
              <w:rPr>
                <w:rStyle w:val="Lienhypertexte"/>
                <w:noProof/>
                <w:lang w:eastAsia="fr-FR"/>
              </w:rPr>
              <w:t>3.6.4</w:t>
            </w:r>
            <w:r>
              <w:rPr>
                <w:rFonts w:asciiTheme="minorHAnsi" w:eastAsiaTheme="minorEastAsia" w:hAnsiTheme="minorHAnsi" w:cstheme="minorBidi"/>
                <w:noProof/>
                <w:sz w:val="22"/>
                <w:lang w:eastAsia="fr-FR"/>
              </w:rPr>
              <w:tab/>
            </w:r>
            <w:r w:rsidRPr="007864E8">
              <w:rPr>
                <w:rStyle w:val="Lienhypertexte"/>
                <w:noProof/>
                <w:lang w:eastAsia="fr-FR"/>
              </w:rPr>
              <w:t>Le projet managérial « 100% manager »</w:t>
            </w:r>
            <w:r>
              <w:rPr>
                <w:noProof/>
                <w:webHidden/>
              </w:rPr>
              <w:tab/>
            </w:r>
            <w:r>
              <w:rPr>
                <w:noProof/>
                <w:webHidden/>
              </w:rPr>
              <w:fldChar w:fldCharType="begin"/>
            </w:r>
            <w:r>
              <w:rPr>
                <w:noProof/>
                <w:webHidden/>
              </w:rPr>
              <w:instrText xml:space="preserve"> PAGEREF _Toc96698023 \h </w:instrText>
            </w:r>
            <w:r>
              <w:rPr>
                <w:noProof/>
                <w:webHidden/>
              </w:rPr>
            </w:r>
            <w:r>
              <w:rPr>
                <w:noProof/>
                <w:webHidden/>
              </w:rPr>
              <w:fldChar w:fldCharType="separate"/>
            </w:r>
            <w:r>
              <w:rPr>
                <w:noProof/>
                <w:webHidden/>
              </w:rPr>
              <w:t>48</w:t>
            </w:r>
            <w:r>
              <w:rPr>
                <w:noProof/>
                <w:webHidden/>
              </w:rPr>
              <w:fldChar w:fldCharType="end"/>
            </w:r>
          </w:hyperlink>
        </w:p>
        <w:p w14:paraId="2736098C" w14:textId="4F057733"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24" w:history="1">
            <w:r w:rsidRPr="007864E8">
              <w:rPr>
                <w:rStyle w:val="Lienhypertexte"/>
                <w:noProof/>
              </w:rPr>
              <w:t>3.6.5</w:t>
            </w:r>
            <w:r>
              <w:rPr>
                <w:rFonts w:asciiTheme="minorHAnsi" w:eastAsiaTheme="minorEastAsia" w:hAnsiTheme="minorHAnsi" w:cstheme="minorBidi"/>
                <w:noProof/>
                <w:sz w:val="22"/>
                <w:lang w:eastAsia="fr-FR"/>
              </w:rPr>
              <w:tab/>
            </w:r>
            <w:r w:rsidRPr="007864E8">
              <w:rPr>
                <w:rStyle w:val="Lienhypertexte"/>
                <w:noProof/>
              </w:rPr>
              <w:t>Favoriser la qualité de vie au travail</w:t>
            </w:r>
            <w:r>
              <w:rPr>
                <w:noProof/>
                <w:webHidden/>
              </w:rPr>
              <w:tab/>
            </w:r>
            <w:r>
              <w:rPr>
                <w:noProof/>
                <w:webHidden/>
              </w:rPr>
              <w:fldChar w:fldCharType="begin"/>
            </w:r>
            <w:r>
              <w:rPr>
                <w:noProof/>
                <w:webHidden/>
              </w:rPr>
              <w:instrText xml:space="preserve"> PAGEREF _Toc96698024 \h </w:instrText>
            </w:r>
            <w:r>
              <w:rPr>
                <w:noProof/>
                <w:webHidden/>
              </w:rPr>
            </w:r>
            <w:r>
              <w:rPr>
                <w:noProof/>
                <w:webHidden/>
              </w:rPr>
              <w:fldChar w:fldCharType="separate"/>
            </w:r>
            <w:r>
              <w:rPr>
                <w:noProof/>
                <w:webHidden/>
              </w:rPr>
              <w:t>49</w:t>
            </w:r>
            <w:r>
              <w:rPr>
                <w:noProof/>
                <w:webHidden/>
              </w:rPr>
              <w:fldChar w:fldCharType="end"/>
            </w:r>
          </w:hyperlink>
        </w:p>
        <w:p w14:paraId="5F190A09" w14:textId="79404A23" w:rsidR="00E80406" w:rsidRDefault="00E80406">
          <w:pPr>
            <w:pStyle w:val="TM4"/>
            <w:rPr>
              <w:rFonts w:asciiTheme="minorHAnsi" w:eastAsiaTheme="minorEastAsia" w:hAnsiTheme="minorHAnsi" w:cstheme="minorBidi"/>
              <w:noProof/>
            </w:rPr>
          </w:pPr>
          <w:hyperlink w:anchor="_Toc96698025" w:history="1">
            <w:r w:rsidRPr="007864E8">
              <w:rPr>
                <w:rStyle w:val="Lienhypertexte"/>
                <w:rFonts w:cstheme="minorHAnsi"/>
                <w:noProof/>
              </w:rPr>
              <w:t>3.6.5.1</w:t>
            </w:r>
            <w:r>
              <w:rPr>
                <w:rFonts w:asciiTheme="minorHAnsi" w:eastAsiaTheme="minorEastAsia" w:hAnsiTheme="minorHAnsi" w:cstheme="minorBidi"/>
                <w:noProof/>
              </w:rPr>
              <w:tab/>
            </w:r>
            <w:r w:rsidRPr="007864E8">
              <w:rPr>
                <w:rStyle w:val="Lienhypertexte"/>
                <w:noProof/>
              </w:rPr>
              <w:t>Une démarche QVT structurée</w:t>
            </w:r>
            <w:r>
              <w:rPr>
                <w:noProof/>
                <w:webHidden/>
              </w:rPr>
              <w:tab/>
            </w:r>
            <w:r>
              <w:rPr>
                <w:noProof/>
                <w:webHidden/>
              </w:rPr>
              <w:fldChar w:fldCharType="begin"/>
            </w:r>
            <w:r>
              <w:rPr>
                <w:noProof/>
                <w:webHidden/>
              </w:rPr>
              <w:instrText xml:space="preserve"> PAGEREF _Toc96698025 \h </w:instrText>
            </w:r>
            <w:r>
              <w:rPr>
                <w:noProof/>
                <w:webHidden/>
              </w:rPr>
            </w:r>
            <w:r>
              <w:rPr>
                <w:noProof/>
                <w:webHidden/>
              </w:rPr>
              <w:fldChar w:fldCharType="separate"/>
            </w:r>
            <w:r>
              <w:rPr>
                <w:noProof/>
                <w:webHidden/>
              </w:rPr>
              <w:t>49</w:t>
            </w:r>
            <w:r>
              <w:rPr>
                <w:noProof/>
                <w:webHidden/>
              </w:rPr>
              <w:fldChar w:fldCharType="end"/>
            </w:r>
          </w:hyperlink>
        </w:p>
        <w:p w14:paraId="5EA2F4BA" w14:textId="6526D658" w:rsidR="00E80406" w:rsidRDefault="00E80406">
          <w:pPr>
            <w:pStyle w:val="TM4"/>
            <w:rPr>
              <w:rFonts w:asciiTheme="minorHAnsi" w:eastAsiaTheme="minorEastAsia" w:hAnsiTheme="minorHAnsi" w:cstheme="minorBidi"/>
              <w:noProof/>
            </w:rPr>
          </w:pPr>
          <w:hyperlink w:anchor="_Toc96698026" w:history="1">
            <w:r w:rsidRPr="007864E8">
              <w:rPr>
                <w:rStyle w:val="Lienhypertexte"/>
                <w:noProof/>
              </w:rPr>
              <w:t>3.6.5.2</w:t>
            </w:r>
            <w:r>
              <w:rPr>
                <w:rFonts w:asciiTheme="minorHAnsi" w:eastAsiaTheme="minorEastAsia" w:hAnsiTheme="minorHAnsi" w:cstheme="minorBidi"/>
                <w:noProof/>
              </w:rPr>
              <w:tab/>
            </w:r>
            <w:r w:rsidRPr="007864E8">
              <w:rPr>
                <w:rStyle w:val="Lienhypertexte"/>
                <w:noProof/>
              </w:rPr>
              <w:t>Le temps partiel</w:t>
            </w:r>
            <w:r>
              <w:rPr>
                <w:noProof/>
                <w:webHidden/>
              </w:rPr>
              <w:tab/>
            </w:r>
            <w:r>
              <w:rPr>
                <w:noProof/>
                <w:webHidden/>
              </w:rPr>
              <w:fldChar w:fldCharType="begin"/>
            </w:r>
            <w:r>
              <w:rPr>
                <w:noProof/>
                <w:webHidden/>
              </w:rPr>
              <w:instrText xml:space="preserve"> PAGEREF _Toc96698026 \h </w:instrText>
            </w:r>
            <w:r>
              <w:rPr>
                <w:noProof/>
                <w:webHidden/>
              </w:rPr>
            </w:r>
            <w:r>
              <w:rPr>
                <w:noProof/>
                <w:webHidden/>
              </w:rPr>
              <w:fldChar w:fldCharType="separate"/>
            </w:r>
            <w:r>
              <w:rPr>
                <w:noProof/>
                <w:webHidden/>
              </w:rPr>
              <w:t>50</w:t>
            </w:r>
            <w:r>
              <w:rPr>
                <w:noProof/>
                <w:webHidden/>
              </w:rPr>
              <w:fldChar w:fldCharType="end"/>
            </w:r>
          </w:hyperlink>
        </w:p>
        <w:p w14:paraId="2C936E45" w14:textId="0FACF97F" w:rsidR="00E80406" w:rsidRDefault="00E80406">
          <w:pPr>
            <w:pStyle w:val="TM4"/>
            <w:rPr>
              <w:rFonts w:asciiTheme="minorHAnsi" w:eastAsiaTheme="minorEastAsia" w:hAnsiTheme="minorHAnsi" w:cstheme="minorBidi"/>
              <w:noProof/>
            </w:rPr>
          </w:pPr>
          <w:hyperlink w:anchor="_Toc96698027" w:history="1">
            <w:r w:rsidRPr="007864E8">
              <w:rPr>
                <w:rStyle w:val="Lienhypertexte"/>
                <w:noProof/>
              </w:rPr>
              <w:t>3.6.5.3</w:t>
            </w:r>
            <w:r>
              <w:rPr>
                <w:rFonts w:asciiTheme="minorHAnsi" w:eastAsiaTheme="minorEastAsia" w:hAnsiTheme="minorHAnsi" w:cstheme="minorBidi"/>
                <w:noProof/>
              </w:rPr>
              <w:tab/>
            </w:r>
            <w:r w:rsidRPr="007864E8">
              <w:rPr>
                <w:rStyle w:val="Lienhypertexte"/>
                <w:noProof/>
              </w:rPr>
              <w:t>Le télétravail</w:t>
            </w:r>
            <w:r>
              <w:rPr>
                <w:noProof/>
                <w:webHidden/>
              </w:rPr>
              <w:tab/>
            </w:r>
            <w:r>
              <w:rPr>
                <w:noProof/>
                <w:webHidden/>
              </w:rPr>
              <w:fldChar w:fldCharType="begin"/>
            </w:r>
            <w:r>
              <w:rPr>
                <w:noProof/>
                <w:webHidden/>
              </w:rPr>
              <w:instrText xml:space="preserve"> PAGEREF _Toc96698027 \h </w:instrText>
            </w:r>
            <w:r>
              <w:rPr>
                <w:noProof/>
                <w:webHidden/>
              </w:rPr>
            </w:r>
            <w:r>
              <w:rPr>
                <w:noProof/>
                <w:webHidden/>
              </w:rPr>
              <w:fldChar w:fldCharType="separate"/>
            </w:r>
            <w:r>
              <w:rPr>
                <w:noProof/>
                <w:webHidden/>
              </w:rPr>
              <w:t>50</w:t>
            </w:r>
            <w:r>
              <w:rPr>
                <w:noProof/>
                <w:webHidden/>
              </w:rPr>
              <w:fldChar w:fldCharType="end"/>
            </w:r>
          </w:hyperlink>
        </w:p>
        <w:p w14:paraId="2EFA19B8" w14:textId="19DDD599" w:rsidR="00E80406" w:rsidRDefault="00E80406">
          <w:pPr>
            <w:pStyle w:val="TM4"/>
            <w:rPr>
              <w:rFonts w:asciiTheme="minorHAnsi" w:eastAsiaTheme="minorEastAsia" w:hAnsiTheme="minorHAnsi" w:cstheme="minorBidi"/>
              <w:noProof/>
            </w:rPr>
          </w:pPr>
          <w:hyperlink w:anchor="_Toc96698028" w:history="1">
            <w:r w:rsidRPr="007864E8">
              <w:rPr>
                <w:rStyle w:val="Lienhypertexte"/>
                <w:noProof/>
              </w:rPr>
              <w:t>3.6.5.4</w:t>
            </w:r>
            <w:r>
              <w:rPr>
                <w:rFonts w:asciiTheme="minorHAnsi" w:eastAsiaTheme="minorEastAsia" w:hAnsiTheme="minorHAnsi" w:cstheme="minorBidi"/>
                <w:noProof/>
              </w:rPr>
              <w:tab/>
            </w:r>
            <w:r w:rsidRPr="007864E8">
              <w:rPr>
                <w:rStyle w:val="Lienhypertexte"/>
                <w:noProof/>
              </w:rPr>
              <w:t>Une plateforme pour poster des suggestions</w:t>
            </w:r>
            <w:r>
              <w:rPr>
                <w:noProof/>
                <w:webHidden/>
              </w:rPr>
              <w:tab/>
            </w:r>
            <w:r>
              <w:rPr>
                <w:noProof/>
                <w:webHidden/>
              </w:rPr>
              <w:fldChar w:fldCharType="begin"/>
            </w:r>
            <w:r>
              <w:rPr>
                <w:noProof/>
                <w:webHidden/>
              </w:rPr>
              <w:instrText xml:space="preserve"> PAGEREF _Toc96698028 \h </w:instrText>
            </w:r>
            <w:r>
              <w:rPr>
                <w:noProof/>
                <w:webHidden/>
              </w:rPr>
            </w:r>
            <w:r>
              <w:rPr>
                <w:noProof/>
                <w:webHidden/>
              </w:rPr>
              <w:fldChar w:fldCharType="separate"/>
            </w:r>
            <w:r>
              <w:rPr>
                <w:noProof/>
                <w:webHidden/>
              </w:rPr>
              <w:t>50</w:t>
            </w:r>
            <w:r>
              <w:rPr>
                <w:noProof/>
                <w:webHidden/>
              </w:rPr>
              <w:fldChar w:fldCharType="end"/>
            </w:r>
          </w:hyperlink>
        </w:p>
        <w:p w14:paraId="4BB97AB7" w14:textId="23CD32F8" w:rsidR="00E80406" w:rsidRDefault="00E80406">
          <w:pPr>
            <w:pStyle w:val="TM4"/>
            <w:rPr>
              <w:rFonts w:asciiTheme="minorHAnsi" w:eastAsiaTheme="minorEastAsia" w:hAnsiTheme="minorHAnsi" w:cstheme="minorBidi"/>
              <w:noProof/>
            </w:rPr>
          </w:pPr>
          <w:hyperlink w:anchor="_Toc96698029" w:history="1">
            <w:r w:rsidRPr="007864E8">
              <w:rPr>
                <w:rStyle w:val="Lienhypertexte"/>
                <w:noProof/>
              </w:rPr>
              <w:t>3.6.5.5</w:t>
            </w:r>
            <w:r>
              <w:rPr>
                <w:rFonts w:asciiTheme="minorHAnsi" w:eastAsiaTheme="minorEastAsia" w:hAnsiTheme="minorHAnsi" w:cstheme="minorBidi"/>
                <w:noProof/>
              </w:rPr>
              <w:tab/>
            </w:r>
            <w:r w:rsidRPr="007864E8">
              <w:rPr>
                <w:rStyle w:val="Lienhypertexte"/>
                <w:noProof/>
              </w:rPr>
              <w:t>Sport, santé bien-être au travail</w:t>
            </w:r>
            <w:r>
              <w:rPr>
                <w:noProof/>
                <w:webHidden/>
              </w:rPr>
              <w:tab/>
            </w:r>
            <w:r>
              <w:rPr>
                <w:noProof/>
                <w:webHidden/>
              </w:rPr>
              <w:fldChar w:fldCharType="begin"/>
            </w:r>
            <w:r>
              <w:rPr>
                <w:noProof/>
                <w:webHidden/>
              </w:rPr>
              <w:instrText xml:space="preserve"> PAGEREF _Toc96698029 \h </w:instrText>
            </w:r>
            <w:r>
              <w:rPr>
                <w:noProof/>
                <w:webHidden/>
              </w:rPr>
            </w:r>
            <w:r>
              <w:rPr>
                <w:noProof/>
                <w:webHidden/>
              </w:rPr>
              <w:fldChar w:fldCharType="separate"/>
            </w:r>
            <w:r>
              <w:rPr>
                <w:noProof/>
                <w:webHidden/>
              </w:rPr>
              <w:t>51</w:t>
            </w:r>
            <w:r>
              <w:rPr>
                <w:noProof/>
                <w:webHidden/>
              </w:rPr>
              <w:fldChar w:fldCharType="end"/>
            </w:r>
          </w:hyperlink>
        </w:p>
        <w:p w14:paraId="25A59446" w14:textId="44FCA4D4" w:rsidR="00E80406" w:rsidRDefault="00E80406">
          <w:pPr>
            <w:pStyle w:val="TM4"/>
            <w:rPr>
              <w:rFonts w:asciiTheme="minorHAnsi" w:eastAsiaTheme="minorEastAsia" w:hAnsiTheme="minorHAnsi" w:cstheme="minorBidi"/>
              <w:noProof/>
            </w:rPr>
          </w:pPr>
          <w:hyperlink w:anchor="_Toc96698030" w:history="1">
            <w:r w:rsidRPr="007864E8">
              <w:rPr>
                <w:rStyle w:val="Lienhypertexte"/>
                <w:noProof/>
              </w:rPr>
              <w:t>3.6.5.6</w:t>
            </w:r>
            <w:r>
              <w:rPr>
                <w:rFonts w:asciiTheme="minorHAnsi" w:eastAsiaTheme="minorEastAsia" w:hAnsiTheme="minorHAnsi" w:cstheme="minorBidi"/>
                <w:noProof/>
              </w:rPr>
              <w:tab/>
            </w:r>
            <w:r w:rsidRPr="007864E8">
              <w:rPr>
                <w:rStyle w:val="Lienhypertexte"/>
                <w:noProof/>
              </w:rPr>
              <w:t>L’accompagnement psychologique et social des salariés</w:t>
            </w:r>
            <w:r>
              <w:rPr>
                <w:noProof/>
                <w:webHidden/>
              </w:rPr>
              <w:tab/>
            </w:r>
            <w:r>
              <w:rPr>
                <w:noProof/>
                <w:webHidden/>
              </w:rPr>
              <w:fldChar w:fldCharType="begin"/>
            </w:r>
            <w:r>
              <w:rPr>
                <w:noProof/>
                <w:webHidden/>
              </w:rPr>
              <w:instrText xml:space="preserve"> PAGEREF _Toc96698030 \h </w:instrText>
            </w:r>
            <w:r>
              <w:rPr>
                <w:noProof/>
                <w:webHidden/>
              </w:rPr>
            </w:r>
            <w:r>
              <w:rPr>
                <w:noProof/>
                <w:webHidden/>
              </w:rPr>
              <w:fldChar w:fldCharType="separate"/>
            </w:r>
            <w:r>
              <w:rPr>
                <w:noProof/>
                <w:webHidden/>
              </w:rPr>
              <w:t>52</w:t>
            </w:r>
            <w:r>
              <w:rPr>
                <w:noProof/>
                <w:webHidden/>
              </w:rPr>
              <w:fldChar w:fldCharType="end"/>
            </w:r>
          </w:hyperlink>
        </w:p>
        <w:p w14:paraId="5C361A71" w14:textId="251905AC" w:rsidR="00E80406" w:rsidRDefault="00E80406">
          <w:pPr>
            <w:pStyle w:val="TM4"/>
            <w:rPr>
              <w:rFonts w:asciiTheme="minorHAnsi" w:eastAsiaTheme="minorEastAsia" w:hAnsiTheme="minorHAnsi" w:cstheme="minorBidi"/>
              <w:noProof/>
            </w:rPr>
          </w:pPr>
          <w:hyperlink w:anchor="_Toc96698031" w:history="1">
            <w:r w:rsidRPr="007864E8">
              <w:rPr>
                <w:rStyle w:val="Lienhypertexte"/>
                <w:noProof/>
              </w:rPr>
              <w:t>3.6.5.7</w:t>
            </w:r>
            <w:r>
              <w:rPr>
                <w:rFonts w:asciiTheme="minorHAnsi" w:eastAsiaTheme="minorEastAsia" w:hAnsiTheme="minorHAnsi" w:cstheme="minorBidi"/>
                <w:noProof/>
              </w:rPr>
              <w:tab/>
            </w:r>
            <w:r w:rsidRPr="007864E8">
              <w:rPr>
                <w:rStyle w:val="Lienhypertexte"/>
                <w:noProof/>
              </w:rPr>
              <w:t>Le soutien scolaire pour les enfants des salariés</w:t>
            </w:r>
            <w:r>
              <w:rPr>
                <w:noProof/>
                <w:webHidden/>
              </w:rPr>
              <w:tab/>
            </w:r>
            <w:r>
              <w:rPr>
                <w:noProof/>
                <w:webHidden/>
              </w:rPr>
              <w:fldChar w:fldCharType="begin"/>
            </w:r>
            <w:r>
              <w:rPr>
                <w:noProof/>
                <w:webHidden/>
              </w:rPr>
              <w:instrText xml:space="preserve"> PAGEREF _Toc96698031 \h </w:instrText>
            </w:r>
            <w:r>
              <w:rPr>
                <w:noProof/>
                <w:webHidden/>
              </w:rPr>
            </w:r>
            <w:r>
              <w:rPr>
                <w:noProof/>
                <w:webHidden/>
              </w:rPr>
              <w:fldChar w:fldCharType="separate"/>
            </w:r>
            <w:r>
              <w:rPr>
                <w:noProof/>
                <w:webHidden/>
              </w:rPr>
              <w:t>52</w:t>
            </w:r>
            <w:r>
              <w:rPr>
                <w:noProof/>
                <w:webHidden/>
              </w:rPr>
              <w:fldChar w:fldCharType="end"/>
            </w:r>
          </w:hyperlink>
        </w:p>
        <w:p w14:paraId="22A1592A" w14:textId="7811EA46" w:rsidR="00E80406" w:rsidRDefault="00E80406">
          <w:pPr>
            <w:pStyle w:val="TM4"/>
            <w:rPr>
              <w:rFonts w:asciiTheme="minorHAnsi" w:eastAsiaTheme="minorEastAsia" w:hAnsiTheme="minorHAnsi" w:cstheme="minorBidi"/>
              <w:noProof/>
            </w:rPr>
          </w:pPr>
          <w:hyperlink w:anchor="_Toc96698032" w:history="1">
            <w:r w:rsidRPr="007864E8">
              <w:rPr>
                <w:rStyle w:val="Lienhypertexte"/>
                <w:noProof/>
              </w:rPr>
              <w:t>3.6.5.8</w:t>
            </w:r>
            <w:r>
              <w:rPr>
                <w:rFonts w:asciiTheme="minorHAnsi" w:eastAsiaTheme="minorEastAsia" w:hAnsiTheme="minorHAnsi" w:cstheme="minorBidi"/>
                <w:noProof/>
              </w:rPr>
              <w:tab/>
            </w:r>
            <w:r w:rsidRPr="007864E8">
              <w:rPr>
                <w:rStyle w:val="Lienhypertexte"/>
                <w:noProof/>
              </w:rPr>
              <w:t>Les indemnités kilométriques -vélo</w:t>
            </w:r>
            <w:r>
              <w:rPr>
                <w:noProof/>
                <w:webHidden/>
              </w:rPr>
              <w:tab/>
            </w:r>
            <w:r>
              <w:rPr>
                <w:noProof/>
                <w:webHidden/>
              </w:rPr>
              <w:fldChar w:fldCharType="begin"/>
            </w:r>
            <w:r>
              <w:rPr>
                <w:noProof/>
                <w:webHidden/>
              </w:rPr>
              <w:instrText xml:space="preserve"> PAGEREF _Toc96698032 \h </w:instrText>
            </w:r>
            <w:r>
              <w:rPr>
                <w:noProof/>
                <w:webHidden/>
              </w:rPr>
            </w:r>
            <w:r>
              <w:rPr>
                <w:noProof/>
                <w:webHidden/>
              </w:rPr>
              <w:fldChar w:fldCharType="separate"/>
            </w:r>
            <w:r>
              <w:rPr>
                <w:noProof/>
                <w:webHidden/>
              </w:rPr>
              <w:t>53</w:t>
            </w:r>
            <w:r>
              <w:rPr>
                <w:noProof/>
                <w:webHidden/>
              </w:rPr>
              <w:fldChar w:fldCharType="end"/>
            </w:r>
          </w:hyperlink>
        </w:p>
        <w:p w14:paraId="22E65A41" w14:textId="0C080519"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33" w:history="1">
            <w:r w:rsidRPr="007864E8">
              <w:rPr>
                <w:rStyle w:val="Lienhypertexte"/>
                <w:noProof/>
              </w:rPr>
              <w:t>3.6.6</w:t>
            </w:r>
            <w:r>
              <w:rPr>
                <w:rFonts w:asciiTheme="minorHAnsi" w:eastAsiaTheme="minorEastAsia" w:hAnsiTheme="minorHAnsi" w:cstheme="minorBidi"/>
                <w:noProof/>
                <w:sz w:val="22"/>
                <w:lang w:eastAsia="fr-FR"/>
              </w:rPr>
              <w:tab/>
            </w:r>
            <w:r w:rsidRPr="007864E8">
              <w:rPr>
                <w:rStyle w:val="Lienhypertexte"/>
                <w:noProof/>
              </w:rPr>
              <w:t>Accompagner les initiatives de solidarité</w:t>
            </w:r>
            <w:r>
              <w:rPr>
                <w:noProof/>
                <w:webHidden/>
              </w:rPr>
              <w:tab/>
            </w:r>
            <w:r>
              <w:rPr>
                <w:noProof/>
                <w:webHidden/>
              </w:rPr>
              <w:fldChar w:fldCharType="begin"/>
            </w:r>
            <w:r>
              <w:rPr>
                <w:noProof/>
                <w:webHidden/>
              </w:rPr>
              <w:instrText xml:space="preserve"> PAGEREF _Toc96698033 \h </w:instrText>
            </w:r>
            <w:r>
              <w:rPr>
                <w:noProof/>
                <w:webHidden/>
              </w:rPr>
            </w:r>
            <w:r>
              <w:rPr>
                <w:noProof/>
                <w:webHidden/>
              </w:rPr>
              <w:fldChar w:fldCharType="separate"/>
            </w:r>
            <w:r>
              <w:rPr>
                <w:noProof/>
                <w:webHidden/>
              </w:rPr>
              <w:t>53</w:t>
            </w:r>
            <w:r>
              <w:rPr>
                <w:noProof/>
                <w:webHidden/>
              </w:rPr>
              <w:fldChar w:fldCharType="end"/>
            </w:r>
          </w:hyperlink>
        </w:p>
        <w:p w14:paraId="7A2139B7" w14:textId="31753914" w:rsidR="00E80406" w:rsidRDefault="00E80406">
          <w:pPr>
            <w:pStyle w:val="TM2"/>
            <w:rPr>
              <w:rFonts w:asciiTheme="minorHAnsi" w:eastAsiaTheme="minorEastAsia" w:hAnsiTheme="minorHAnsi" w:cstheme="minorBidi"/>
              <w:noProof/>
              <w:lang w:eastAsia="fr-FR"/>
            </w:rPr>
          </w:pPr>
          <w:hyperlink w:anchor="_Toc96698034" w:history="1">
            <w:r w:rsidRPr="007864E8">
              <w:rPr>
                <w:rStyle w:val="Lienhypertexte"/>
                <w:noProof/>
              </w:rPr>
              <w:t>3.7</w:t>
            </w:r>
            <w:r>
              <w:rPr>
                <w:rFonts w:asciiTheme="minorHAnsi" w:eastAsiaTheme="minorEastAsia" w:hAnsiTheme="minorHAnsi" w:cstheme="minorBidi"/>
                <w:noProof/>
                <w:lang w:eastAsia="fr-FR"/>
              </w:rPr>
              <w:tab/>
            </w:r>
            <w:r w:rsidRPr="007864E8">
              <w:rPr>
                <w:rStyle w:val="Lienhypertexte"/>
                <w:noProof/>
              </w:rPr>
              <w:t>Être exemplaire sur l'égalité de traitement des salariés</w:t>
            </w:r>
            <w:r>
              <w:rPr>
                <w:noProof/>
                <w:webHidden/>
              </w:rPr>
              <w:tab/>
            </w:r>
            <w:r>
              <w:rPr>
                <w:noProof/>
                <w:webHidden/>
              </w:rPr>
              <w:fldChar w:fldCharType="begin"/>
            </w:r>
            <w:r>
              <w:rPr>
                <w:noProof/>
                <w:webHidden/>
              </w:rPr>
              <w:instrText xml:space="preserve"> PAGEREF _Toc96698034 \h </w:instrText>
            </w:r>
            <w:r>
              <w:rPr>
                <w:noProof/>
                <w:webHidden/>
              </w:rPr>
            </w:r>
            <w:r>
              <w:rPr>
                <w:noProof/>
                <w:webHidden/>
              </w:rPr>
              <w:fldChar w:fldCharType="separate"/>
            </w:r>
            <w:r>
              <w:rPr>
                <w:noProof/>
                <w:webHidden/>
              </w:rPr>
              <w:t>54</w:t>
            </w:r>
            <w:r>
              <w:rPr>
                <w:noProof/>
                <w:webHidden/>
              </w:rPr>
              <w:fldChar w:fldCharType="end"/>
            </w:r>
          </w:hyperlink>
        </w:p>
        <w:p w14:paraId="67B013F8" w14:textId="4FFDD70D"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35" w:history="1">
            <w:r w:rsidRPr="007864E8">
              <w:rPr>
                <w:rStyle w:val="Lienhypertexte"/>
                <w:noProof/>
              </w:rPr>
              <w:t>3.7.1</w:t>
            </w:r>
            <w:r>
              <w:rPr>
                <w:rFonts w:asciiTheme="minorHAnsi" w:eastAsiaTheme="minorEastAsia" w:hAnsiTheme="minorHAnsi" w:cstheme="minorBidi"/>
                <w:noProof/>
                <w:sz w:val="22"/>
                <w:lang w:eastAsia="fr-FR"/>
              </w:rPr>
              <w:tab/>
            </w:r>
            <w:r w:rsidRPr="007864E8">
              <w:rPr>
                <w:rStyle w:val="Lienhypertexte"/>
                <w:noProof/>
              </w:rPr>
              <w:t>Assurer l’égalité professionnelle entre les femmes et les hommes</w:t>
            </w:r>
            <w:r>
              <w:rPr>
                <w:noProof/>
                <w:webHidden/>
              </w:rPr>
              <w:tab/>
            </w:r>
            <w:r>
              <w:rPr>
                <w:noProof/>
                <w:webHidden/>
              </w:rPr>
              <w:fldChar w:fldCharType="begin"/>
            </w:r>
            <w:r>
              <w:rPr>
                <w:noProof/>
                <w:webHidden/>
              </w:rPr>
              <w:instrText xml:space="preserve"> PAGEREF _Toc96698035 \h </w:instrText>
            </w:r>
            <w:r>
              <w:rPr>
                <w:noProof/>
                <w:webHidden/>
              </w:rPr>
            </w:r>
            <w:r>
              <w:rPr>
                <w:noProof/>
                <w:webHidden/>
              </w:rPr>
              <w:fldChar w:fldCharType="separate"/>
            </w:r>
            <w:r>
              <w:rPr>
                <w:noProof/>
                <w:webHidden/>
              </w:rPr>
              <w:t>54</w:t>
            </w:r>
            <w:r>
              <w:rPr>
                <w:noProof/>
                <w:webHidden/>
              </w:rPr>
              <w:fldChar w:fldCharType="end"/>
            </w:r>
          </w:hyperlink>
        </w:p>
        <w:p w14:paraId="68FAFFE9" w14:textId="53739907"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36" w:history="1">
            <w:r w:rsidRPr="007864E8">
              <w:rPr>
                <w:rStyle w:val="Lienhypertexte"/>
                <w:noProof/>
              </w:rPr>
              <w:t>3.7.2</w:t>
            </w:r>
            <w:r>
              <w:rPr>
                <w:rFonts w:asciiTheme="minorHAnsi" w:eastAsiaTheme="minorEastAsia" w:hAnsiTheme="minorHAnsi" w:cstheme="minorBidi"/>
                <w:noProof/>
                <w:sz w:val="22"/>
                <w:lang w:eastAsia="fr-FR"/>
              </w:rPr>
              <w:tab/>
            </w:r>
            <w:r w:rsidRPr="007864E8">
              <w:rPr>
                <w:rStyle w:val="Lienhypertexte"/>
                <w:noProof/>
              </w:rPr>
              <w:t>Agir en faveur des personnes en situation de handicap</w:t>
            </w:r>
            <w:r>
              <w:rPr>
                <w:noProof/>
                <w:webHidden/>
              </w:rPr>
              <w:tab/>
            </w:r>
            <w:r>
              <w:rPr>
                <w:noProof/>
                <w:webHidden/>
              </w:rPr>
              <w:fldChar w:fldCharType="begin"/>
            </w:r>
            <w:r>
              <w:rPr>
                <w:noProof/>
                <w:webHidden/>
              </w:rPr>
              <w:instrText xml:space="preserve"> PAGEREF _Toc96698036 \h </w:instrText>
            </w:r>
            <w:r>
              <w:rPr>
                <w:noProof/>
                <w:webHidden/>
              </w:rPr>
            </w:r>
            <w:r>
              <w:rPr>
                <w:noProof/>
                <w:webHidden/>
              </w:rPr>
              <w:fldChar w:fldCharType="separate"/>
            </w:r>
            <w:r>
              <w:rPr>
                <w:noProof/>
                <w:webHidden/>
              </w:rPr>
              <w:t>55</w:t>
            </w:r>
            <w:r>
              <w:rPr>
                <w:noProof/>
                <w:webHidden/>
              </w:rPr>
              <w:fldChar w:fldCharType="end"/>
            </w:r>
          </w:hyperlink>
        </w:p>
        <w:p w14:paraId="0038804A" w14:textId="7338E3B4" w:rsidR="00E80406" w:rsidRDefault="00E80406">
          <w:pPr>
            <w:pStyle w:val="TM2"/>
            <w:rPr>
              <w:rFonts w:asciiTheme="minorHAnsi" w:eastAsiaTheme="minorEastAsia" w:hAnsiTheme="minorHAnsi" w:cstheme="minorBidi"/>
              <w:noProof/>
              <w:lang w:eastAsia="fr-FR"/>
            </w:rPr>
          </w:pPr>
          <w:hyperlink w:anchor="_Toc96698037" w:history="1">
            <w:r w:rsidRPr="007864E8">
              <w:rPr>
                <w:rStyle w:val="Lienhypertexte"/>
                <w:noProof/>
              </w:rPr>
              <w:t>3.8</w:t>
            </w:r>
            <w:r>
              <w:rPr>
                <w:rFonts w:asciiTheme="minorHAnsi" w:eastAsiaTheme="minorEastAsia" w:hAnsiTheme="minorHAnsi" w:cstheme="minorBidi"/>
                <w:noProof/>
                <w:lang w:eastAsia="fr-FR"/>
              </w:rPr>
              <w:tab/>
            </w:r>
            <w:r w:rsidRPr="007864E8">
              <w:rPr>
                <w:rStyle w:val="Lienhypertexte"/>
                <w:noProof/>
              </w:rPr>
              <w:t>Réduire l'impact environnemental du Crédit Agricole Nord Midi-Pyrénées</w:t>
            </w:r>
            <w:r>
              <w:rPr>
                <w:noProof/>
                <w:webHidden/>
              </w:rPr>
              <w:tab/>
            </w:r>
            <w:r>
              <w:rPr>
                <w:noProof/>
                <w:webHidden/>
              </w:rPr>
              <w:fldChar w:fldCharType="begin"/>
            </w:r>
            <w:r>
              <w:rPr>
                <w:noProof/>
                <w:webHidden/>
              </w:rPr>
              <w:instrText xml:space="preserve"> PAGEREF _Toc96698037 \h </w:instrText>
            </w:r>
            <w:r>
              <w:rPr>
                <w:noProof/>
                <w:webHidden/>
              </w:rPr>
            </w:r>
            <w:r>
              <w:rPr>
                <w:noProof/>
                <w:webHidden/>
              </w:rPr>
              <w:fldChar w:fldCharType="separate"/>
            </w:r>
            <w:r>
              <w:rPr>
                <w:noProof/>
                <w:webHidden/>
              </w:rPr>
              <w:t>57</w:t>
            </w:r>
            <w:r>
              <w:rPr>
                <w:noProof/>
                <w:webHidden/>
              </w:rPr>
              <w:fldChar w:fldCharType="end"/>
            </w:r>
          </w:hyperlink>
        </w:p>
        <w:p w14:paraId="129E46EA" w14:textId="2C434442"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38" w:history="1">
            <w:r w:rsidRPr="007864E8">
              <w:rPr>
                <w:rStyle w:val="Lienhypertexte"/>
                <w:noProof/>
              </w:rPr>
              <w:t>3.8.1</w:t>
            </w:r>
            <w:r>
              <w:rPr>
                <w:rFonts w:asciiTheme="minorHAnsi" w:eastAsiaTheme="minorEastAsia" w:hAnsiTheme="minorHAnsi" w:cstheme="minorBidi"/>
                <w:noProof/>
                <w:sz w:val="22"/>
                <w:lang w:eastAsia="fr-FR"/>
              </w:rPr>
              <w:tab/>
            </w:r>
            <w:r w:rsidRPr="007864E8">
              <w:rPr>
                <w:rStyle w:val="Lienhypertexte"/>
                <w:noProof/>
              </w:rPr>
              <w:t>S’engager dans une politique climat</w:t>
            </w:r>
            <w:r>
              <w:rPr>
                <w:noProof/>
                <w:webHidden/>
              </w:rPr>
              <w:tab/>
            </w:r>
            <w:r>
              <w:rPr>
                <w:noProof/>
                <w:webHidden/>
              </w:rPr>
              <w:fldChar w:fldCharType="begin"/>
            </w:r>
            <w:r>
              <w:rPr>
                <w:noProof/>
                <w:webHidden/>
              </w:rPr>
              <w:instrText xml:space="preserve"> PAGEREF _Toc96698038 \h </w:instrText>
            </w:r>
            <w:r>
              <w:rPr>
                <w:noProof/>
                <w:webHidden/>
              </w:rPr>
            </w:r>
            <w:r>
              <w:rPr>
                <w:noProof/>
                <w:webHidden/>
              </w:rPr>
              <w:fldChar w:fldCharType="separate"/>
            </w:r>
            <w:r>
              <w:rPr>
                <w:noProof/>
                <w:webHidden/>
              </w:rPr>
              <w:t>57</w:t>
            </w:r>
            <w:r>
              <w:rPr>
                <w:noProof/>
                <w:webHidden/>
              </w:rPr>
              <w:fldChar w:fldCharType="end"/>
            </w:r>
          </w:hyperlink>
        </w:p>
        <w:p w14:paraId="5D13430B" w14:textId="355A0397" w:rsidR="00E80406" w:rsidRDefault="00E80406">
          <w:pPr>
            <w:pStyle w:val="TM4"/>
            <w:rPr>
              <w:rFonts w:asciiTheme="minorHAnsi" w:eastAsiaTheme="minorEastAsia" w:hAnsiTheme="minorHAnsi" w:cstheme="minorBidi"/>
              <w:noProof/>
            </w:rPr>
          </w:pPr>
          <w:hyperlink w:anchor="_Toc96698039" w:history="1">
            <w:r w:rsidRPr="007864E8">
              <w:rPr>
                <w:rStyle w:val="Lienhypertexte"/>
                <w:noProof/>
              </w:rPr>
              <w:t>3.8.1.1</w:t>
            </w:r>
            <w:r>
              <w:rPr>
                <w:rFonts w:asciiTheme="minorHAnsi" w:eastAsiaTheme="minorEastAsia" w:hAnsiTheme="minorHAnsi" w:cstheme="minorBidi"/>
                <w:noProof/>
              </w:rPr>
              <w:tab/>
            </w:r>
            <w:r w:rsidRPr="007864E8">
              <w:rPr>
                <w:rStyle w:val="Lienhypertexte"/>
                <w:noProof/>
              </w:rPr>
              <w:t>Mesurer les émissions et définir une trajectoire</w:t>
            </w:r>
            <w:r>
              <w:rPr>
                <w:noProof/>
                <w:webHidden/>
              </w:rPr>
              <w:tab/>
            </w:r>
            <w:r>
              <w:rPr>
                <w:noProof/>
                <w:webHidden/>
              </w:rPr>
              <w:fldChar w:fldCharType="begin"/>
            </w:r>
            <w:r>
              <w:rPr>
                <w:noProof/>
                <w:webHidden/>
              </w:rPr>
              <w:instrText xml:space="preserve"> PAGEREF _Toc96698039 \h </w:instrText>
            </w:r>
            <w:r>
              <w:rPr>
                <w:noProof/>
                <w:webHidden/>
              </w:rPr>
            </w:r>
            <w:r>
              <w:rPr>
                <w:noProof/>
                <w:webHidden/>
              </w:rPr>
              <w:fldChar w:fldCharType="separate"/>
            </w:r>
            <w:r>
              <w:rPr>
                <w:noProof/>
                <w:webHidden/>
              </w:rPr>
              <w:t>57</w:t>
            </w:r>
            <w:r>
              <w:rPr>
                <w:noProof/>
                <w:webHidden/>
              </w:rPr>
              <w:fldChar w:fldCharType="end"/>
            </w:r>
          </w:hyperlink>
        </w:p>
        <w:p w14:paraId="46FFE281" w14:textId="53AE7196" w:rsidR="00E80406" w:rsidRDefault="00E80406">
          <w:pPr>
            <w:pStyle w:val="TM4"/>
            <w:rPr>
              <w:rFonts w:asciiTheme="minorHAnsi" w:eastAsiaTheme="minorEastAsia" w:hAnsiTheme="minorHAnsi" w:cstheme="minorBidi"/>
              <w:noProof/>
            </w:rPr>
          </w:pPr>
          <w:hyperlink w:anchor="_Toc96698040" w:history="1">
            <w:r w:rsidRPr="007864E8">
              <w:rPr>
                <w:rStyle w:val="Lienhypertexte"/>
                <w:noProof/>
              </w:rPr>
              <w:t>3.8.1.2</w:t>
            </w:r>
            <w:r>
              <w:rPr>
                <w:rFonts w:asciiTheme="minorHAnsi" w:eastAsiaTheme="minorEastAsia" w:hAnsiTheme="minorHAnsi" w:cstheme="minorBidi"/>
                <w:noProof/>
              </w:rPr>
              <w:tab/>
            </w:r>
            <w:r w:rsidRPr="007864E8">
              <w:rPr>
                <w:rStyle w:val="Lienhypertexte"/>
                <w:noProof/>
              </w:rPr>
              <w:t>Réduire l’empreinte carbone de l’énergie et des déplacements professionnels routiers</w:t>
            </w:r>
            <w:r>
              <w:rPr>
                <w:noProof/>
                <w:webHidden/>
              </w:rPr>
              <w:tab/>
            </w:r>
            <w:r>
              <w:rPr>
                <w:noProof/>
                <w:webHidden/>
              </w:rPr>
              <w:fldChar w:fldCharType="begin"/>
            </w:r>
            <w:r>
              <w:rPr>
                <w:noProof/>
                <w:webHidden/>
              </w:rPr>
              <w:instrText xml:space="preserve"> PAGEREF _Toc96698040 \h </w:instrText>
            </w:r>
            <w:r>
              <w:rPr>
                <w:noProof/>
                <w:webHidden/>
              </w:rPr>
            </w:r>
            <w:r>
              <w:rPr>
                <w:noProof/>
                <w:webHidden/>
              </w:rPr>
              <w:fldChar w:fldCharType="separate"/>
            </w:r>
            <w:r>
              <w:rPr>
                <w:noProof/>
                <w:webHidden/>
              </w:rPr>
              <w:t>58</w:t>
            </w:r>
            <w:r>
              <w:rPr>
                <w:noProof/>
                <w:webHidden/>
              </w:rPr>
              <w:fldChar w:fldCharType="end"/>
            </w:r>
          </w:hyperlink>
        </w:p>
        <w:p w14:paraId="61A1554A" w14:textId="1D06B653"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41" w:history="1">
            <w:r w:rsidRPr="007864E8">
              <w:rPr>
                <w:rStyle w:val="Lienhypertexte"/>
                <w:noProof/>
              </w:rPr>
              <w:t>3.8.1.2.1</w:t>
            </w:r>
            <w:r>
              <w:rPr>
                <w:rFonts w:asciiTheme="minorHAnsi" w:eastAsiaTheme="minorEastAsia" w:hAnsiTheme="minorHAnsi" w:cstheme="minorBidi"/>
                <w:noProof/>
              </w:rPr>
              <w:tab/>
            </w:r>
            <w:r w:rsidRPr="007864E8">
              <w:rPr>
                <w:rStyle w:val="Lienhypertexte"/>
                <w:noProof/>
              </w:rPr>
              <w:t>L’énergie</w:t>
            </w:r>
            <w:r>
              <w:rPr>
                <w:noProof/>
                <w:webHidden/>
              </w:rPr>
              <w:tab/>
            </w:r>
            <w:r>
              <w:rPr>
                <w:noProof/>
                <w:webHidden/>
              </w:rPr>
              <w:fldChar w:fldCharType="begin"/>
            </w:r>
            <w:r>
              <w:rPr>
                <w:noProof/>
                <w:webHidden/>
              </w:rPr>
              <w:instrText xml:space="preserve"> PAGEREF _Toc96698041 \h </w:instrText>
            </w:r>
            <w:r>
              <w:rPr>
                <w:noProof/>
                <w:webHidden/>
              </w:rPr>
            </w:r>
            <w:r>
              <w:rPr>
                <w:noProof/>
                <w:webHidden/>
              </w:rPr>
              <w:fldChar w:fldCharType="separate"/>
            </w:r>
            <w:r>
              <w:rPr>
                <w:noProof/>
                <w:webHidden/>
              </w:rPr>
              <w:t>59</w:t>
            </w:r>
            <w:r>
              <w:rPr>
                <w:noProof/>
                <w:webHidden/>
              </w:rPr>
              <w:fldChar w:fldCharType="end"/>
            </w:r>
          </w:hyperlink>
        </w:p>
        <w:p w14:paraId="0551DD57" w14:textId="390F718D"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42" w:history="1">
            <w:r w:rsidRPr="007864E8">
              <w:rPr>
                <w:rStyle w:val="Lienhypertexte"/>
                <w:noProof/>
              </w:rPr>
              <w:t>3.8.1.2.2</w:t>
            </w:r>
            <w:r>
              <w:rPr>
                <w:rFonts w:asciiTheme="minorHAnsi" w:eastAsiaTheme="minorEastAsia" w:hAnsiTheme="minorHAnsi" w:cstheme="minorBidi"/>
                <w:noProof/>
              </w:rPr>
              <w:tab/>
            </w:r>
            <w:r w:rsidRPr="007864E8">
              <w:rPr>
                <w:rStyle w:val="Lienhypertexte"/>
                <w:noProof/>
              </w:rPr>
              <w:t>Les déplacements professionnels</w:t>
            </w:r>
            <w:r>
              <w:rPr>
                <w:noProof/>
                <w:webHidden/>
              </w:rPr>
              <w:tab/>
            </w:r>
            <w:r>
              <w:rPr>
                <w:noProof/>
                <w:webHidden/>
              </w:rPr>
              <w:fldChar w:fldCharType="begin"/>
            </w:r>
            <w:r>
              <w:rPr>
                <w:noProof/>
                <w:webHidden/>
              </w:rPr>
              <w:instrText xml:space="preserve"> PAGEREF _Toc96698042 \h </w:instrText>
            </w:r>
            <w:r>
              <w:rPr>
                <w:noProof/>
                <w:webHidden/>
              </w:rPr>
            </w:r>
            <w:r>
              <w:rPr>
                <w:noProof/>
                <w:webHidden/>
              </w:rPr>
              <w:fldChar w:fldCharType="separate"/>
            </w:r>
            <w:r>
              <w:rPr>
                <w:noProof/>
                <w:webHidden/>
              </w:rPr>
              <w:t>59</w:t>
            </w:r>
            <w:r>
              <w:rPr>
                <w:noProof/>
                <w:webHidden/>
              </w:rPr>
              <w:fldChar w:fldCharType="end"/>
            </w:r>
          </w:hyperlink>
        </w:p>
        <w:p w14:paraId="30A503D6" w14:textId="0FD678E6" w:rsidR="00E80406" w:rsidRDefault="00E80406">
          <w:pPr>
            <w:pStyle w:val="TM5"/>
            <w:tabs>
              <w:tab w:val="left" w:pos="1880"/>
              <w:tab w:val="right" w:leader="dot" w:pos="10338"/>
            </w:tabs>
            <w:rPr>
              <w:rFonts w:asciiTheme="minorHAnsi" w:eastAsiaTheme="minorEastAsia" w:hAnsiTheme="minorHAnsi" w:cstheme="minorBidi"/>
              <w:noProof/>
            </w:rPr>
          </w:pPr>
          <w:hyperlink w:anchor="_Toc96698043" w:history="1">
            <w:r w:rsidRPr="007864E8">
              <w:rPr>
                <w:rStyle w:val="Lienhypertexte"/>
                <w:noProof/>
              </w:rPr>
              <w:t>3.8.1.2.3</w:t>
            </w:r>
            <w:r>
              <w:rPr>
                <w:rFonts w:asciiTheme="minorHAnsi" w:eastAsiaTheme="minorEastAsia" w:hAnsiTheme="minorHAnsi" w:cstheme="minorBidi"/>
                <w:noProof/>
              </w:rPr>
              <w:tab/>
            </w:r>
            <w:r w:rsidRPr="007864E8">
              <w:rPr>
                <w:rStyle w:val="Lienhypertexte"/>
                <w:noProof/>
              </w:rPr>
              <w:t>Véhicules électriques</w:t>
            </w:r>
            <w:r>
              <w:rPr>
                <w:noProof/>
                <w:webHidden/>
              </w:rPr>
              <w:tab/>
            </w:r>
            <w:r>
              <w:rPr>
                <w:noProof/>
                <w:webHidden/>
              </w:rPr>
              <w:fldChar w:fldCharType="begin"/>
            </w:r>
            <w:r>
              <w:rPr>
                <w:noProof/>
                <w:webHidden/>
              </w:rPr>
              <w:instrText xml:space="preserve"> PAGEREF _Toc96698043 \h </w:instrText>
            </w:r>
            <w:r>
              <w:rPr>
                <w:noProof/>
                <w:webHidden/>
              </w:rPr>
            </w:r>
            <w:r>
              <w:rPr>
                <w:noProof/>
                <w:webHidden/>
              </w:rPr>
              <w:fldChar w:fldCharType="separate"/>
            </w:r>
            <w:r>
              <w:rPr>
                <w:noProof/>
                <w:webHidden/>
              </w:rPr>
              <w:t>60</w:t>
            </w:r>
            <w:r>
              <w:rPr>
                <w:noProof/>
                <w:webHidden/>
              </w:rPr>
              <w:fldChar w:fldCharType="end"/>
            </w:r>
          </w:hyperlink>
        </w:p>
        <w:p w14:paraId="4590E92E" w14:textId="13B2C8F3" w:rsidR="00E80406" w:rsidRDefault="00E80406">
          <w:pPr>
            <w:pStyle w:val="TM4"/>
            <w:rPr>
              <w:rFonts w:asciiTheme="minorHAnsi" w:eastAsiaTheme="minorEastAsia" w:hAnsiTheme="minorHAnsi" w:cstheme="minorBidi"/>
              <w:noProof/>
            </w:rPr>
          </w:pPr>
          <w:hyperlink w:anchor="_Toc96698044" w:history="1">
            <w:r w:rsidRPr="007864E8">
              <w:rPr>
                <w:rStyle w:val="Lienhypertexte"/>
                <w:noProof/>
              </w:rPr>
              <w:t>3.8.1.3</w:t>
            </w:r>
            <w:r>
              <w:rPr>
                <w:rFonts w:asciiTheme="minorHAnsi" w:eastAsiaTheme="minorEastAsia" w:hAnsiTheme="minorHAnsi" w:cstheme="minorBidi"/>
                <w:noProof/>
              </w:rPr>
              <w:tab/>
            </w:r>
            <w:r w:rsidRPr="007864E8">
              <w:rPr>
                <w:rStyle w:val="Lienhypertexte"/>
                <w:noProof/>
              </w:rPr>
              <w:t>Evaluer l’empreinte carbone liée aux financements</w:t>
            </w:r>
            <w:r>
              <w:rPr>
                <w:noProof/>
                <w:webHidden/>
              </w:rPr>
              <w:tab/>
            </w:r>
            <w:r>
              <w:rPr>
                <w:noProof/>
                <w:webHidden/>
              </w:rPr>
              <w:fldChar w:fldCharType="begin"/>
            </w:r>
            <w:r>
              <w:rPr>
                <w:noProof/>
                <w:webHidden/>
              </w:rPr>
              <w:instrText xml:space="preserve"> PAGEREF _Toc96698044 \h </w:instrText>
            </w:r>
            <w:r>
              <w:rPr>
                <w:noProof/>
                <w:webHidden/>
              </w:rPr>
            </w:r>
            <w:r>
              <w:rPr>
                <w:noProof/>
                <w:webHidden/>
              </w:rPr>
              <w:fldChar w:fldCharType="separate"/>
            </w:r>
            <w:r>
              <w:rPr>
                <w:noProof/>
                <w:webHidden/>
              </w:rPr>
              <w:t>60</w:t>
            </w:r>
            <w:r>
              <w:rPr>
                <w:noProof/>
                <w:webHidden/>
              </w:rPr>
              <w:fldChar w:fldCharType="end"/>
            </w:r>
          </w:hyperlink>
        </w:p>
        <w:p w14:paraId="634E6BA4" w14:textId="5692CB3D" w:rsidR="00E80406" w:rsidRDefault="00E80406">
          <w:pPr>
            <w:pStyle w:val="TM4"/>
            <w:rPr>
              <w:rFonts w:asciiTheme="minorHAnsi" w:eastAsiaTheme="minorEastAsia" w:hAnsiTheme="minorHAnsi" w:cstheme="minorBidi"/>
              <w:noProof/>
            </w:rPr>
          </w:pPr>
          <w:hyperlink w:anchor="_Toc96698045" w:history="1">
            <w:r w:rsidRPr="007864E8">
              <w:rPr>
                <w:rStyle w:val="Lienhypertexte"/>
                <w:noProof/>
              </w:rPr>
              <w:t>3.8.1.4</w:t>
            </w:r>
            <w:r>
              <w:rPr>
                <w:rFonts w:asciiTheme="minorHAnsi" w:eastAsiaTheme="minorEastAsia" w:hAnsiTheme="minorHAnsi" w:cstheme="minorBidi"/>
                <w:noProof/>
              </w:rPr>
              <w:tab/>
            </w:r>
            <w:r w:rsidRPr="007864E8">
              <w:rPr>
                <w:rStyle w:val="Lienhypertexte"/>
                <w:noProof/>
              </w:rPr>
              <w:t>Contribuer à la réduction globale des émissions de gaz à effet de serre</w:t>
            </w:r>
            <w:r>
              <w:rPr>
                <w:noProof/>
                <w:webHidden/>
              </w:rPr>
              <w:tab/>
            </w:r>
            <w:r>
              <w:rPr>
                <w:noProof/>
                <w:webHidden/>
              </w:rPr>
              <w:fldChar w:fldCharType="begin"/>
            </w:r>
            <w:r>
              <w:rPr>
                <w:noProof/>
                <w:webHidden/>
              </w:rPr>
              <w:instrText xml:space="preserve"> PAGEREF _Toc96698045 \h </w:instrText>
            </w:r>
            <w:r>
              <w:rPr>
                <w:noProof/>
                <w:webHidden/>
              </w:rPr>
            </w:r>
            <w:r>
              <w:rPr>
                <w:noProof/>
                <w:webHidden/>
              </w:rPr>
              <w:fldChar w:fldCharType="separate"/>
            </w:r>
            <w:r>
              <w:rPr>
                <w:noProof/>
                <w:webHidden/>
              </w:rPr>
              <w:t>61</w:t>
            </w:r>
            <w:r>
              <w:rPr>
                <w:noProof/>
                <w:webHidden/>
              </w:rPr>
              <w:fldChar w:fldCharType="end"/>
            </w:r>
          </w:hyperlink>
        </w:p>
        <w:p w14:paraId="52845BED" w14:textId="14511656"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46" w:history="1">
            <w:r w:rsidRPr="007864E8">
              <w:rPr>
                <w:rStyle w:val="Lienhypertexte"/>
                <w:noProof/>
              </w:rPr>
              <w:t>3.8.2</w:t>
            </w:r>
            <w:r>
              <w:rPr>
                <w:rFonts w:asciiTheme="minorHAnsi" w:eastAsiaTheme="minorEastAsia" w:hAnsiTheme="minorHAnsi" w:cstheme="minorBidi"/>
                <w:noProof/>
                <w:sz w:val="22"/>
                <w:lang w:eastAsia="fr-FR"/>
              </w:rPr>
              <w:tab/>
            </w:r>
            <w:r w:rsidRPr="007864E8">
              <w:rPr>
                <w:rStyle w:val="Lienhypertexte"/>
                <w:noProof/>
              </w:rPr>
              <w:t>Viser la couverture des besoins d’électricité par l’énergie photovoltaïque</w:t>
            </w:r>
            <w:r>
              <w:rPr>
                <w:noProof/>
                <w:webHidden/>
              </w:rPr>
              <w:tab/>
            </w:r>
            <w:r>
              <w:rPr>
                <w:noProof/>
                <w:webHidden/>
              </w:rPr>
              <w:fldChar w:fldCharType="begin"/>
            </w:r>
            <w:r>
              <w:rPr>
                <w:noProof/>
                <w:webHidden/>
              </w:rPr>
              <w:instrText xml:space="preserve"> PAGEREF _Toc96698046 \h </w:instrText>
            </w:r>
            <w:r>
              <w:rPr>
                <w:noProof/>
                <w:webHidden/>
              </w:rPr>
            </w:r>
            <w:r>
              <w:rPr>
                <w:noProof/>
                <w:webHidden/>
              </w:rPr>
              <w:fldChar w:fldCharType="separate"/>
            </w:r>
            <w:r>
              <w:rPr>
                <w:noProof/>
                <w:webHidden/>
              </w:rPr>
              <w:t>61</w:t>
            </w:r>
            <w:r>
              <w:rPr>
                <w:noProof/>
                <w:webHidden/>
              </w:rPr>
              <w:fldChar w:fldCharType="end"/>
            </w:r>
          </w:hyperlink>
        </w:p>
        <w:p w14:paraId="3AC77BC6" w14:textId="4F49EDD8"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47" w:history="1">
            <w:r w:rsidRPr="007864E8">
              <w:rPr>
                <w:rStyle w:val="Lienhypertexte"/>
                <w:noProof/>
              </w:rPr>
              <w:t>3.8.3</w:t>
            </w:r>
            <w:r>
              <w:rPr>
                <w:rFonts w:asciiTheme="minorHAnsi" w:eastAsiaTheme="minorEastAsia" w:hAnsiTheme="minorHAnsi" w:cstheme="minorBidi"/>
                <w:noProof/>
                <w:sz w:val="22"/>
                <w:lang w:eastAsia="fr-FR"/>
              </w:rPr>
              <w:tab/>
            </w:r>
            <w:r w:rsidRPr="007864E8">
              <w:rPr>
                <w:rStyle w:val="Lienhypertexte"/>
                <w:noProof/>
              </w:rPr>
              <w:t>Favoriser la plantation d’arbres</w:t>
            </w:r>
            <w:r>
              <w:rPr>
                <w:noProof/>
                <w:webHidden/>
              </w:rPr>
              <w:tab/>
            </w:r>
            <w:r>
              <w:rPr>
                <w:noProof/>
                <w:webHidden/>
              </w:rPr>
              <w:fldChar w:fldCharType="begin"/>
            </w:r>
            <w:r>
              <w:rPr>
                <w:noProof/>
                <w:webHidden/>
              </w:rPr>
              <w:instrText xml:space="preserve"> PAGEREF _Toc96698047 \h </w:instrText>
            </w:r>
            <w:r>
              <w:rPr>
                <w:noProof/>
                <w:webHidden/>
              </w:rPr>
            </w:r>
            <w:r>
              <w:rPr>
                <w:noProof/>
                <w:webHidden/>
              </w:rPr>
              <w:fldChar w:fldCharType="separate"/>
            </w:r>
            <w:r>
              <w:rPr>
                <w:noProof/>
                <w:webHidden/>
              </w:rPr>
              <w:t>62</w:t>
            </w:r>
            <w:r>
              <w:rPr>
                <w:noProof/>
                <w:webHidden/>
              </w:rPr>
              <w:fldChar w:fldCharType="end"/>
            </w:r>
          </w:hyperlink>
        </w:p>
        <w:p w14:paraId="11E42B42" w14:textId="0EA88D64"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48" w:history="1">
            <w:r w:rsidRPr="007864E8">
              <w:rPr>
                <w:rStyle w:val="Lienhypertexte"/>
                <w:noProof/>
              </w:rPr>
              <w:t>3.8.4</w:t>
            </w:r>
            <w:r>
              <w:rPr>
                <w:rFonts w:asciiTheme="minorHAnsi" w:eastAsiaTheme="minorEastAsia" w:hAnsiTheme="minorHAnsi" w:cstheme="minorBidi"/>
                <w:noProof/>
                <w:sz w:val="22"/>
                <w:lang w:eastAsia="fr-FR"/>
              </w:rPr>
              <w:tab/>
            </w:r>
            <w:r w:rsidRPr="007864E8">
              <w:rPr>
                <w:rStyle w:val="Lienhypertexte"/>
                <w:noProof/>
              </w:rPr>
              <w:t>Réduire l’impact environnemental des ressources utilisées</w:t>
            </w:r>
            <w:r>
              <w:rPr>
                <w:noProof/>
                <w:webHidden/>
              </w:rPr>
              <w:tab/>
            </w:r>
            <w:r>
              <w:rPr>
                <w:noProof/>
                <w:webHidden/>
              </w:rPr>
              <w:fldChar w:fldCharType="begin"/>
            </w:r>
            <w:r>
              <w:rPr>
                <w:noProof/>
                <w:webHidden/>
              </w:rPr>
              <w:instrText xml:space="preserve"> PAGEREF _Toc96698048 \h </w:instrText>
            </w:r>
            <w:r>
              <w:rPr>
                <w:noProof/>
                <w:webHidden/>
              </w:rPr>
            </w:r>
            <w:r>
              <w:rPr>
                <w:noProof/>
                <w:webHidden/>
              </w:rPr>
              <w:fldChar w:fldCharType="separate"/>
            </w:r>
            <w:r>
              <w:rPr>
                <w:noProof/>
                <w:webHidden/>
              </w:rPr>
              <w:t>62</w:t>
            </w:r>
            <w:r>
              <w:rPr>
                <w:noProof/>
                <w:webHidden/>
              </w:rPr>
              <w:fldChar w:fldCharType="end"/>
            </w:r>
          </w:hyperlink>
        </w:p>
        <w:p w14:paraId="795C2BA9" w14:textId="5B440C30" w:rsidR="00E80406" w:rsidRDefault="00E80406">
          <w:pPr>
            <w:pStyle w:val="TM4"/>
            <w:rPr>
              <w:rFonts w:asciiTheme="minorHAnsi" w:eastAsiaTheme="minorEastAsia" w:hAnsiTheme="minorHAnsi" w:cstheme="minorBidi"/>
              <w:noProof/>
            </w:rPr>
          </w:pPr>
          <w:hyperlink w:anchor="_Toc96698049" w:history="1">
            <w:r w:rsidRPr="007864E8">
              <w:rPr>
                <w:rStyle w:val="Lienhypertexte"/>
                <w:noProof/>
              </w:rPr>
              <w:t>3.8.4.1</w:t>
            </w:r>
            <w:r>
              <w:rPr>
                <w:rFonts w:asciiTheme="minorHAnsi" w:eastAsiaTheme="minorEastAsia" w:hAnsiTheme="minorHAnsi" w:cstheme="minorBidi"/>
                <w:noProof/>
              </w:rPr>
              <w:tab/>
            </w:r>
            <w:r w:rsidRPr="007864E8">
              <w:rPr>
                <w:rStyle w:val="Lienhypertexte"/>
                <w:noProof/>
              </w:rPr>
              <w:t>La consommation d’eau</w:t>
            </w:r>
            <w:r>
              <w:rPr>
                <w:noProof/>
                <w:webHidden/>
              </w:rPr>
              <w:tab/>
            </w:r>
            <w:r>
              <w:rPr>
                <w:noProof/>
                <w:webHidden/>
              </w:rPr>
              <w:fldChar w:fldCharType="begin"/>
            </w:r>
            <w:r>
              <w:rPr>
                <w:noProof/>
                <w:webHidden/>
              </w:rPr>
              <w:instrText xml:space="preserve"> PAGEREF _Toc96698049 \h </w:instrText>
            </w:r>
            <w:r>
              <w:rPr>
                <w:noProof/>
                <w:webHidden/>
              </w:rPr>
            </w:r>
            <w:r>
              <w:rPr>
                <w:noProof/>
                <w:webHidden/>
              </w:rPr>
              <w:fldChar w:fldCharType="separate"/>
            </w:r>
            <w:r>
              <w:rPr>
                <w:noProof/>
                <w:webHidden/>
              </w:rPr>
              <w:t>62</w:t>
            </w:r>
            <w:r>
              <w:rPr>
                <w:noProof/>
                <w:webHidden/>
              </w:rPr>
              <w:fldChar w:fldCharType="end"/>
            </w:r>
          </w:hyperlink>
        </w:p>
        <w:p w14:paraId="6003E46F" w14:textId="1CE96146" w:rsidR="00E80406" w:rsidRDefault="00E80406">
          <w:pPr>
            <w:pStyle w:val="TM4"/>
            <w:rPr>
              <w:rFonts w:asciiTheme="minorHAnsi" w:eastAsiaTheme="minorEastAsia" w:hAnsiTheme="minorHAnsi" w:cstheme="minorBidi"/>
              <w:noProof/>
            </w:rPr>
          </w:pPr>
          <w:hyperlink w:anchor="_Toc96698050" w:history="1">
            <w:r w:rsidRPr="007864E8">
              <w:rPr>
                <w:rStyle w:val="Lienhypertexte"/>
                <w:noProof/>
              </w:rPr>
              <w:t>3.8.4.2</w:t>
            </w:r>
            <w:r>
              <w:rPr>
                <w:rFonts w:asciiTheme="minorHAnsi" w:eastAsiaTheme="minorEastAsia" w:hAnsiTheme="minorHAnsi" w:cstheme="minorBidi"/>
                <w:noProof/>
              </w:rPr>
              <w:tab/>
            </w:r>
            <w:r w:rsidRPr="007864E8">
              <w:rPr>
                <w:rStyle w:val="Lienhypertexte"/>
                <w:noProof/>
              </w:rPr>
              <w:t>La démarche – papier</w:t>
            </w:r>
            <w:r>
              <w:rPr>
                <w:noProof/>
                <w:webHidden/>
              </w:rPr>
              <w:tab/>
            </w:r>
            <w:r>
              <w:rPr>
                <w:noProof/>
                <w:webHidden/>
              </w:rPr>
              <w:fldChar w:fldCharType="begin"/>
            </w:r>
            <w:r>
              <w:rPr>
                <w:noProof/>
                <w:webHidden/>
              </w:rPr>
              <w:instrText xml:space="preserve"> PAGEREF _Toc96698050 \h </w:instrText>
            </w:r>
            <w:r>
              <w:rPr>
                <w:noProof/>
                <w:webHidden/>
              </w:rPr>
            </w:r>
            <w:r>
              <w:rPr>
                <w:noProof/>
                <w:webHidden/>
              </w:rPr>
              <w:fldChar w:fldCharType="separate"/>
            </w:r>
            <w:r>
              <w:rPr>
                <w:noProof/>
                <w:webHidden/>
              </w:rPr>
              <w:t>62</w:t>
            </w:r>
            <w:r>
              <w:rPr>
                <w:noProof/>
                <w:webHidden/>
              </w:rPr>
              <w:fldChar w:fldCharType="end"/>
            </w:r>
          </w:hyperlink>
        </w:p>
        <w:p w14:paraId="105F61D9" w14:textId="3DB7C3CE" w:rsidR="00E80406" w:rsidRDefault="00E80406">
          <w:pPr>
            <w:pStyle w:val="TM4"/>
            <w:rPr>
              <w:rFonts w:asciiTheme="minorHAnsi" w:eastAsiaTheme="minorEastAsia" w:hAnsiTheme="minorHAnsi" w:cstheme="minorBidi"/>
              <w:noProof/>
            </w:rPr>
          </w:pPr>
          <w:hyperlink w:anchor="_Toc96698051" w:history="1">
            <w:r w:rsidRPr="007864E8">
              <w:rPr>
                <w:rStyle w:val="Lienhypertexte"/>
                <w:noProof/>
              </w:rPr>
              <w:t>3.8.4.3</w:t>
            </w:r>
            <w:r>
              <w:rPr>
                <w:rFonts w:asciiTheme="minorHAnsi" w:eastAsiaTheme="minorEastAsia" w:hAnsiTheme="minorHAnsi" w:cstheme="minorBidi"/>
                <w:noProof/>
              </w:rPr>
              <w:tab/>
            </w:r>
            <w:r w:rsidRPr="007864E8">
              <w:rPr>
                <w:rStyle w:val="Lienhypertexte"/>
                <w:noProof/>
              </w:rPr>
              <w:t>Biomasse</w:t>
            </w:r>
            <w:r>
              <w:rPr>
                <w:noProof/>
                <w:webHidden/>
              </w:rPr>
              <w:tab/>
            </w:r>
            <w:r>
              <w:rPr>
                <w:noProof/>
                <w:webHidden/>
              </w:rPr>
              <w:fldChar w:fldCharType="begin"/>
            </w:r>
            <w:r>
              <w:rPr>
                <w:noProof/>
                <w:webHidden/>
              </w:rPr>
              <w:instrText xml:space="preserve"> PAGEREF _Toc96698051 \h </w:instrText>
            </w:r>
            <w:r>
              <w:rPr>
                <w:noProof/>
                <w:webHidden/>
              </w:rPr>
            </w:r>
            <w:r>
              <w:rPr>
                <w:noProof/>
                <w:webHidden/>
              </w:rPr>
              <w:fldChar w:fldCharType="separate"/>
            </w:r>
            <w:r>
              <w:rPr>
                <w:noProof/>
                <w:webHidden/>
              </w:rPr>
              <w:t>64</w:t>
            </w:r>
            <w:r>
              <w:rPr>
                <w:noProof/>
                <w:webHidden/>
              </w:rPr>
              <w:fldChar w:fldCharType="end"/>
            </w:r>
          </w:hyperlink>
        </w:p>
        <w:p w14:paraId="36398E69" w14:textId="1DD25D95" w:rsidR="00E80406" w:rsidRDefault="00E80406">
          <w:pPr>
            <w:pStyle w:val="TM4"/>
            <w:rPr>
              <w:rFonts w:asciiTheme="minorHAnsi" w:eastAsiaTheme="minorEastAsia" w:hAnsiTheme="minorHAnsi" w:cstheme="minorBidi"/>
              <w:noProof/>
            </w:rPr>
          </w:pPr>
          <w:hyperlink w:anchor="_Toc96698052" w:history="1">
            <w:r w:rsidRPr="007864E8">
              <w:rPr>
                <w:rStyle w:val="Lienhypertexte"/>
                <w:noProof/>
              </w:rPr>
              <w:t>3.8.4.4</w:t>
            </w:r>
            <w:r>
              <w:rPr>
                <w:rFonts w:asciiTheme="minorHAnsi" w:eastAsiaTheme="minorEastAsia" w:hAnsiTheme="minorHAnsi" w:cstheme="minorBidi"/>
                <w:noProof/>
              </w:rPr>
              <w:tab/>
            </w:r>
            <w:r w:rsidRPr="007864E8">
              <w:rPr>
                <w:rStyle w:val="Lienhypertexte"/>
                <w:noProof/>
              </w:rPr>
              <w:t>Suppression des batteries au plomb dans les agences</w:t>
            </w:r>
            <w:r>
              <w:rPr>
                <w:noProof/>
                <w:webHidden/>
              </w:rPr>
              <w:tab/>
            </w:r>
            <w:r>
              <w:rPr>
                <w:noProof/>
                <w:webHidden/>
              </w:rPr>
              <w:fldChar w:fldCharType="begin"/>
            </w:r>
            <w:r>
              <w:rPr>
                <w:noProof/>
                <w:webHidden/>
              </w:rPr>
              <w:instrText xml:space="preserve"> PAGEREF _Toc96698052 \h </w:instrText>
            </w:r>
            <w:r>
              <w:rPr>
                <w:noProof/>
                <w:webHidden/>
              </w:rPr>
            </w:r>
            <w:r>
              <w:rPr>
                <w:noProof/>
                <w:webHidden/>
              </w:rPr>
              <w:fldChar w:fldCharType="separate"/>
            </w:r>
            <w:r>
              <w:rPr>
                <w:noProof/>
                <w:webHidden/>
              </w:rPr>
              <w:t>64</w:t>
            </w:r>
            <w:r>
              <w:rPr>
                <w:noProof/>
                <w:webHidden/>
              </w:rPr>
              <w:fldChar w:fldCharType="end"/>
            </w:r>
          </w:hyperlink>
        </w:p>
        <w:p w14:paraId="59191E0C" w14:textId="748C1FDE" w:rsidR="00E80406" w:rsidRDefault="00E80406">
          <w:pPr>
            <w:pStyle w:val="TM4"/>
            <w:rPr>
              <w:rFonts w:asciiTheme="minorHAnsi" w:eastAsiaTheme="minorEastAsia" w:hAnsiTheme="minorHAnsi" w:cstheme="minorBidi"/>
              <w:noProof/>
            </w:rPr>
          </w:pPr>
          <w:hyperlink w:anchor="_Toc96698053" w:history="1">
            <w:r w:rsidRPr="007864E8">
              <w:rPr>
                <w:rStyle w:val="Lienhypertexte"/>
                <w:noProof/>
              </w:rPr>
              <w:t>3.8.4.5</w:t>
            </w:r>
            <w:r>
              <w:rPr>
                <w:rFonts w:asciiTheme="minorHAnsi" w:eastAsiaTheme="minorEastAsia" w:hAnsiTheme="minorHAnsi" w:cstheme="minorBidi"/>
                <w:noProof/>
              </w:rPr>
              <w:tab/>
            </w:r>
            <w:r w:rsidRPr="007864E8">
              <w:rPr>
                <w:rStyle w:val="Lienhypertexte"/>
                <w:noProof/>
              </w:rPr>
              <w:t>Tendre vers la suppression du plastique à usage unique</w:t>
            </w:r>
            <w:r>
              <w:rPr>
                <w:noProof/>
                <w:webHidden/>
              </w:rPr>
              <w:tab/>
            </w:r>
            <w:r>
              <w:rPr>
                <w:noProof/>
                <w:webHidden/>
              </w:rPr>
              <w:fldChar w:fldCharType="begin"/>
            </w:r>
            <w:r>
              <w:rPr>
                <w:noProof/>
                <w:webHidden/>
              </w:rPr>
              <w:instrText xml:space="preserve"> PAGEREF _Toc96698053 \h </w:instrText>
            </w:r>
            <w:r>
              <w:rPr>
                <w:noProof/>
                <w:webHidden/>
              </w:rPr>
            </w:r>
            <w:r>
              <w:rPr>
                <w:noProof/>
                <w:webHidden/>
              </w:rPr>
              <w:fldChar w:fldCharType="separate"/>
            </w:r>
            <w:r>
              <w:rPr>
                <w:noProof/>
                <w:webHidden/>
              </w:rPr>
              <w:t>64</w:t>
            </w:r>
            <w:r>
              <w:rPr>
                <w:noProof/>
                <w:webHidden/>
              </w:rPr>
              <w:fldChar w:fldCharType="end"/>
            </w:r>
          </w:hyperlink>
        </w:p>
        <w:p w14:paraId="33A28C46" w14:textId="390CA076"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54" w:history="1">
            <w:r w:rsidRPr="007864E8">
              <w:rPr>
                <w:rStyle w:val="Lienhypertexte"/>
                <w:noProof/>
              </w:rPr>
              <w:t>3.8.5</w:t>
            </w:r>
            <w:r>
              <w:rPr>
                <w:rFonts w:asciiTheme="minorHAnsi" w:eastAsiaTheme="minorEastAsia" w:hAnsiTheme="minorHAnsi" w:cstheme="minorBidi"/>
                <w:noProof/>
                <w:sz w:val="22"/>
                <w:lang w:eastAsia="fr-FR"/>
              </w:rPr>
              <w:tab/>
            </w:r>
            <w:r w:rsidRPr="007864E8">
              <w:rPr>
                <w:rStyle w:val="Lienhypertexte"/>
                <w:noProof/>
              </w:rPr>
              <w:t>Réduire l’impact environnemental des déchets produits.</w:t>
            </w:r>
            <w:r>
              <w:rPr>
                <w:noProof/>
                <w:webHidden/>
              </w:rPr>
              <w:tab/>
            </w:r>
            <w:r>
              <w:rPr>
                <w:noProof/>
                <w:webHidden/>
              </w:rPr>
              <w:fldChar w:fldCharType="begin"/>
            </w:r>
            <w:r>
              <w:rPr>
                <w:noProof/>
                <w:webHidden/>
              </w:rPr>
              <w:instrText xml:space="preserve"> PAGEREF _Toc96698054 \h </w:instrText>
            </w:r>
            <w:r>
              <w:rPr>
                <w:noProof/>
                <w:webHidden/>
              </w:rPr>
            </w:r>
            <w:r>
              <w:rPr>
                <w:noProof/>
                <w:webHidden/>
              </w:rPr>
              <w:fldChar w:fldCharType="separate"/>
            </w:r>
            <w:r>
              <w:rPr>
                <w:noProof/>
                <w:webHidden/>
              </w:rPr>
              <w:t>65</w:t>
            </w:r>
            <w:r>
              <w:rPr>
                <w:noProof/>
                <w:webHidden/>
              </w:rPr>
              <w:fldChar w:fldCharType="end"/>
            </w:r>
          </w:hyperlink>
        </w:p>
        <w:p w14:paraId="7DEC3211" w14:textId="6C1AB998" w:rsidR="00E80406" w:rsidRDefault="00E80406">
          <w:pPr>
            <w:pStyle w:val="TM4"/>
            <w:rPr>
              <w:rFonts w:asciiTheme="minorHAnsi" w:eastAsiaTheme="minorEastAsia" w:hAnsiTheme="minorHAnsi" w:cstheme="minorBidi"/>
              <w:noProof/>
            </w:rPr>
          </w:pPr>
          <w:hyperlink w:anchor="_Toc96698055" w:history="1">
            <w:r w:rsidRPr="007864E8">
              <w:rPr>
                <w:rStyle w:val="Lienhypertexte"/>
                <w:noProof/>
              </w:rPr>
              <w:t>3.8.5.1</w:t>
            </w:r>
            <w:r>
              <w:rPr>
                <w:rFonts w:asciiTheme="minorHAnsi" w:eastAsiaTheme="minorEastAsia" w:hAnsiTheme="minorHAnsi" w:cstheme="minorBidi"/>
                <w:noProof/>
              </w:rPr>
              <w:tab/>
            </w:r>
            <w:r w:rsidRPr="007864E8">
              <w:rPr>
                <w:rStyle w:val="Lienhypertexte"/>
                <w:noProof/>
              </w:rPr>
              <w:t>Le papier</w:t>
            </w:r>
            <w:r>
              <w:rPr>
                <w:noProof/>
                <w:webHidden/>
              </w:rPr>
              <w:tab/>
            </w:r>
            <w:r>
              <w:rPr>
                <w:noProof/>
                <w:webHidden/>
              </w:rPr>
              <w:fldChar w:fldCharType="begin"/>
            </w:r>
            <w:r>
              <w:rPr>
                <w:noProof/>
                <w:webHidden/>
              </w:rPr>
              <w:instrText xml:space="preserve"> PAGEREF _Toc96698055 \h </w:instrText>
            </w:r>
            <w:r>
              <w:rPr>
                <w:noProof/>
                <w:webHidden/>
              </w:rPr>
            </w:r>
            <w:r>
              <w:rPr>
                <w:noProof/>
                <w:webHidden/>
              </w:rPr>
              <w:fldChar w:fldCharType="separate"/>
            </w:r>
            <w:r>
              <w:rPr>
                <w:noProof/>
                <w:webHidden/>
              </w:rPr>
              <w:t>65</w:t>
            </w:r>
            <w:r>
              <w:rPr>
                <w:noProof/>
                <w:webHidden/>
              </w:rPr>
              <w:fldChar w:fldCharType="end"/>
            </w:r>
          </w:hyperlink>
        </w:p>
        <w:p w14:paraId="6949B1CE" w14:textId="1E8FBC66" w:rsidR="00E80406" w:rsidRDefault="00E80406">
          <w:pPr>
            <w:pStyle w:val="TM4"/>
            <w:rPr>
              <w:rFonts w:asciiTheme="minorHAnsi" w:eastAsiaTheme="minorEastAsia" w:hAnsiTheme="minorHAnsi" w:cstheme="minorBidi"/>
              <w:noProof/>
            </w:rPr>
          </w:pPr>
          <w:hyperlink w:anchor="_Toc96698056" w:history="1">
            <w:r w:rsidRPr="007864E8">
              <w:rPr>
                <w:rStyle w:val="Lienhypertexte"/>
                <w:noProof/>
              </w:rPr>
              <w:t>3.8.5.2</w:t>
            </w:r>
            <w:r>
              <w:rPr>
                <w:rFonts w:asciiTheme="minorHAnsi" w:eastAsiaTheme="minorEastAsia" w:hAnsiTheme="minorHAnsi" w:cstheme="minorBidi"/>
                <w:noProof/>
              </w:rPr>
              <w:tab/>
            </w:r>
            <w:r w:rsidRPr="007864E8">
              <w:rPr>
                <w:rStyle w:val="Lienhypertexte"/>
                <w:noProof/>
              </w:rPr>
              <w:t>Le carton</w:t>
            </w:r>
            <w:r>
              <w:rPr>
                <w:noProof/>
                <w:webHidden/>
              </w:rPr>
              <w:tab/>
            </w:r>
            <w:r>
              <w:rPr>
                <w:noProof/>
                <w:webHidden/>
              </w:rPr>
              <w:fldChar w:fldCharType="begin"/>
            </w:r>
            <w:r>
              <w:rPr>
                <w:noProof/>
                <w:webHidden/>
              </w:rPr>
              <w:instrText xml:space="preserve"> PAGEREF _Toc96698056 \h </w:instrText>
            </w:r>
            <w:r>
              <w:rPr>
                <w:noProof/>
                <w:webHidden/>
              </w:rPr>
            </w:r>
            <w:r>
              <w:rPr>
                <w:noProof/>
                <w:webHidden/>
              </w:rPr>
              <w:fldChar w:fldCharType="separate"/>
            </w:r>
            <w:r>
              <w:rPr>
                <w:noProof/>
                <w:webHidden/>
              </w:rPr>
              <w:t>65</w:t>
            </w:r>
            <w:r>
              <w:rPr>
                <w:noProof/>
                <w:webHidden/>
              </w:rPr>
              <w:fldChar w:fldCharType="end"/>
            </w:r>
          </w:hyperlink>
        </w:p>
        <w:p w14:paraId="4B3720F3" w14:textId="5AE1E555" w:rsidR="00E80406" w:rsidRDefault="00E80406">
          <w:pPr>
            <w:pStyle w:val="TM4"/>
            <w:rPr>
              <w:rFonts w:asciiTheme="minorHAnsi" w:eastAsiaTheme="minorEastAsia" w:hAnsiTheme="minorHAnsi" w:cstheme="minorBidi"/>
              <w:noProof/>
            </w:rPr>
          </w:pPr>
          <w:hyperlink w:anchor="_Toc96698057" w:history="1">
            <w:r w:rsidRPr="007864E8">
              <w:rPr>
                <w:rStyle w:val="Lienhypertexte"/>
                <w:noProof/>
              </w:rPr>
              <w:t>3.8.5.3</w:t>
            </w:r>
            <w:r>
              <w:rPr>
                <w:rFonts w:asciiTheme="minorHAnsi" w:eastAsiaTheme="minorEastAsia" w:hAnsiTheme="minorHAnsi" w:cstheme="minorBidi"/>
                <w:noProof/>
              </w:rPr>
              <w:tab/>
            </w:r>
            <w:r w:rsidRPr="007864E8">
              <w:rPr>
                <w:rStyle w:val="Lienhypertexte"/>
                <w:noProof/>
              </w:rPr>
              <w:t>Les cartouches d’encre</w:t>
            </w:r>
            <w:r>
              <w:rPr>
                <w:noProof/>
                <w:webHidden/>
              </w:rPr>
              <w:tab/>
            </w:r>
            <w:r>
              <w:rPr>
                <w:noProof/>
                <w:webHidden/>
              </w:rPr>
              <w:fldChar w:fldCharType="begin"/>
            </w:r>
            <w:r>
              <w:rPr>
                <w:noProof/>
                <w:webHidden/>
              </w:rPr>
              <w:instrText xml:space="preserve"> PAGEREF _Toc96698057 \h </w:instrText>
            </w:r>
            <w:r>
              <w:rPr>
                <w:noProof/>
                <w:webHidden/>
              </w:rPr>
            </w:r>
            <w:r>
              <w:rPr>
                <w:noProof/>
                <w:webHidden/>
              </w:rPr>
              <w:fldChar w:fldCharType="separate"/>
            </w:r>
            <w:r>
              <w:rPr>
                <w:noProof/>
                <w:webHidden/>
              </w:rPr>
              <w:t>66</w:t>
            </w:r>
            <w:r>
              <w:rPr>
                <w:noProof/>
                <w:webHidden/>
              </w:rPr>
              <w:fldChar w:fldCharType="end"/>
            </w:r>
          </w:hyperlink>
        </w:p>
        <w:p w14:paraId="1CF7E073" w14:textId="08A854B4" w:rsidR="00E80406" w:rsidRDefault="00E80406">
          <w:pPr>
            <w:pStyle w:val="TM4"/>
            <w:rPr>
              <w:rFonts w:asciiTheme="minorHAnsi" w:eastAsiaTheme="minorEastAsia" w:hAnsiTheme="minorHAnsi" w:cstheme="minorBidi"/>
              <w:noProof/>
            </w:rPr>
          </w:pPr>
          <w:hyperlink w:anchor="_Toc96698058" w:history="1">
            <w:r w:rsidRPr="007864E8">
              <w:rPr>
                <w:rStyle w:val="Lienhypertexte"/>
                <w:noProof/>
              </w:rPr>
              <w:t>3.8.5.4</w:t>
            </w:r>
            <w:r>
              <w:rPr>
                <w:rFonts w:asciiTheme="minorHAnsi" w:eastAsiaTheme="minorEastAsia" w:hAnsiTheme="minorHAnsi" w:cstheme="minorBidi"/>
                <w:noProof/>
              </w:rPr>
              <w:tab/>
            </w:r>
            <w:r w:rsidRPr="007864E8">
              <w:rPr>
                <w:rStyle w:val="Lienhypertexte"/>
                <w:noProof/>
              </w:rPr>
              <w:t>Les déchets d’équipements électriques et électroniques (DEEE)</w:t>
            </w:r>
            <w:r>
              <w:rPr>
                <w:noProof/>
                <w:webHidden/>
              </w:rPr>
              <w:tab/>
            </w:r>
            <w:r>
              <w:rPr>
                <w:noProof/>
                <w:webHidden/>
              </w:rPr>
              <w:fldChar w:fldCharType="begin"/>
            </w:r>
            <w:r>
              <w:rPr>
                <w:noProof/>
                <w:webHidden/>
              </w:rPr>
              <w:instrText xml:space="preserve"> PAGEREF _Toc96698058 \h </w:instrText>
            </w:r>
            <w:r>
              <w:rPr>
                <w:noProof/>
                <w:webHidden/>
              </w:rPr>
            </w:r>
            <w:r>
              <w:rPr>
                <w:noProof/>
                <w:webHidden/>
              </w:rPr>
              <w:fldChar w:fldCharType="separate"/>
            </w:r>
            <w:r>
              <w:rPr>
                <w:noProof/>
                <w:webHidden/>
              </w:rPr>
              <w:t>66</w:t>
            </w:r>
            <w:r>
              <w:rPr>
                <w:noProof/>
                <w:webHidden/>
              </w:rPr>
              <w:fldChar w:fldCharType="end"/>
            </w:r>
          </w:hyperlink>
        </w:p>
        <w:p w14:paraId="6C6A4AE8" w14:textId="608EC380" w:rsidR="00E80406" w:rsidRDefault="00E80406">
          <w:pPr>
            <w:pStyle w:val="TM4"/>
            <w:rPr>
              <w:rFonts w:asciiTheme="minorHAnsi" w:eastAsiaTheme="minorEastAsia" w:hAnsiTheme="minorHAnsi" w:cstheme="minorBidi"/>
              <w:noProof/>
            </w:rPr>
          </w:pPr>
          <w:hyperlink w:anchor="_Toc96698059" w:history="1">
            <w:r w:rsidRPr="007864E8">
              <w:rPr>
                <w:rStyle w:val="Lienhypertexte"/>
                <w:noProof/>
              </w:rPr>
              <w:t>3.8.5.5</w:t>
            </w:r>
            <w:r>
              <w:rPr>
                <w:rFonts w:asciiTheme="minorHAnsi" w:eastAsiaTheme="minorEastAsia" w:hAnsiTheme="minorHAnsi" w:cstheme="minorBidi"/>
                <w:noProof/>
              </w:rPr>
              <w:tab/>
            </w:r>
            <w:r w:rsidRPr="007864E8">
              <w:rPr>
                <w:rStyle w:val="Lienhypertexte"/>
                <w:noProof/>
              </w:rPr>
              <w:t>Les cartes bancaires usagées</w:t>
            </w:r>
            <w:r>
              <w:rPr>
                <w:noProof/>
                <w:webHidden/>
              </w:rPr>
              <w:tab/>
            </w:r>
            <w:r>
              <w:rPr>
                <w:noProof/>
                <w:webHidden/>
              </w:rPr>
              <w:fldChar w:fldCharType="begin"/>
            </w:r>
            <w:r>
              <w:rPr>
                <w:noProof/>
                <w:webHidden/>
              </w:rPr>
              <w:instrText xml:space="preserve"> PAGEREF _Toc96698059 \h </w:instrText>
            </w:r>
            <w:r>
              <w:rPr>
                <w:noProof/>
                <w:webHidden/>
              </w:rPr>
            </w:r>
            <w:r>
              <w:rPr>
                <w:noProof/>
                <w:webHidden/>
              </w:rPr>
              <w:fldChar w:fldCharType="separate"/>
            </w:r>
            <w:r>
              <w:rPr>
                <w:noProof/>
                <w:webHidden/>
              </w:rPr>
              <w:t>66</w:t>
            </w:r>
            <w:r>
              <w:rPr>
                <w:noProof/>
                <w:webHidden/>
              </w:rPr>
              <w:fldChar w:fldCharType="end"/>
            </w:r>
          </w:hyperlink>
        </w:p>
        <w:p w14:paraId="44C889C9" w14:textId="0FE29B3E" w:rsidR="00E80406" w:rsidRDefault="00E80406">
          <w:pPr>
            <w:pStyle w:val="TM4"/>
            <w:rPr>
              <w:rFonts w:asciiTheme="minorHAnsi" w:eastAsiaTheme="minorEastAsia" w:hAnsiTheme="minorHAnsi" w:cstheme="minorBidi"/>
              <w:noProof/>
            </w:rPr>
          </w:pPr>
          <w:hyperlink w:anchor="_Toc96698060" w:history="1">
            <w:r w:rsidRPr="007864E8">
              <w:rPr>
                <w:rStyle w:val="Lienhypertexte"/>
                <w:noProof/>
              </w:rPr>
              <w:t>3.8.5.6</w:t>
            </w:r>
            <w:r>
              <w:rPr>
                <w:rFonts w:asciiTheme="minorHAnsi" w:eastAsiaTheme="minorEastAsia" w:hAnsiTheme="minorHAnsi" w:cstheme="minorBidi"/>
                <w:noProof/>
              </w:rPr>
              <w:tab/>
            </w:r>
            <w:r w:rsidRPr="007864E8">
              <w:rPr>
                <w:rStyle w:val="Lienhypertexte"/>
                <w:noProof/>
              </w:rPr>
              <w:t>Les stylos et instruments d’écriture</w:t>
            </w:r>
            <w:r>
              <w:rPr>
                <w:noProof/>
                <w:webHidden/>
              </w:rPr>
              <w:tab/>
            </w:r>
            <w:r>
              <w:rPr>
                <w:noProof/>
                <w:webHidden/>
              </w:rPr>
              <w:fldChar w:fldCharType="begin"/>
            </w:r>
            <w:r>
              <w:rPr>
                <w:noProof/>
                <w:webHidden/>
              </w:rPr>
              <w:instrText xml:space="preserve"> PAGEREF _Toc96698060 \h </w:instrText>
            </w:r>
            <w:r>
              <w:rPr>
                <w:noProof/>
                <w:webHidden/>
              </w:rPr>
            </w:r>
            <w:r>
              <w:rPr>
                <w:noProof/>
                <w:webHidden/>
              </w:rPr>
              <w:fldChar w:fldCharType="separate"/>
            </w:r>
            <w:r>
              <w:rPr>
                <w:noProof/>
                <w:webHidden/>
              </w:rPr>
              <w:t>66</w:t>
            </w:r>
            <w:r>
              <w:rPr>
                <w:noProof/>
                <w:webHidden/>
              </w:rPr>
              <w:fldChar w:fldCharType="end"/>
            </w:r>
          </w:hyperlink>
        </w:p>
        <w:p w14:paraId="5C5AC640" w14:textId="41D67CF6" w:rsidR="00E80406" w:rsidRDefault="00E80406">
          <w:pPr>
            <w:pStyle w:val="TM4"/>
            <w:rPr>
              <w:rFonts w:asciiTheme="minorHAnsi" w:eastAsiaTheme="minorEastAsia" w:hAnsiTheme="minorHAnsi" w:cstheme="minorBidi"/>
              <w:noProof/>
            </w:rPr>
          </w:pPr>
          <w:hyperlink w:anchor="_Toc96698061" w:history="1">
            <w:r w:rsidRPr="007864E8">
              <w:rPr>
                <w:rStyle w:val="Lienhypertexte"/>
                <w:noProof/>
              </w:rPr>
              <w:t>3.8.5.7</w:t>
            </w:r>
            <w:r>
              <w:rPr>
                <w:rFonts w:asciiTheme="minorHAnsi" w:eastAsiaTheme="minorEastAsia" w:hAnsiTheme="minorHAnsi" w:cstheme="minorBidi"/>
                <w:noProof/>
              </w:rPr>
              <w:tab/>
            </w:r>
            <w:r w:rsidRPr="007864E8">
              <w:rPr>
                <w:rStyle w:val="Lienhypertexte"/>
                <w:noProof/>
              </w:rPr>
              <w:t>Masques sanitaires</w:t>
            </w:r>
            <w:r>
              <w:rPr>
                <w:noProof/>
                <w:webHidden/>
              </w:rPr>
              <w:tab/>
            </w:r>
            <w:r>
              <w:rPr>
                <w:noProof/>
                <w:webHidden/>
              </w:rPr>
              <w:fldChar w:fldCharType="begin"/>
            </w:r>
            <w:r>
              <w:rPr>
                <w:noProof/>
                <w:webHidden/>
              </w:rPr>
              <w:instrText xml:space="preserve"> PAGEREF _Toc96698061 \h </w:instrText>
            </w:r>
            <w:r>
              <w:rPr>
                <w:noProof/>
                <w:webHidden/>
              </w:rPr>
            </w:r>
            <w:r>
              <w:rPr>
                <w:noProof/>
                <w:webHidden/>
              </w:rPr>
              <w:fldChar w:fldCharType="separate"/>
            </w:r>
            <w:r>
              <w:rPr>
                <w:noProof/>
                <w:webHidden/>
              </w:rPr>
              <w:t>66</w:t>
            </w:r>
            <w:r>
              <w:rPr>
                <w:noProof/>
                <w:webHidden/>
              </w:rPr>
              <w:fldChar w:fldCharType="end"/>
            </w:r>
          </w:hyperlink>
        </w:p>
        <w:p w14:paraId="2174641D" w14:textId="3E0654BA" w:rsidR="00E80406" w:rsidRDefault="00E80406">
          <w:pPr>
            <w:pStyle w:val="TM3"/>
            <w:tabs>
              <w:tab w:val="left" w:pos="1100"/>
              <w:tab w:val="right" w:leader="dot" w:pos="10338"/>
            </w:tabs>
            <w:rPr>
              <w:rFonts w:asciiTheme="minorHAnsi" w:eastAsiaTheme="minorEastAsia" w:hAnsiTheme="minorHAnsi" w:cstheme="minorBidi"/>
              <w:noProof/>
              <w:sz w:val="22"/>
              <w:lang w:eastAsia="fr-FR"/>
            </w:rPr>
          </w:pPr>
          <w:hyperlink w:anchor="_Toc96698062" w:history="1">
            <w:r w:rsidRPr="007864E8">
              <w:rPr>
                <w:rStyle w:val="Lienhypertexte"/>
                <w:noProof/>
              </w:rPr>
              <w:t>3.8.6</w:t>
            </w:r>
            <w:r>
              <w:rPr>
                <w:rFonts w:asciiTheme="minorHAnsi" w:eastAsiaTheme="minorEastAsia" w:hAnsiTheme="minorHAnsi" w:cstheme="minorBidi"/>
                <w:noProof/>
                <w:sz w:val="22"/>
                <w:lang w:eastAsia="fr-FR"/>
              </w:rPr>
              <w:tab/>
            </w:r>
            <w:r w:rsidRPr="007864E8">
              <w:rPr>
                <w:rStyle w:val="Lienhypertexte"/>
                <w:noProof/>
              </w:rPr>
              <w:t>Agir pour la protection de la biodiversité</w:t>
            </w:r>
            <w:r>
              <w:rPr>
                <w:noProof/>
                <w:webHidden/>
              </w:rPr>
              <w:tab/>
            </w:r>
            <w:r>
              <w:rPr>
                <w:noProof/>
                <w:webHidden/>
              </w:rPr>
              <w:fldChar w:fldCharType="begin"/>
            </w:r>
            <w:r>
              <w:rPr>
                <w:noProof/>
                <w:webHidden/>
              </w:rPr>
              <w:instrText xml:space="preserve"> PAGEREF _Toc96698062 \h </w:instrText>
            </w:r>
            <w:r>
              <w:rPr>
                <w:noProof/>
                <w:webHidden/>
              </w:rPr>
            </w:r>
            <w:r>
              <w:rPr>
                <w:noProof/>
                <w:webHidden/>
              </w:rPr>
              <w:fldChar w:fldCharType="separate"/>
            </w:r>
            <w:r>
              <w:rPr>
                <w:noProof/>
                <w:webHidden/>
              </w:rPr>
              <w:t>67</w:t>
            </w:r>
            <w:r>
              <w:rPr>
                <w:noProof/>
                <w:webHidden/>
              </w:rPr>
              <w:fldChar w:fldCharType="end"/>
            </w:r>
          </w:hyperlink>
        </w:p>
        <w:p w14:paraId="09315E5E" w14:textId="2FA9B3AC" w:rsidR="00E80406" w:rsidRDefault="00E80406">
          <w:pPr>
            <w:pStyle w:val="TM4"/>
            <w:rPr>
              <w:rFonts w:asciiTheme="minorHAnsi" w:eastAsiaTheme="minorEastAsia" w:hAnsiTheme="minorHAnsi" w:cstheme="minorBidi"/>
              <w:noProof/>
            </w:rPr>
          </w:pPr>
          <w:hyperlink w:anchor="_Toc96698063" w:history="1">
            <w:r w:rsidRPr="007864E8">
              <w:rPr>
                <w:rStyle w:val="Lienhypertexte"/>
                <w:noProof/>
              </w:rPr>
              <w:t>3.8.6.1</w:t>
            </w:r>
            <w:r>
              <w:rPr>
                <w:rFonts w:asciiTheme="minorHAnsi" w:eastAsiaTheme="minorEastAsia" w:hAnsiTheme="minorHAnsi" w:cstheme="minorBidi"/>
                <w:noProof/>
              </w:rPr>
              <w:tab/>
            </w:r>
            <w:r w:rsidRPr="007864E8">
              <w:rPr>
                <w:rStyle w:val="Lienhypertexte"/>
                <w:noProof/>
              </w:rPr>
              <w:t>Le projet agro pastoral sur le site de Rodez Causse Comtal</w:t>
            </w:r>
            <w:r>
              <w:rPr>
                <w:noProof/>
                <w:webHidden/>
              </w:rPr>
              <w:tab/>
            </w:r>
            <w:r>
              <w:rPr>
                <w:noProof/>
                <w:webHidden/>
              </w:rPr>
              <w:fldChar w:fldCharType="begin"/>
            </w:r>
            <w:r>
              <w:rPr>
                <w:noProof/>
                <w:webHidden/>
              </w:rPr>
              <w:instrText xml:space="preserve"> PAGEREF _Toc96698063 \h </w:instrText>
            </w:r>
            <w:r>
              <w:rPr>
                <w:noProof/>
                <w:webHidden/>
              </w:rPr>
            </w:r>
            <w:r>
              <w:rPr>
                <w:noProof/>
                <w:webHidden/>
              </w:rPr>
              <w:fldChar w:fldCharType="separate"/>
            </w:r>
            <w:r>
              <w:rPr>
                <w:noProof/>
                <w:webHidden/>
              </w:rPr>
              <w:t>67</w:t>
            </w:r>
            <w:r>
              <w:rPr>
                <w:noProof/>
                <w:webHidden/>
              </w:rPr>
              <w:fldChar w:fldCharType="end"/>
            </w:r>
          </w:hyperlink>
        </w:p>
        <w:p w14:paraId="45FDE79B" w14:textId="3CBC3D4D" w:rsidR="00E80406" w:rsidRDefault="00E80406">
          <w:pPr>
            <w:pStyle w:val="TM4"/>
            <w:rPr>
              <w:rFonts w:asciiTheme="minorHAnsi" w:eastAsiaTheme="minorEastAsia" w:hAnsiTheme="minorHAnsi" w:cstheme="minorBidi"/>
              <w:noProof/>
            </w:rPr>
          </w:pPr>
          <w:hyperlink w:anchor="_Toc96698064" w:history="1">
            <w:r w:rsidRPr="007864E8">
              <w:rPr>
                <w:rStyle w:val="Lienhypertexte"/>
                <w:noProof/>
              </w:rPr>
              <w:t>3.8.6.2</w:t>
            </w:r>
            <w:r>
              <w:rPr>
                <w:rFonts w:asciiTheme="minorHAnsi" w:eastAsiaTheme="minorEastAsia" w:hAnsiTheme="minorHAnsi" w:cstheme="minorBidi"/>
                <w:noProof/>
              </w:rPr>
              <w:tab/>
            </w:r>
            <w:r w:rsidRPr="007864E8">
              <w:rPr>
                <w:rStyle w:val="Lienhypertexte"/>
                <w:noProof/>
              </w:rPr>
              <w:t>Le projet « Zéro plastique à usage unique »</w:t>
            </w:r>
            <w:r>
              <w:rPr>
                <w:noProof/>
                <w:webHidden/>
              </w:rPr>
              <w:tab/>
            </w:r>
            <w:r>
              <w:rPr>
                <w:noProof/>
                <w:webHidden/>
              </w:rPr>
              <w:fldChar w:fldCharType="begin"/>
            </w:r>
            <w:r>
              <w:rPr>
                <w:noProof/>
                <w:webHidden/>
              </w:rPr>
              <w:instrText xml:space="preserve"> PAGEREF _Toc96698064 \h </w:instrText>
            </w:r>
            <w:r>
              <w:rPr>
                <w:noProof/>
                <w:webHidden/>
              </w:rPr>
            </w:r>
            <w:r>
              <w:rPr>
                <w:noProof/>
                <w:webHidden/>
              </w:rPr>
              <w:fldChar w:fldCharType="separate"/>
            </w:r>
            <w:r>
              <w:rPr>
                <w:noProof/>
                <w:webHidden/>
              </w:rPr>
              <w:t>68</w:t>
            </w:r>
            <w:r>
              <w:rPr>
                <w:noProof/>
                <w:webHidden/>
              </w:rPr>
              <w:fldChar w:fldCharType="end"/>
            </w:r>
          </w:hyperlink>
        </w:p>
        <w:p w14:paraId="38AB0CA3" w14:textId="6EF7146C" w:rsidR="00E80406" w:rsidRDefault="00E80406">
          <w:pPr>
            <w:pStyle w:val="TM4"/>
            <w:rPr>
              <w:rFonts w:asciiTheme="minorHAnsi" w:eastAsiaTheme="minorEastAsia" w:hAnsiTheme="minorHAnsi" w:cstheme="minorBidi"/>
              <w:noProof/>
            </w:rPr>
          </w:pPr>
          <w:hyperlink w:anchor="_Toc96698065" w:history="1">
            <w:r w:rsidRPr="007864E8">
              <w:rPr>
                <w:rStyle w:val="Lienhypertexte"/>
                <w:noProof/>
              </w:rPr>
              <w:t>3.8.6.3</w:t>
            </w:r>
            <w:r>
              <w:rPr>
                <w:rFonts w:asciiTheme="minorHAnsi" w:eastAsiaTheme="minorEastAsia" w:hAnsiTheme="minorHAnsi" w:cstheme="minorBidi"/>
                <w:noProof/>
              </w:rPr>
              <w:tab/>
            </w:r>
            <w:r w:rsidRPr="007864E8">
              <w:rPr>
                <w:rStyle w:val="Lienhypertexte"/>
                <w:noProof/>
              </w:rPr>
              <w:t>Les projets concourant à la plantation d’arbres</w:t>
            </w:r>
            <w:r>
              <w:rPr>
                <w:noProof/>
                <w:webHidden/>
              </w:rPr>
              <w:tab/>
            </w:r>
            <w:r>
              <w:rPr>
                <w:noProof/>
                <w:webHidden/>
              </w:rPr>
              <w:fldChar w:fldCharType="begin"/>
            </w:r>
            <w:r>
              <w:rPr>
                <w:noProof/>
                <w:webHidden/>
              </w:rPr>
              <w:instrText xml:space="preserve"> PAGEREF _Toc96698065 \h </w:instrText>
            </w:r>
            <w:r>
              <w:rPr>
                <w:noProof/>
                <w:webHidden/>
              </w:rPr>
            </w:r>
            <w:r>
              <w:rPr>
                <w:noProof/>
                <w:webHidden/>
              </w:rPr>
              <w:fldChar w:fldCharType="separate"/>
            </w:r>
            <w:r>
              <w:rPr>
                <w:noProof/>
                <w:webHidden/>
              </w:rPr>
              <w:t>68</w:t>
            </w:r>
            <w:r>
              <w:rPr>
                <w:noProof/>
                <w:webHidden/>
              </w:rPr>
              <w:fldChar w:fldCharType="end"/>
            </w:r>
          </w:hyperlink>
        </w:p>
        <w:p w14:paraId="15108F33" w14:textId="68C2558C" w:rsidR="00E80406" w:rsidRDefault="00E80406">
          <w:pPr>
            <w:pStyle w:val="TM2"/>
            <w:rPr>
              <w:rFonts w:asciiTheme="minorHAnsi" w:eastAsiaTheme="minorEastAsia" w:hAnsiTheme="minorHAnsi" w:cstheme="minorBidi"/>
              <w:noProof/>
              <w:lang w:eastAsia="fr-FR"/>
            </w:rPr>
          </w:pPr>
          <w:hyperlink w:anchor="_Toc96698066" w:history="1">
            <w:r w:rsidRPr="007864E8">
              <w:rPr>
                <w:rStyle w:val="Lienhypertexte"/>
                <w:noProof/>
              </w:rPr>
              <w:t>3.9</w:t>
            </w:r>
            <w:r>
              <w:rPr>
                <w:rFonts w:asciiTheme="minorHAnsi" w:eastAsiaTheme="minorEastAsia" w:hAnsiTheme="minorHAnsi" w:cstheme="minorBidi"/>
                <w:noProof/>
                <w:lang w:eastAsia="fr-FR"/>
              </w:rPr>
              <w:tab/>
            </w:r>
            <w:r w:rsidRPr="007864E8">
              <w:rPr>
                <w:rStyle w:val="Lienhypertexte"/>
                <w:noProof/>
              </w:rPr>
              <w:t>Renforcer la gouvernance mutualiste</w:t>
            </w:r>
            <w:r>
              <w:rPr>
                <w:noProof/>
                <w:webHidden/>
              </w:rPr>
              <w:tab/>
            </w:r>
            <w:r>
              <w:rPr>
                <w:noProof/>
                <w:webHidden/>
              </w:rPr>
              <w:fldChar w:fldCharType="begin"/>
            </w:r>
            <w:r>
              <w:rPr>
                <w:noProof/>
                <w:webHidden/>
              </w:rPr>
              <w:instrText xml:space="preserve"> PAGEREF _Toc96698066 \h </w:instrText>
            </w:r>
            <w:r>
              <w:rPr>
                <w:noProof/>
                <w:webHidden/>
              </w:rPr>
            </w:r>
            <w:r>
              <w:rPr>
                <w:noProof/>
                <w:webHidden/>
              </w:rPr>
              <w:fldChar w:fldCharType="separate"/>
            </w:r>
            <w:r>
              <w:rPr>
                <w:noProof/>
                <w:webHidden/>
              </w:rPr>
              <w:t>69</w:t>
            </w:r>
            <w:r>
              <w:rPr>
                <w:noProof/>
                <w:webHidden/>
              </w:rPr>
              <w:fldChar w:fldCharType="end"/>
            </w:r>
          </w:hyperlink>
        </w:p>
        <w:p w14:paraId="37526408" w14:textId="4885A182" w:rsidR="00E80406" w:rsidRDefault="00E80406">
          <w:pPr>
            <w:pStyle w:val="TM2"/>
            <w:rPr>
              <w:rFonts w:asciiTheme="minorHAnsi" w:eastAsiaTheme="minorEastAsia" w:hAnsiTheme="minorHAnsi" w:cstheme="minorBidi"/>
              <w:noProof/>
              <w:lang w:eastAsia="fr-FR"/>
            </w:rPr>
          </w:pPr>
          <w:hyperlink w:anchor="_Toc96698067" w:history="1">
            <w:r w:rsidRPr="007864E8">
              <w:rPr>
                <w:rStyle w:val="Lienhypertexte"/>
                <w:noProof/>
              </w:rPr>
              <w:t>3.10</w:t>
            </w:r>
            <w:r>
              <w:rPr>
                <w:rFonts w:asciiTheme="minorHAnsi" w:eastAsiaTheme="minorEastAsia" w:hAnsiTheme="minorHAnsi" w:cstheme="minorBidi"/>
                <w:noProof/>
                <w:lang w:eastAsia="fr-FR"/>
              </w:rPr>
              <w:tab/>
            </w:r>
            <w:r w:rsidRPr="007864E8">
              <w:rPr>
                <w:rStyle w:val="Lienhypertexte"/>
                <w:noProof/>
              </w:rPr>
              <w:t>Prendre en compte la réglementation européenne</w:t>
            </w:r>
            <w:r>
              <w:rPr>
                <w:noProof/>
                <w:webHidden/>
              </w:rPr>
              <w:tab/>
            </w:r>
            <w:r>
              <w:rPr>
                <w:noProof/>
                <w:webHidden/>
              </w:rPr>
              <w:fldChar w:fldCharType="begin"/>
            </w:r>
            <w:r>
              <w:rPr>
                <w:noProof/>
                <w:webHidden/>
              </w:rPr>
              <w:instrText xml:space="preserve"> PAGEREF _Toc96698067 \h </w:instrText>
            </w:r>
            <w:r>
              <w:rPr>
                <w:noProof/>
                <w:webHidden/>
              </w:rPr>
            </w:r>
            <w:r>
              <w:rPr>
                <w:noProof/>
                <w:webHidden/>
              </w:rPr>
              <w:fldChar w:fldCharType="separate"/>
            </w:r>
            <w:r>
              <w:rPr>
                <w:noProof/>
                <w:webHidden/>
              </w:rPr>
              <w:t>70</w:t>
            </w:r>
            <w:r>
              <w:rPr>
                <w:noProof/>
                <w:webHidden/>
              </w:rPr>
              <w:fldChar w:fldCharType="end"/>
            </w:r>
          </w:hyperlink>
        </w:p>
        <w:p w14:paraId="6ED44BD6" w14:textId="1A72B5D0" w:rsidR="00E80406" w:rsidRDefault="00E80406">
          <w:pPr>
            <w:pStyle w:val="TM3"/>
            <w:tabs>
              <w:tab w:val="left" w:pos="1320"/>
              <w:tab w:val="right" w:leader="dot" w:pos="10338"/>
            </w:tabs>
            <w:rPr>
              <w:rFonts w:asciiTheme="minorHAnsi" w:eastAsiaTheme="minorEastAsia" w:hAnsiTheme="minorHAnsi" w:cstheme="minorBidi"/>
              <w:noProof/>
              <w:sz w:val="22"/>
              <w:lang w:eastAsia="fr-FR"/>
            </w:rPr>
          </w:pPr>
          <w:hyperlink w:anchor="_Toc96698068" w:history="1">
            <w:r w:rsidRPr="007864E8">
              <w:rPr>
                <w:rStyle w:val="Lienhypertexte"/>
                <w:noProof/>
              </w:rPr>
              <w:t>3.10.1</w:t>
            </w:r>
            <w:r>
              <w:rPr>
                <w:rFonts w:asciiTheme="minorHAnsi" w:eastAsiaTheme="minorEastAsia" w:hAnsiTheme="minorHAnsi" w:cstheme="minorBidi"/>
                <w:noProof/>
                <w:sz w:val="22"/>
                <w:lang w:eastAsia="fr-FR"/>
              </w:rPr>
              <w:tab/>
            </w:r>
            <w:r w:rsidRPr="007864E8">
              <w:rPr>
                <w:rStyle w:val="Lienhypertexte"/>
                <w:noProof/>
              </w:rPr>
              <w:t>Les actifs durables au titre de la Taxonomie (Green Asset Ratio)</w:t>
            </w:r>
            <w:r>
              <w:rPr>
                <w:noProof/>
                <w:webHidden/>
              </w:rPr>
              <w:tab/>
            </w:r>
            <w:r>
              <w:rPr>
                <w:noProof/>
                <w:webHidden/>
              </w:rPr>
              <w:fldChar w:fldCharType="begin"/>
            </w:r>
            <w:r>
              <w:rPr>
                <w:noProof/>
                <w:webHidden/>
              </w:rPr>
              <w:instrText xml:space="preserve"> PAGEREF _Toc96698068 \h </w:instrText>
            </w:r>
            <w:r>
              <w:rPr>
                <w:noProof/>
                <w:webHidden/>
              </w:rPr>
            </w:r>
            <w:r>
              <w:rPr>
                <w:noProof/>
                <w:webHidden/>
              </w:rPr>
              <w:fldChar w:fldCharType="separate"/>
            </w:r>
            <w:r>
              <w:rPr>
                <w:noProof/>
                <w:webHidden/>
              </w:rPr>
              <w:t>70</w:t>
            </w:r>
            <w:r>
              <w:rPr>
                <w:noProof/>
                <w:webHidden/>
              </w:rPr>
              <w:fldChar w:fldCharType="end"/>
            </w:r>
          </w:hyperlink>
        </w:p>
        <w:p w14:paraId="616E5524" w14:textId="3D0B2683" w:rsidR="00E80406" w:rsidRDefault="00E80406">
          <w:pPr>
            <w:pStyle w:val="TM3"/>
            <w:tabs>
              <w:tab w:val="left" w:pos="1320"/>
              <w:tab w:val="right" w:leader="dot" w:pos="10338"/>
            </w:tabs>
            <w:rPr>
              <w:rFonts w:asciiTheme="minorHAnsi" w:eastAsiaTheme="minorEastAsia" w:hAnsiTheme="minorHAnsi" w:cstheme="minorBidi"/>
              <w:noProof/>
              <w:sz w:val="22"/>
              <w:lang w:eastAsia="fr-FR"/>
            </w:rPr>
          </w:pPr>
          <w:hyperlink w:anchor="_Toc96698069" w:history="1">
            <w:r w:rsidRPr="007864E8">
              <w:rPr>
                <w:rStyle w:val="Lienhypertexte"/>
                <w:noProof/>
              </w:rPr>
              <w:t>3.10.2</w:t>
            </w:r>
            <w:r>
              <w:rPr>
                <w:rFonts w:asciiTheme="minorHAnsi" w:eastAsiaTheme="minorEastAsia" w:hAnsiTheme="minorHAnsi" w:cstheme="minorBidi"/>
                <w:noProof/>
                <w:sz w:val="22"/>
                <w:lang w:eastAsia="fr-FR"/>
              </w:rPr>
              <w:tab/>
            </w:r>
            <w:r w:rsidRPr="007864E8">
              <w:rPr>
                <w:rStyle w:val="Lienhypertexte"/>
                <w:noProof/>
              </w:rPr>
              <w:t>La réglementation SFRD (politique relative aux risques en matière de durabilité)</w:t>
            </w:r>
            <w:r>
              <w:rPr>
                <w:noProof/>
                <w:webHidden/>
              </w:rPr>
              <w:tab/>
            </w:r>
            <w:r>
              <w:rPr>
                <w:noProof/>
                <w:webHidden/>
              </w:rPr>
              <w:fldChar w:fldCharType="begin"/>
            </w:r>
            <w:r>
              <w:rPr>
                <w:noProof/>
                <w:webHidden/>
              </w:rPr>
              <w:instrText xml:space="preserve"> PAGEREF _Toc96698069 \h </w:instrText>
            </w:r>
            <w:r>
              <w:rPr>
                <w:noProof/>
                <w:webHidden/>
              </w:rPr>
            </w:r>
            <w:r>
              <w:rPr>
                <w:noProof/>
                <w:webHidden/>
              </w:rPr>
              <w:fldChar w:fldCharType="separate"/>
            </w:r>
            <w:r>
              <w:rPr>
                <w:noProof/>
                <w:webHidden/>
              </w:rPr>
              <w:t>72</w:t>
            </w:r>
            <w:r>
              <w:rPr>
                <w:noProof/>
                <w:webHidden/>
              </w:rPr>
              <w:fldChar w:fldCharType="end"/>
            </w:r>
          </w:hyperlink>
        </w:p>
        <w:p w14:paraId="60C51E6B" w14:textId="74ED8EBA" w:rsidR="00E80406" w:rsidRDefault="00E80406">
          <w:pPr>
            <w:pStyle w:val="TM1"/>
            <w:rPr>
              <w:rFonts w:asciiTheme="minorHAnsi" w:eastAsiaTheme="minorEastAsia" w:hAnsiTheme="minorHAnsi" w:cstheme="minorBidi"/>
              <w:noProof/>
              <w:sz w:val="22"/>
              <w:lang w:eastAsia="fr-FR"/>
            </w:rPr>
          </w:pPr>
          <w:hyperlink w:anchor="_Toc96698070" w:history="1">
            <w:r w:rsidRPr="007864E8">
              <w:rPr>
                <w:rStyle w:val="Lienhypertexte"/>
                <w:noProof/>
              </w:rPr>
              <w:t>4</w:t>
            </w:r>
            <w:r>
              <w:rPr>
                <w:rFonts w:asciiTheme="minorHAnsi" w:eastAsiaTheme="minorEastAsia" w:hAnsiTheme="minorHAnsi" w:cstheme="minorBidi"/>
                <w:noProof/>
                <w:sz w:val="22"/>
                <w:lang w:eastAsia="fr-FR"/>
              </w:rPr>
              <w:tab/>
            </w:r>
            <w:r w:rsidRPr="007864E8">
              <w:rPr>
                <w:rStyle w:val="Lienhypertexte"/>
                <w:noProof/>
              </w:rPr>
              <w:t>Annexe : note méthodologique</w:t>
            </w:r>
            <w:r>
              <w:rPr>
                <w:noProof/>
                <w:webHidden/>
              </w:rPr>
              <w:tab/>
            </w:r>
            <w:r>
              <w:rPr>
                <w:noProof/>
                <w:webHidden/>
              </w:rPr>
              <w:fldChar w:fldCharType="begin"/>
            </w:r>
            <w:r>
              <w:rPr>
                <w:noProof/>
                <w:webHidden/>
              </w:rPr>
              <w:instrText xml:space="preserve"> PAGEREF _Toc96698070 \h </w:instrText>
            </w:r>
            <w:r>
              <w:rPr>
                <w:noProof/>
                <w:webHidden/>
              </w:rPr>
            </w:r>
            <w:r>
              <w:rPr>
                <w:noProof/>
                <w:webHidden/>
              </w:rPr>
              <w:fldChar w:fldCharType="separate"/>
            </w:r>
            <w:r>
              <w:rPr>
                <w:noProof/>
                <w:webHidden/>
              </w:rPr>
              <w:t>74</w:t>
            </w:r>
            <w:r>
              <w:rPr>
                <w:noProof/>
                <w:webHidden/>
              </w:rPr>
              <w:fldChar w:fldCharType="end"/>
            </w:r>
          </w:hyperlink>
        </w:p>
        <w:p w14:paraId="3555A4DD" w14:textId="408E48AB" w:rsidR="00706F97" w:rsidRPr="009D4CD4" w:rsidRDefault="001800EB">
          <w:r w:rsidRPr="009D4CD4">
            <w:rPr>
              <w:sz w:val="24"/>
            </w:rPr>
            <w:fldChar w:fldCharType="end"/>
          </w:r>
        </w:p>
      </w:sdtContent>
    </w:sdt>
    <w:p w14:paraId="31A27FB0" w14:textId="77777777" w:rsidR="00B60AE0" w:rsidRPr="009D4CD4" w:rsidRDefault="006555A4" w:rsidP="00822AC9">
      <w:pPr>
        <w:spacing w:after="0"/>
        <w:jc w:val="center"/>
        <w:rPr>
          <w:rFonts w:asciiTheme="minorHAnsi" w:hAnsiTheme="minorHAnsi"/>
        </w:rPr>
      </w:pPr>
      <w:r w:rsidRPr="009D4CD4">
        <w:rPr>
          <w:rFonts w:asciiTheme="minorHAnsi" w:hAnsiTheme="minorHAnsi"/>
        </w:rPr>
        <w:br w:type="page"/>
      </w:r>
    </w:p>
    <w:p w14:paraId="7A1F8825" w14:textId="20444121" w:rsidR="00B72A61" w:rsidRPr="009D4CD4" w:rsidRDefault="00FA441D" w:rsidP="00AE29B8">
      <w:pPr>
        <w:pStyle w:val="Titre1"/>
      </w:pPr>
      <w:bookmarkStart w:id="1" w:name="_Toc32416019"/>
      <w:bookmarkStart w:id="2" w:name="_Toc59444694"/>
      <w:bookmarkStart w:id="3" w:name="_Toc96697956"/>
      <w:r w:rsidRPr="009D4CD4">
        <w:lastRenderedPageBreak/>
        <w:t>Le m</w:t>
      </w:r>
      <w:r w:rsidR="00B72A61" w:rsidRPr="009D4CD4">
        <w:t>odèle d’affaire</w:t>
      </w:r>
      <w:bookmarkEnd w:id="1"/>
      <w:bookmarkEnd w:id="2"/>
      <w:r w:rsidRPr="009D4CD4">
        <w:t>s</w:t>
      </w:r>
      <w:bookmarkEnd w:id="3"/>
    </w:p>
    <w:p w14:paraId="26B6F691" w14:textId="77777777" w:rsidR="00B72A61" w:rsidRPr="009D4CD4" w:rsidRDefault="00B72A61" w:rsidP="00B72A61">
      <w:pPr>
        <w:spacing w:after="0" w:line="240" w:lineRule="auto"/>
        <w:jc w:val="left"/>
        <w:rPr>
          <w:rFonts w:asciiTheme="minorHAnsi" w:hAnsiTheme="minorHAnsi" w:cs="Arial"/>
        </w:rPr>
      </w:pPr>
    </w:p>
    <w:p w14:paraId="541DEDB8" w14:textId="20E592CB" w:rsidR="00B72A61" w:rsidRPr="009D4CD4" w:rsidRDefault="00B72A61" w:rsidP="00F41917">
      <w:pPr>
        <w:pStyle w:val="Paragraphedeliste"/>
        <w:numPr>
          <w:ilvl w:val="0"/>
          <w:numId w:val="9"/>
        </w:numPr>
        <w:rPr>
          <w:rFonts w:asciiTheme="minorHAnsi" w:hAnsiTheme="minorHAnsi" w:cs="Arial"/>
          <w:sz w:val="22"/>
          <w:szCs w:val="22"/>
        </w:rPr>
      </w:pPr>
      <w:r w:rsidRPr="009D4CD4">
        <w:rPr>
          <w:rFonts w:asciiTheme="minorHAnsi" w:hAnsiTheme="minorHAnsi" w:cs="Arial"/>
          <w:sz w:val="22"/>
          <w:szCs w:val="22"/>
        </w:rPr>
        <w:t xml:space="preserve">La </w:t>
      </w:r>
      <w:r w:rsidR="00A7717F">
        <w:rPr>
          <w:rFonts w:asciiTheme="minorHAnsi" w:hAnsiTheme="minorHAnsi" w:cs="Arial"/>
          <w:sz w:val="22"/>
          <w:szCs w:val="22"/>
        </w:rPr>
        <w:t>Caisse Régionale</w:t>
      </w:r>
    </w:p>
    <w:p w14:paraId="1B358BE8" w14:textId="11FDA3E9" w:rsidR="00B72A61" w:rsidRPr="009D4CD4" w:rsidRDefault="00B72A61" w:rsidP="00B72A61">
      <w:pPr>
        <w:spacing w:after="0" w:line="240" w:lineRule="auto"/>
        <w:jc w:val="left"/>
        <w:rPr>
          <w:rFonts w:asciiTheme="minorHAnsi" w:hAnsiTheme="minorHAnsi"/>
        </w:rPr>
      </w:pPr>
    </w:p>
    <w:p w14:paraId="1F8341DD" w14:textId="33C00B67" w:rsidR="00BE2CD4" w:rsidRPr="00BE2CD4" w:rsidRDefault="00BE2CD4" w:rsidP="00BE2CD4">
      <w:pPr>
        <w:spacing w:after="0" w:line="240" w:lineRule="auto"/>
        <w:ind w:right="40"/>
        <w:jc w:val="left"/>
        <w:rPr>
          <w:rFonts w:cs="Arial"/>
        </w:rPr>
      </w:pPr>
      <w:r>
        <w:rPr>
          <w:rFonts w:cs="Arial"/>
        </w:rPr>
        <w:t>Issu</w:t>
      </w:r>
      <w:r w:rsidRPr="009D4CD4">
        <w:rPr>
          <w:rFonts w:cs="Arial"/>
        </w:rPr>
        <w:t xml:space="preserve"> du regroupement de 4 Caisses régionales dont la plus ancienne fût créée en 1900</w:t>
      </w:r>
      <w:r w:rsidRPr="009D4CD4">
        <w:rPr>
          <w:rStyle w:val="Appelnotedebasdep"/>
          <w:rFonts w:cs="Arial"/>
        </w:rPr>
        <w:footnoteReference w:id="2"/>
      </w:r>
      <w:r w:rsidRPr="009D4CD4">
        <w:rPr>
          <w:rFonts w:cs="Arial"/>
        </w:rPr>
        <w:t>, le Crédit Agricole Nord Midi-Pyrénées regroupe des femmes et des hommes, salariés et administrateurs, engagés dans le développement durable de l’entreprise et partageant des valeurs communes de proximité, responsabilité et so</w:t>
      </w:r>
      <w:r>
        <w:rPr>
          <w:rFonts w:cs="Arial"/>
        </w:rPr>
        <w:t xml:space="preserve">lidarité. </w:t>
      </w:r>
    </w:p>
    <w:p w14:paraId="6E4724D5" w14:textId="77777777" w:rsidR="00BE2CD4" w:rsidRPr="00D259D6" w:rsidRDefault="00BE2CD4" w:rsidP="00B72A61">
      <w:pPr>
        <w:spacing w:after="0" w:line="240" w:lineRule="auto"/>
        <w:jc w:val="left"/>
        <w:rPr>
          <w:rFonts w:asciiTheme="minorHAnsi" w:hAnsiTheme="minorHAnsi"/>
          <w:b/>
          <w:sz w:val="20"/>
        </w:rPr>
      </w:pPr>
    </w:p>
    <w:p w14:paraId="7044F182" w14:textId="09827ECD" w:rsidR="00B72A61" w:rsidRPr="009D4CD4" w:rsidRDefault="00B72A61" w:rsidP="00B72A61">
      <w:pPr>
        <w:spacing w:after="0" w:line="240" w:lineRule="auto"/>
        <w:jc w:val="left"/>
        <w:rPr>
          <w:rFonts w:asciiTheme="minorHAnsi" w:eastAsia="Times New Roman" w:hAnsiTheme="minorHAnsi" w:cs="Arial"/>
          <w:b/>
          <w:bCs/>
          <w:sz w:val="20"/>
          <w:szCs w:val="20"/>
          <w:lang w:eastAsia="fr-FR"/>
        </w:rPr>
      </w:pPr>
      <w:r w:rsidRPr="009D4CD4">
        <w:rPr>
          <w:rFonts w:asciiTheme="minorHAnsi" w:eastAsia="Times New Roman" w:hAnsiTheme="minorHAnsi" w:cs="Arial"/>
          <w:b/>
          <w:bCs/>
          <w:sz w:val="20"/>
          <w:szCs w:val="20"/>
          <w:lang w:eastAsia="fr-FR"/>
        </w:rPr>
        <w:t>Mission</w:t>
      </w:r>
    </w:p>
    <w:p w14:paraId="1FF20B34" w14:textId="1A9D8688" w:rsidR="00B72A61" w:rsidRPr="009D4CD4" w:rsidRDefault="00B72A61" w:rsidP="00B72A61">
      <w:pPr>
        <w:spacing w:after="0" w:line="240" w:lineRule="auto"/>
        <w:jc w:val="left"/>
        <w:rPr>
          <w:rFonts w:asciiTheme="minorHAnsi" w:eastAsia="Times New Roman" w:hAnsiTheme="minorHAnsi" w:cs="Arial"/>
          <w:sz w:val="20"/>
          <w:szCs w:val="20"/>
          <w:lang w:eastAsia="fr-FR"/>
        </w:rPr>
      </w:pPr>
    </w:p>
    <w:p w14:paraId="23A490DA" w14:textId="244A29E7" w:rsidR="00B72A61" w:rsidRPr="009D4CD4" w:rsidRDefault="00B72A61" w:rsidP="00B72A61">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 xml:space="preserve">Banque régionale de plein exercice de statut coopératif, la </w:t>
      </w:r>
      <w:r w:rsidR="00A7717F">
        <w:rPr>
          <w:rFonts w:asciiTheme="minorHAnsi" w:eastAsia="Times New Roman" w:hAnsiTheme="minorHAnsi" w:cs="Arial"/>
          <w:lang w:eastAsia="fr-FR"/>
        </w:rPr>
        <w:t>Caisse Régionale</w:t>
      </w:r>
      <w:r w:rsidRPr="009D4CD4">
        <w:rPr>
          <w:rFonts w:asciiTheme="minorHAnsi" w:eastAsia="Times New Roman" w:hAnsiTheme="minorHAnsi" w:cs="Arial"/>
          <w:lang w:eastAsia="fr-FR"/>
        </w:rPr>
        <w:t xml:space="preserve"> de Crédit Agricole Nord Midi-Pyrénées fournit des solutions de crédit, d’épargne, d’assurance, ainsi que les moyens de paiement, la gestion des flux et autres services associés, à ses clients particuliers, professionnels, agriculteurs, entreprises et collectivités publiques, dans les départements de l’Aveyron, du Lot, du Tarn, et du Tarn-et-Garonne.</w:t>
      </w:r>
    </w:p>
    <w:p w14:paraId="7B55AF31" w14:textId="496D616D" w:rsidR="00B72A61" w:rsidRPr="009D4CD4" w:rsidRDefault="00B72A61" w:rsidP="0043247B">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 xml:space="preserve">La raison d’être du Crédit Agricole Nord Midi-Pyrénées est </w:t>
      </w:r>
      <w:r w:rsidR="0043247B" w:rsidRPr="009D4CD4">
        <w:rPr>
          <w:rFonts w:asciiTheme="minorHAnsi" w:eastAsia="Times New Roman" w:hAnsiTheme="minorHAnsi" w:cs="Arial"/>
          <w:lang w:eastAsia="fr-FR"/>
        </w:rPr>
        <w:t xml:space="preserve">d’agir </w:t>
      </w:r>
      <w:r w:rsidRPr="009D4CD4">
        <w:rPr>
          <w:rFonts w:asciiTheme="minorHAnsi" w:eastAsia="Times New Roman" w:hAnsiTheme="minorHAnsi" w:cs="Arial"/>
          <w:lang w:eastAsia="fr-FR"/>
        </w:rPr>
        <w:t xml:space="preserve">chaque jour dans l’intérêt des clients et de la société. Partenaire de confiance de tous ses clients, il les conseille avec loyauté et mobilise la diversité de ses expertises afin de les accompagner dans la durée, dans leur quotidien et leurs projets de vie, en les aidant notamment à se prémunir contre les aléas et à prévoir sur le long terme. </w:t>
      </w:r>
      <w:r w:rsidR="000335D7">
        <w:rPr>
          <w:rFonts w:asciiTheme="minorHAnsi" w:eastAsia="Times New Roman" w:hAnsiTheme="minorHAnsi" w:cs="Arial"/>
          <w:lang w:eastAsia="fr-FR"/>
        </w:rPr>
        <w:t>Il s’engage à faire bénéficier</w:t>
      </w:r>
      <w:r w:rsidRPr="009D4CD4">
        <w:rPr>
          <w:rFonts w:asciiTheme="minorHAnsi" w:eastAsia="Times New Roman" w:hAnsiTheme="minorHAnsi" w:cs="Arial"/>
          <w:lang w:eastAsia="fr-FR"/>
        </w:rPr>
        <w:t xml:space="preserve"> ses clients des meilleures pratiques technologiques, de manière sécurisée, tout en leur garantissant l’accès à des équipes de femmes et d’hommes, disponibles en proximité, responsables de l’ensemble de la relation. S’appuyant sur une gouvernance d’élus représentant ses clients, le CANMP soutient l’économie, l’entrepreneuriat et l’innovation.  Il s’engage délibérément sur les terrains sociétaux et environnementaux, en accompagnant progrès et transformations sur son territoire</w:t>
      </w:r>
      <w:r w:rsidR="0043247B" w:rsidRPr="009D4CD4">
        <w:rPr>
          <w:rFonts w:asciiTheme="minorHAnsi" w:eastAsia="Times New Roman" w:hAnsiTheme="minorHAnsi" w:cs="Arial"/>
          <w:lang w:eastAsia="fr-FR"/>
        </w:rPr>
        <w:t>.</w:t>
      </w:r>
    </w:p>
    <w:p w14:paraId="212EED41" w14:textId="77777777" w:rsidR="00B72A61" w:rsidRPr="009D4CD4" w:rsidRDefault="00B72A61" w:rsidP="00B72A61">
      <w:pPr>
        <w:spacing w:after="0" w:line="240" w:lineRule="auto"/>
        <w:jc w:val="left"/>
        <w:rPr>
          <w:rFonts w:asciiTheme="minorHAnsi" w:hAnsiTheme="minorHAnsi"/>
          <w:sz w:val="20"/>
          <w:szCs w:val="20"/>
        </w:rPr>
      </w:pPr>
    </w:p>
    <w:p w14:paraId="2050933C" w14:textId="77777777" w:rsidR="00B72A61" w:rsidRPr="009D4CD4" w:rsidRDefault="00B72A61" w:rsidP="00B72A61">
      <w:pPr>
        <w:spacing w:after="0" w:line="240" w:lineRule="auto"/>
        <w:jc w:val="left"/>
        <w:rPr>
          <w:rFonts w:asciiTheme="minorHAnsi" w:eastAsia="Times New Roman" w:hAnsiTheme="minorHAnsi" w:cs="Arial"/>
          <w:b/>
          <w:bCs/>
          <w:lang w:eastAsia="fr-FR"/>
        </w:rPr>
      </w:pPr>
      <w:r w:rsidRPr="009D4CD4">
        <w:rPr>
          <w:rFonts w:asciiTheme="minorHAnsi" w:eastAsia="Times New Roman" w:hAnsiTheme="minorHAnsi" w:cs="Arial"/>
          <w:b/>
          <w:bCs/>
          <w:lang w:eastAsia="fr-FR"/>
        </w:rPr>
        <w:t>Gouvernance</w:t>
      </w:r>
    </w:p>
    <w:p w14:paraId="4E2D1640" w14:textId="77777777" w:rsidR="00B72A61" w:rsidRPr="009D4CD4" w:rsidRDefault="00B72A61" w:rsidP="00B72A61">
      <w:pPr>
        <w:spacing w:after="0" w:line="240" w:lineRule="auto"/>
        <w:jc w:val="left"/>
        <w:rPr>
          <w:rFonts w:asciiTheme="minorHAnsi" w:eastAsia="Times New Roman" w:hAnsiTheme="minorHAnsi" w:cs="Arial"/>
          <w:bCs/>
          <w:sz w:val="20"/>
          <w:szCs w:val="20"/>
          <w:lang w:eastAsia="fr-FR"/>
        </w:rPr>
      </w:pPr>
    </w:p>
    <w:p w14:paraId="32BB6A98" w14:textId="77777777" w:rsidR="00B72A61" w:rsidRPr="009D4CD4" w:rsidRDefault="00B72A61" w:rsidP="00B72A61">
      <w:pPr>
        <w:spacing w:after="0" w:line="240" w:lineRule="auto"/>
        <w:jc w:val="left"/>
        <w:rPr>
          <w:rFonts w:asciiTheme="minorHAnsi" w:hAnsiTheme="minorHAnsi"/>
        </w:rPr>
      </w:pPr>
      <w:r w:rsidRPr="009D4CD4">
        <w:rPr>
          <w:rFonts w:asciiTheme="minorHAnsi" w:eastAsia="Times New Roman" w:hAnsiTheme="minorHAnsi" w:cs="Arial"/>
          <w:lang w:eastAsia="fr-FR"/>
        </w:rPr>
        <w:t>La gouvernance est organisée sur la base du principe coopératif «</w:t>
      </w:r>
      <w:r w:rsidR="0043247B" w:rsidRPr="009D4CD4">
        <w:rPr>
          <w:rFonts w:asciiTheme="minorHAnsi" w:eastAsia="Times New Roman" w:hAnsiTheme="minorHAnsi" w:cs="Arial"/>
          <w:lang w:eastAsia="fr-FR"/>
        </w:rPr>
        <w:t xml:space="preserve"> </w:t>
      </w:r>
      <w:r w:rsidRPr="009D4CD4">
        <w:rPr>
          <w:rFonts w:asciiTheme="minorHAnsi" w:eastAsia="Times New Roman" w:hAnsiTheme="minorHAnsi" w:cs="Arial"/>
          <w:lang w:eastAsia="fr-FR"/>
        </w:rPr>
        <w:t>une personne, une voix</w:t>
      </w:r>
      <w:r w:rsidR="0043247B" w:rsidRPr="009D4CD4">
        <w:rPr>
          <w:rFonts w:asciiTheme="minorHAnsi" w:eastAsia="Times New Roman" w:hAnsiTheme="minorHAnsi" w:cs="Arial"/>
          <w:lang w:eastAsia="fr-FR"/>
        </w:rPr>
        <w:t xml:space="preserve"> </w:t>
      </w:r>
      <w:r w:rsidRPr="009D4CD4">
        <w:rPr>
          <w:rFonts w:asciiTheme="minorHAnsi" w:eastAsia="Times New Roman" w:hAnsiTheme="minorHAnsi" w:cs="Arial"/>
          <w:lang w:eastAsia="fr-FR"/>
        </w:rPr>
        <w:t>», par lequel seule la qualité de sociétaire, et non le montant de capital détenu, détermine le poids d’un vote. Le pouvoir de décision est entièrement local. Notamment, toutes les demandes de crédit sont traitées dans l’Aveyron, le Lot, le Tarn ou le Tarn-et-Garonne.</w:t>
      </w:r>
    </w:p>
    <w:p w14:paraId="5AF51EC9" w14:textId="6A3FEF51" w:rsidR="00B72A61" w:rsidRPr="009D4CD4" w:rsidRDefault="00B72A61" w:rsidP="00B72A61">
      <w:pPr>
        <w:spacing w:after="0" w:line="240" w:lineRule="auto"/>
        <w:jc w:val="left"/>
        <w:rPr>
          <w:rFonts w:asciiTheme="minorHAnsi" w:eastAsia="Times New Roman" w:hAnsiTheme="minorHAnsi" w:cs="Arial"/>
          <w:bCs/>
          <w:lang w:eastAsia="fr-FR"/>
        </w:rPr>
      </w:pPr>
    </w:p>
    <w:tbl>
      <w:tblPr>
        <w:tblW w:w="10423" w:type="dxa"/>
        <w:tblInd w:w="65" w:type="dxa"/>
        <w:tblCellMar>
          <w:left w:w="70" w:type="dxa"/>
          <w:right w:w="70" w:type="dxa"/>
        </w:tblCellMar>
        <w:tblLook w:val="04A0" w:firstRow="1" w:lastRow="0" w:firstColumn="1" w:lastColumn="0" w:noHBand="0" w:noVBand="1"/>
      </w:tblPr>
      <w:tblGrid>
        <w:gridCol w:w="2699"/>
        <w:gridCol w:w="3543"/>
        <w:gridCol w:w="4181"/>
      </w:tblGrid>
      <w:tr w:rsidR="00CF37D5" w:rsidRPr="009D4CD4" w14:paraId="0CA1F1B2" w14:textId="77777777" w:rsidTr="00CF37D5">
        <w:trPr>
          <w:trHeight w:val="285"/>
        </w:trPr>
        <w:tc>
          <w:tcPr>
            <w:tcW w:w="2699" w:type="dxa"/>
            <w:tcBorders>
              <w:bottom w:val="single" w:sz="4" w:space="0" w:color="auto"/>
            </w:tcBorders>
            <w:shd w:val="clear" w:color="auto" w:fill="auto"/>
          </w:tcPr>
          <w:p w14:paraId="4A6E6253" w14:textId="77777777" w:rsidR="00CF37D5" w:rsidRPr="009D4CD4" w:rsidRDefault="00CF37D5" w:rsidP="00CF37D5">
            <w:pPr>
              <w:spacing w:after="0" w:line="240" w:lineRule="auto"/>
              <w:jc w:val="left"/>
              <w:rPr>
                <w:rFonts w:asciiTheme="minorHAnsi" w:eastAsia="Times New Roman" w:hAnsiTheme="minorHAnsi" w:cs="Arial"/>
                <w:b/>
                <w:bCs/>
                <w:lang w:eastAsia="fr-FR"/>
              </w:rPr>
            </w:pPr>
            <w:r w:rsidRPr="009D4CD4">
              <w:rPr>
                <w:rFonts w:asciiTheme="minorHAnsi" w:eastAsia="Times New Roman" w:hAnsiTheme="minorHAnsi" w:cs="Arial"/>
                <w:b/>
                <w:bCs/>
                <w:lang w:eastAsia="fr-FR"/>
              </w:rPr>
              <w:t>Environnement</w:t>
            </w:r>
            <w:r w:rsidRPr="009D4CD4">
              <w:rPr>
                <w:rFonts w:asciiTheme="minorHAnsi" w:eastAsia="Times New Roman" w:hAnsiTheme="minorHAnsi" w:cs="Arial"/>
                <w:b/>
                <w:bCs/>
                <w:lang w:eastAsia="fr-FR"/>
              </w:rPr>
              <w:br/>
            </w:r>
          </w:p>
        </w:tc>
        <w:tc>
          <w:tcPr>
            <w:tcW w:w="3543" w:type="dxa"/>
            <w:tcBorders>
              <w:bottom w:val="single" w:sz="4" w:space="0" w:color="auto"/>
            </w:tcBorders>
            <w:shd w:val="clear" w:color="auto" w:fill="auto"/>
          </w:tcPr>
          <w:p w14:paraId="07BEDE74" w14:textId="77777777" w:rsidR="00CF37D5" w:rsidRPr="009D4CD4" w:rsidRDefault="00CF37D5" w:rsidP="00CF37D5">
            <w:pPr>
              <w:spacing w:after="0" w:line="240" w:lineRule="auto"/>
              <w:jc w:val="left"/>
              <w:rPr>
                <w:rFonts w:asciiTheme="minorHAnsi" w:eastAsia="Times New Roman" w:hAnsiTheme="minorHAnsi" w:cs="Arial"/>
                <w:b/>
                <w:bCs/>
                <w:lang w:eastAsia="fr-FR"/>
              </w:rPr>
            </w:pPr>
          </w:p>
        </w:tc>
        <w:tc>
          <w:tcPr>
            <w:tcW w:w="4181" w:type="dxa"/>
            <w:tcBorders>
              <w:bottom w:val="single" w:sz="4" w:space="0" w:color="auto"/>
            </w:tcBorders>
            <w:shd w:val="clear" w:color="auto" w:fill="auto"/>
          </w:tcPr>
          <w:p w14:paraId="4068B985" w14:textId="011C9CC8" w:rsidR="00CF37D5" w:rsidRPr="009D4CD4" w:rsidRDefault="00CF37D5" w:rsidP="00CF37D5">
            <w:pPr>
              <w:spacing w:after="0" w:line="240" w:lineRule="auto"/>
              <w:jc w:val="left"/>
              <w:rPr>
                <w:rFonts w:asciiTheme="minorHAnsi" w:eastAsia="Times New Roman" w:hAnsiTheme="minorHAnsi" w:cs="Arial"/>
                <w:b/>
                <w:bCs/>
                <w:lang w:eastAsia="fr-FR"/>
              </w:rPr>
            </w:pPr>
          </w:p>
        </w:tc>
      </w:tr>
      <w:tr w:rsidR="00CF37D5" w:rsidRPr="009D4CD4" w14:paraId="7AE913F9" w14:textId="77777777" w:rsidTr="00CF37D5">
        <w:trPr>
          <w:trHeight w:val="285"/>
        </w:trPr>
        <w:tc>
          <w:tcPr>
            <w:tcW w:w="2699" w:type="dxa"/>
            <w:tcBorders>
              <w:bottom w:val="single" w:sz="4" w:space="0" w:color="auto"/>
            </w:tcBorders>
            <w:shd w:val="clear" w:color="auto" w:fill="auto"/>
          </w:tcPr>
          <w:p w14:paraId="1CFC8F90" w14:textId="77777777" w:rsidR="00CF37D5" w:rsidRPr="009D4CD4" w:rsidRDefault="00CF37D5" w:rsidP="00CF37D5">
            <w:pPr>
              <w:spacing w:after="0" w:line="240" w:lineRule="auto"/>
              <w:jc w:val="left"/>
              <w:rPr>
                <w:rFonts w:asciiTheme="minorHAnsi" w:eastAsia="Times New Roman" w:hAnsiTheme="minorHAnsi" w:cs="Arial"/>
                <w:bCs/>
                <w:i/>
                <w:lang w:eastAsia="fr-FR"/>
              </w:rPr>
            </w:pPr>
            <w:r w:rsidRPr="009D4CD4">
              <w:rPr>
                <w:rFonts w:asciiTheme="minorHAnsi" w:eastAsia="Times New Roman" w:hAnsiTheme="minorHAnsi" w:cs="Arial"/>
                <w:bCs/>
                <w:i/>
                <w:lang w:eastAsia="fr-FR"/>
              </w:rPr>
              <w:t>Tendances</w:t>
            </w:r>
          </w:p>
        </w:tc>
        <w:tc>
          <w:tcPr>
            <w:tcW w:w="3543" w:type="dxa"/>
            <w:tcBorders>
              <w:bottom w:val="single" w:sz="4" w:space="0" w:color="auto"/>
            </w:tcBorders>
            <w:shd w:val="clear" w:color="auto" w:fill="auto"/>
          </w:tcPr>
          <w:p w14:paraId="201C3D30" w14:textId="77777777" w:rsidR="00CF37D5" w:rsidRPr="009D4CD4" w:rsidRDefault="00CF37D5" w:rsidP="00CF37D5">
            <w:pPr>
              <w:spacing w:after="0" w:line="240" w:lineRule="auto"/>
              <w:jc w:val="left"/>
              <w:rPr>
                <w:rFonts w:asciiTheme="minorHAnsi" w:eastAsia="Times New Roman" w:hAnsiTheme="minorHAnsi" w:cs="Arial"/>
                <w:bCs/>
                <w:i/>
                <w:lang w:eastAsia="fr-FR"/>
              </w:rPr>
            </w:pPr>
            <w:r w:rsidRPr="009D4CD4">
              <w:rPr>
                <w:rFonts w:asciiTheme="minorHAnsi" w:eastAsia="Times New Roman" w:hAnsiTheme="minorHAnsi" w:cs="Arial"/>
                <w:bCs/>
                <w:i/>
                <w:lang w:eastAsia="fr-FR"/>
              </w:rPr>
              <w:t>Risques</w:t>
            </w:r>
          </w:p>
        </w:tc>
        <w:tc>
          <w:tcPr>
            <w:tcW w:w="4181" w:type="dxa"/>
            <w:tcBorders>
              <w:bottom w:val="single" w:sz="4" w:space="0" w:color="auto"/>
            </w:tcBorders>
            <w:shd w:val="clear" w:color="auto" w:fill="auto"/>
          </w:tcPr>
          <w:p w14:paraId="766424EA" w14:textId="77777777" w:rsidR="00CF37D5" w:rsidRPr="009D4CD4" w:rsidRDefault="00CF37D5" w:rsidP="00CF37D5">
            <w:pPr>
              <w:spacing w:after="0" w:line="240" w:lineRule="auto"/>
              <w:jc w:val="left"/>
              <w:rPr>
                <w:rFonts w:asciiTheme="minorHAnsi" w:eastAsia="Times New Roman" w:hAnsiTheme="minorHAnsi" w:cs="Arial"/>
                <w:bCs/>
                <w:i/>
                <w:lang w:eastAsia="fr-FR"/>
              </w:rPr>
            </w:pPr>
            <w:r w:rsidRPr="009D4CD4">
              <w:rPr>
                <w:rFonts w:asciiTheme="minorHAnsi" w:eastAsia="Times New Roman" w:hAnsiTheme="minorHAnsi" w:cs="Arial"/>
                <w:bCs/>
                <w:i/>
                <w:lang w:eastAsia="fr-FR"/>
              </w:rPr>
              <w:t>Opportunités</w:t>
            </w:r>
          </w:p>
        </w:tc>
      </w:tr>
      <w:tr w:rsidR="00CF37D5" w:rsidRPr="009D4CD4" w14:paraId="1575A503" w14:textId="77777777" w:rsidTr="00CF37D5">
        <w:trPr>
          <w:trHeight w:val="645"/>
        </w:trPr>
        <w:tc>
          <w:tcPr>
            <w:tcW w:w="2699" w:type="dxa"/>
            <w:tcBorders>
              <w:top w:val="single" w:sz="4" w:space="0" w:color="auto"/>
              <w:left w:val="single" w:sz="4" w:space="0" w:color="auto"/>
              <w:bottom w:val="single" w:sz="4" w:space="0" w:color="auto"/>
              <w:right w:val="single" w:sz="4" w:space="0" w:color="auto"/>
            </w:tcBorders>
            <w:shd w:val="clear" w:color="auto" w:fill="auto"/>
            <w:hideMark/>
          </w:tcPr>
          <w:p w14:paraId="5AB0381C"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Concurrence multiforme et arrivée de nouveaux entrants dans le domaine de la banque - assurance</w:t>
            </w:r>
          </w:p>
        </w:tc>
        <w:tc>
          <w:tcPr>
            <w:tcW w:w="3543" w:type="dxa"/>
            <w:tcBorders>
              <w:top w:val="single" w:sz="4" w:space="0" w:color="auto"/>
              <w:left w:val="nil"/>
              <w:bottom w:val="single" w:sz="4" w:space="0" w:color="auto"/>
              <w:right w:val="single" w:sz="4" w:space="0" w:color="auto"/>
            </w:tcBorders>
            <w:shd w:val="clear" w:color="auto" w:fill="auto"/>
            <w:hideMark/>
          </w:tcPr>
          <w:p w14:paraId="35655F5E"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Pression sur les parts de marché</w:t>
            </w:r>
          </w:p>
        </w:tc>
        <w:tc>
          <w:tcPr>
            <w:tcW w:w="4181" w:type="dxa"/>
            <w:tcBorders>
              <w:top w:val="single" w:sz="4" w:space="0" w:color="auto"/>
              <w:left w:val="nil"/>
              <w:bottom w:val="single" w:sz="4" w:space="0" w:color="auto"/>
              <w:right w:val="single" w:sz="4" w:space="0" w:color="auto"/>
            </w:tcBorders>
            <w:shd w:val="clear" w:color="auto" w:fill="auto"/>
            <w:hideMark/>
          </w:tcPr>
          <w:p w14:paraId="0D0860C9" w14:textId="0143FDB5"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Renforcer le modèle de banque « 100% humaine et 100% digitale »</w:t>
            </w:r>
          </w:p>
        </w:tc>
      </w:tr>
      <w:tr w:rsidR="00CF37D5" w:rsidRPr="009D4CD4" w14:paraId="4E84B2F6" w14:textId="77777777" w:rsidTr="00CF37D5">
        <w:trPr>
          <w:trHeight w:val="600"/>
        </w:trPr>
        <w:tc>
          <w:tcPr>
            <w:tcW w:w="2699" w:type="dxa"/>
            <w:tcBorders>
              <w:top w:val="single" w:sz="4" w:space="0" w:color="auto"/>
              <w:left w:val="single" w:sz="4" w:space="0" w:color="auto"/>
              <w:bottom w:val="single" w:sz="4" w:space="0" w:color="auto"/>
              <w:right w:val="single" w:sz="4" w:space="0" w:color="auto"/>
            </w:tcBorders>
            <w:shd w:val="clear" w:color="auto" w:fill="auto"/>
            <w:hideMark/>
          </w:tcPr>
          <w:p w14:paraId="5D481B16"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Nouveaux besoins et usages digitaux des clients</w:t>
            </w:r>
          </w:p>
        </w:tc>
        <w:tc>
          <w:tcPr>
            <w:tcW w:w="3543" w:type="dxa"/>
            <w:tcBorders>
              <w:top w:val="single" w:sz="4" w:space="0" w:color="auto"/>
              <w:left w:val="nil"/>
              <w:bottom w:val="single" w:sz="4" w:space="0" w:color="auto"/>
              <w:right w:val="single" w:sz="4" w:space="0" w:color="auto"/>
            </w:tcBorders>
            <w:shd w:val="clear" w:color="auto" w:fill="auto"/>
            <w:hideMark/>
          </w:tcPr>
          <w:p w14:paraId="32440145"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Baisse de fréquentation des agences</w:t>
            </w:r>
          </w:p>
        </w:tc>
        <w:tc>
          <w:tcPr>
            <w:tcW w:w="4181" w:type="dxa"/>
            <w:tcBorders>
              <w:top w:val="single" w:sz="4" w:space="0" w:color="auto"/>
              <w:left w:val="nil"/>
              <w:bottom w:val="single" w:sz="4" w:space="0" w:color="auto"/>
              <w:right w:val="single" w:sz="4" w:space="0" w:color="auto"/>
            </w:tcBorders>
            <w:shd w:val="clear" w:color="auto" w:fill="auto"/>
            <w:hideMark/>
          </w:tcPr>
          <w:p w14:paraId="75F18B94"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Développer des solutions digitales innovantes; garantir la sécurité et la protection des données</w:t>
            </w:r>
          </w:p>
        </w:tc>
      </w:tr>
      <w:tr w:rsidR="00CF37D5" w:rsidRPr="009D4CD4" w14:paraId="0CCCEAE4" w14:textId="77777777" w:rsidTr="00CF37D5">
        <w:trPr>
          <w:trHeight w:val="923"/>
        </w:trPr>
        <w:tc>
          <w:tcPr>
            <w:tcW w:w="2699" w:type="dxa"/>
            <w:tcBorders>
              <w:top w:val="single" w:sz="4" w:space="0" w:color="auto"/>
              <w:left w:val="single" w:sz="4" w:space="0" w:color="auto"/>
              <w:bottom w:val="single" w:sz="4" w:space="0" w:color="auto"/>
              <w:right w:val="single" w:sz="4" w:space="0" w:color="auto"/>
            </w:tcBorders>
            <w:shd w:val="clear" w:color="auto" w:fill="auto"/>
            <w:hideMark/>
          </w:tcPr>
          <w:p w14:paraId="53D26D7E"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 xml:space="preserve">Evolutions sociales et économiques ; contexte global (ex : pandémie) </w:t>
            </w:r>
          </w:p>
        </w:tc>
        <w:tc>
          <w:tcPr>
            <w:tcW w:w="3543" w:type="dxa"/>
            <w:tcBorders>
              <w:top w:val="single" w:sz="4" w:space="0" w:color="auto"/>
              <w:left w:val="nil"/>
              <w:bottom w:val="single" w:sz="4" w:space="0" w:color="auto"/>
              <w:right w:val="single" w:sz="4" w:space="0" w:color="auto"/>
            </w:tcBorders>
            <w:shd w:val="clear" w:color="auto" w:fill="auto"/>
            <w:hideMark/>
          </w:tcPr>
          <w:p w14:paraId="4ABF6AB7" w14:textId="13EDEE63"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Pressions sur le pouvoir d'achat des ménages. Attentisme des acteurs</w:t>
            </w:r>
            <w:r w:rsidR="00F0789C">
              <w:rPr>
                <w:rFonts w:asciiTheme="minorHAnsi" w:eastAsia="Times New Roman" w:hAnsiTheme="minorHAnsi" w:cs="Arial"/>
                <w:lang w:eastAsia="fr-FR"/>
              </w:rPr>
              <w:t>. Fraude digitale</w:t>
            </w:r>
          </w:p>
        </w:tc>
        <w:tc>
          <w:tcPr>
            <w:tcW w:w="4181" w:type="dxa"/>
            <w:tcBorders>
              <w:top w:val="single" w:sz="4" w:space="0" w:color="auto"/>
              <w:left w:val="nil"/>
              <w:bottom w:val="single" w:sz="4" w:space="0" w:color="auto"/>
              <w:right w:val="single" w:sz="4" w:space="0" w:color="auto"/>
            </w:tcBorders>
            <w:shd w:val="clear" w:color="auto" w:fill="auto"/>
            <w:hideMark/>
          </w:tcPr>
          <w:p w14:paraId="2C6DD68F"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 xml:space="preserve">Répondre aux besoins de conseil; se positionner en tiers de confiance </w:t>
            </w:r>
          </w:p>
        </w:tc>
      </w:tr>
      <w:tr w:rsidR="00CF37D5" w:rsidRPr="009D4CD4" w14:paraId="53BC4924" w14:textId="77777777" w:rsidTr="00CF37D5">
        <w:trPr>
          <w:trHeight w:val="510"/>
        </w:trPr>
        <w:tc>
          <w:tcPr>
            <w:tcW w:w="2699" w:type="dxa"/>
            <w:tcBorders>
              <w:top w:val="single" w:sz="4" w:space="0" w:color="auto"/>
              <w:left w:val="single" w:sz="4" w:space="0" w:color="auto"/>
              <w:bottom w:val="single" w:sz="4" w:space="0" w:color="auto"/>
              <w:right w:val="single" w:sz="4" w:space="0" w:color="auto"/>
            </w:tcBorders>
            <w:shd w:val="clear" w:color="auto" w:fill="auto"/>
            <w:hideMark/>
          </w:tcPr>
          <w:p w14:paraId="2C5BF67C"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Evolution démographique (ex : vieillissement)</w:t>
            </w:r>
          </w:p>
        </w:tc>
        <w:tc>
          <w:tcPr>
            <w:tcW w:w="3543" w:type="dxa"/>
            <w:tcBorders>
              <w:top w:val="single" w:sz="4" w:space="0" w:color="auto"/>
              <w:left w:val="nil"/>
              <w:bottom w:val="single" w:sz="4" w:space="0" w:color="auto"/>
              <w:right w:val="single" w:sz="4" w:space="0" w:color="auto"/>
            </w:tcBorders>
            <w:shd w:val="clear" w:color="auto" w:fill="auto"/>
            <w:hideMark/>
          </w:tcPr>
          <w:p w14:paraId="5F0BBBBA"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Modification des comportements bancaires</w:t>
            </w:r>
          </w:p>
        </w:tc>
        <w:tc>
          <w:tcPr>
            <w:tcW w:w="4181" w:type="dxa"/>
            <w:tcBorders>
              <w:top w:val="single" w:sz="4" w:space="0" w:color="auto"/>
              <w:left w:val="nil"/>
              <w:bottom w:val="single" w:sz="4" w:space="0" w:color="auto"/>
              <w:right w:val="single" w:sz="4" w:space="0" w:color="auto"/>
            </w:tcBorders>
            <w:shd w:val="clear" w:color="auto" w:fill="auto"/>
            <w:hideMark/>
          </w:tcPr>
          <w:p w14:paraId="602DAFC0"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Développer des offres et des outils répondant aux enjeux démographiques</w:t>
            </w:r>
          </w:p>
        </w:tc>
      </w:tr>
      <w:tr w:rsidR="00CF37D5" w:rsidRPr="009D4CD4" w14:paraId="46D756C9" w14:textId="77777777" w:rsidTr="00CF37D5">
        <w:trPr>
          <w:trHeight w:val="615"/>
        </w:trPr>
        <w:tc>
          <w:tcPr>
            <w:tcW w:w="2699" w:type="dxa"/>
            <w:tcBorders>
              <w:top w:val="single" w:sz="4" w:space="0" w:color="auto"/>
              <w:left w:val="single" w:sz="4" w:space="0" w:color="auto"/>
              <w:bottom w:val="single" w:sz="4" w:space="0" w:color="auto"/>
              <w:right w:val="single" w:sz="4" w:space="0" w:color="auto"/>
            </w:tcBorders>
            <w:shd w:val="clear" w:color="auto" w:fill="auto"/>
            <w:hideMark/>
          </w:tcPr>
          <w:p w14:paraId="794ED599"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Dérèglement climatique</w:t>
            </w:r>
          </w:p>
        </w:tc>
        <w:tc>
          <w:tcPr>
            <w:tcW w:w="3543" w:type="dxa"/>
            <w:tcBorders>
              <w:top w:val="single" w:sz="4" w:space="0" w:color="auto"/>
              <w:left w:val="nil"/>
              <w:bottom w:val="single" w:sz="4" w:space="0" w:color="auto"/>
              <w:right w:val="single" w:sz="4" w:space="0" w:color="auto"/>
            </w:tcBorders>
            <w:shd w:val="clear" w:color="auto" w:fill="auto"/>
            <w:hideMark/>
          </w:tcPr>
          <w:p w14:paraId="60654185"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Augmentation du risque ; conséquences économiques et sociales des aléas climatiques.</w:t>
            </w:r>
          </w:p>
        </w:tc>
        <w:tc>
          <w:tcPr>
            <w:tcW w:w="4181" w:type="dxa"/>
            <w:tcBorders>
              <w:top w:val="single" w:sz="4" w:space="0" w:color="auto"/>
              <w:left w:val="nil"/>
              <w:bottom w:val="single" w:sz="4" w:space="0" w:color="auto"/>
              <w:right w:val="single" w:sz="4" w:space="0" w:color="auto"/>
            </w:tcBorders>
            <w:shd w:val="clear" w:color="auto" w:fill="auto"/>
            <w:hideMark/>
          </w:tcPr>
          <w:p w14:paraId="278F7DBC" w14:textId="77777777" w:rsidR="00CF37D5" w:rsidRPr="009D4CD4" w:rsidRDefault="00CF37D5" w:rsidP="00CF37D5">
            <w:pPr>
              <w:spacing w:after="0" w:line="240" w:lineRule="auto"/>
              <w:jc w:val="left"/>
              <w:rPr>
                <w:rFonts w:asciiTheme="minorHAnsi" w:eastAsia="Times New Roman" w:hAnsiTheme="minorHAnsi" w:cs="Arial"/>
                <w:lang w:eastAsia="fr-FR"/>
              </w:rPr>
            </w:pPr>
            <w:r w:rsidRPr="009D4CD4">
              <w:rPr>
                <w:rFonts w:asciiTheme="minorHAnsi" w:eastAsia="Times New Roman" w:hAnsiTheme="minorHAnsi" w:cs="Arial"/>
                <w:lang w:eastAsia="fr-FR"/>
              </w:rPr>
              <w:t>Accompagner les transitions (énergétique, agricole etc.) vers des activités plus résilientes.</w:t>
            </w:r>
          </w:p>
        </w:tc>
      </w:tr>
    </w:tbl>
    <w:p w14:paraId="1B7B1EFA" w14:textId="71E0FF28" w:rsidR="00B72A61" w:rsidRPr="009D4CD4" w:rsidRDefault="00B72A61" w:rsidP="00B72A61">
      <w:pPr>
        <w:spacing w:after="0" w:line="240" w:lineRule="auto"/>
        <w:jc w:val="left"/>
        <w:rPr>
          <w:rFonts w:asciiTheme="minorHAnsi" w:hAnsiTheme="minorHAnsi"/>
        </w:rPr>
      </w:pPr>
    </w:p>
    <w:p w14:paraId="5D602978" w14:textId="656A9134" w:rsidR="00577939" w:rsidRPr="009D4CD4" w:rsidRDefault="00CA2127" w:rsidP="00B72A61">
      <w:pPr>
        <w:spacing w:after="0" w:line="240" w:lineRule="auto"/>
        <w:jc w:val="left"/>
        <w:rPr>
          <w:rFonts w:asciiTheme="minorHAnsi" w:hAnsiTheme="minorHAnsi"/>
        </w:rPr>
      </w:pPr>
      <w:r w:rsidRPr="009D4CD4">
        <w:rPr>
          <w:rFonts w:asciiTheme="minorHAnsi" w:hAnsiTheme="minorHAnsi"/>
        </w:rPr>
        <w:lastRenderedPageBreak/>
        <w:t xml:space="preserve">Le </w:t>
      </w:r>
      <w:r w:rsidR="00E77B7E" w:rsidRPr="009D4CD4">
        <w:rPr>
          <w:rFonts w:asciiTheme="minorHAnsi" w:hAnsiTheme="minorHAnsi"/>
        </w:rPr>
        <w:t xml:space="preserve">territoire du </w:t>
      </w:r>
      <w:r w:rsidRPr="009D4CD4">
        <w:rPr>
          <w:rFonts w:asciiTheme="minorHAnsi" w:hAnsiTheme="minorHAnsi"/>
        </w:rPr>
        <w:t>Crédit Agricole Nord Midi-Pyrénées</w:t>
      </w:r>
      <w:r w:rsidR="00E77B7E" w:rsidRPr="009D4CD4">
        <w:rPr>
          <w:rFonts w:asciiTheme="minorHAnsi" w:hAnsiTheme="minorHAnsi"/>
        </w:rPr>
        <w:t xml:space="preserve"> n’est pas à l’abri des grandes tendances à l’œuvre dans l’évolution de l’environnement socio-économique français. Les mécanism</w:t>
      </w:r>
      <w:r w:rsidR="00510F91">
        <w:rPr>
          <w:rFonts w:asciiTheme="minorHAnsi" w:hAnsiTheme="minorHAnsi"/>
        </w:rPr>
        <w:t>es correspondants génèrent tout</w:t>
      </w:r>
      <w:r w:rsidR="00E77B7E" w:rsidRPr="009D4CD4">
        <w:rPr>
          <w:rFonts w:asciiTheme="minorHAnsi" w:hAnsiTheme="minorHAnsi"/>
        </w:rPr>
        <w:t xml:space="preserve"> à la fois des risques et des opportunités. Dans ce contexte complexe, </w:t>
      </w:r>
      <w:r w:rsidR="00577939" w:rsidRPr="009D4CD4">
        <w:rPr>
          <w:rFonts w:asciiTheme="minorHAnsi" w:hAnsiTheme="minorHAnsi"/>
        </w:rPr>
        <w:t xml:space="preserve">la </w:t>
      </w:r>
      <w:r w:rsidR="00A7717F">
        <w:rPr>
          <w:rFonts w:asciiTheme="minorHAnsi" w:hAnsiTheme="minorHAnsi"/>
        </w:rPr>
        <w:t>Caisse Régionale</w:t>
      </w:r>
      <w:r w:rsidR="00577939" w:rsidRPr="009D4CD4">
        <w:rPr>
          <w:rFonts w:asciiTheme="minorHAnsi" w:hAnsiTheme="minorHAnsi"/>
        </w:rPr>
        <w:t xml:space="preserve"> reste fidèle à sa stratégie visan</w:t>
      </w:r>
      <w:r w:rsidR="00510F91">
        <w:rPr>
          <w:rFonts w:asciiTheme="minorHAnsi" w:hAnsiTheme="minorHAnsi"/>
        </w:rPr>
        <w:t>t à apporter au territoire</w:t>
      </w:r>
      <w:r w:rsidR="00577939" w:rsidRPr="009D4CD4">
        <w:rPr>
          <w:rFonts w:asciiTheme="minorHAnsi" w:hAnsiTheme="minorHAnsi"/>
        </w:rPr>
        <w:t xml:space="preserve"> l’expertise nécessaire pour accompagner les projets de ses acteurs.</w:t>
      </w:r>
    </w:p>
    <w:p w14:paraId="4D23D9D4" w14:textId="74C3DC55" w:rsidR="00CA2127" w:rsidRPr="009D4CD4" w:rsidRDefault="00CA2127" w:rsidP="00B72A61">
      <w:pPr>
        <w:spacing w:after="0" w:line="240" w:lineRule="auto"/>
        <w:jc w:val="left"/>
        <w:rPr>
          <w:rFonts w:asciiTheme="minorHAnsi" w:hAnsiTheme="minorHAnsi"/>
        </w:rPr>
      </w:pPr>
    </w:p>
    <w:p w14:paraId="73686FCE" w14:textId="2B0496A7" w:rsidR="005C73CC" w:rsidRPr="009D4CD4" w:rsidRDefault="005C73CC" w:rsidP="005C73CC">
      <w:pPr>
        <w:pStyle w:val="NormalWeb"/>
        <w:spacing w:before="0" w:beforeAutospacing="0" w:after="0" w:afterAutospacing="0"/>
        <w:rPr>
          <w:rFonts w:asciiTheme="minorHAnsi" w:hAnsiTheme="minorHAnsi" w:cs="Arial"/>
          <w:sz w:val="22"/>
          <w:szCs w:val="22"/>
        </w:rPr>
      </w:pPr>
      <w:r w:rsidRPr="009D4CD4">
        <w:rPr>
          <w:rFonts w:asciiTheme="minorHAnsi" w:hAnsiTheme="minorHAnsi" w:cs="Arial"/>
          <w:sz w:val="22"/>
          <w:szCs w:val="22"/>
        </w:rPr>
        <w:t xml:space="preserve">Avec une population stable de 1,1 million d’habitants, le vaste territoire de la </w:t>
      </w:r>
      <w:r w:rsidR="00A7717F">
        <w:rPr>
          <w:rFonts w:asciiTheme="minorHAnsi" w:hAnsiTheme="minorHAnsi" w:cs="Arial"/>
          <w:sz w:val="22"/>
          <w:szCs w:val="22"/>
        </w:rPr>
        <w:t>Caisse Régionale</w:t>
      </w:r>
      <w:r w:rsidRPr="009D4CD4">
        <w:rPr>
          <w:rFonts w:asciiTheme="minorHAnsi" w:hAnsiTheme="minorHAnsi" w:cs="Arial"/>
          <w:sz w:val="22"/>
          <w:szCs w:val="22"/>
        </w:rPr>
        <w:t xml:space="preserve"> </w:t>
      </w:r>
      <w:r w:rsidR="00577939" w:rsidRPr="009D4CD4">
        <w:rPr>
          <w:rFonts w:asciiTheme="minorHAnsi" w:hAnsiTheme="minorHAnsi" w:cs="Arial"/>
          <w:sz w:val="22"/>
          <w:szCs w:val="22"/>
        </w:rPr>
        <w:t>s’étend</w:t>
      </w:r>
      <w:r w:rsidRPr="009D4CD4">
        <w:rPr>
          <w:rFonts w:asciiTheme="minorHAnsi" w:hAnsiTheme="minorHAnsi" w:cs="Arial"/>
          <w:sz w:val="22"/>
          <w:szCs w:val="22"/>
        </w:rPr>
        <w:t xml:space="preserve"> sur 4 départements à dominante rurale, sans métropoles concentrées. Un territoire marqué par une dynamique démographique soutenue à proximité du croissant toulousain, et, ailleurs, par des mouvements de population contrastés.</w:t>
      </w:r>
    </w:p>
    <w:p w14:paraId="08963138" w14:textId="02D3AC75" w:rsidR="00577939" w:rsidRDefault="00577939" w:rsidP="005C73CC">
      <w:pPr>
        <w:pStyle w:val="NormalWeb"/>
        <w:spacing w:before="0" w:beforeAutospacing="0" w:after="0" w:afterAutospacing="0"/>
        <w:rPr>
          <w:rFonts w:asciiTheme="minorHAnsi" w:hAnsiTheme="minorHAnsi" w:cs="Arial"/>
          <w:sz w:val="22"/>
          <w:szCs w:val="22"/>
        </w:rPr>
      </w:pPr>
    </w:p>
    <w:p w14:paraId="0D8BBD01" w14:textId="4DA15C2E" w:rsidR="00D22703" w:rsidRPr="009D4CD4" w:rsidRDefault="00D22703" w:rsidP="005C73CC">
      <w:pPr>
        <w:pStyle w:val="NormalWeb"/>
        <w:spacing w:before="0" w:beforeAutospacing="0" w:after="0" w:afterAutospacing="0"/>
        <w:rPr>
          <w:rFonts w:asciiTheme="minorHAnsi" w:hAnsiTheme="minorHAnsi" w:cs="Arial"/>
          <w:sz w:val="22"/>
          <w:szCs w:val="22"/>
        </w:rPr>
      </w:pPr>
      <w:r>
        <w:rPr>
          <w:rFonts w:asciiTheme="minorHAnsi" w:hAnsiTheme="minorHAnsi" w:cs="Arial"/>
          <w:sz w:val="22"/>
          <w:szCs w:val="22"/>
        </w:rPr>
        <w:t xml:space="preserve">Les filières agricoles et agro-alimentaires, mais aussi </w:t>
      </w:r>
      <w:r w:rsidRPr="009D4CD4">
        <w:rPr>
          <w:rFonts w:asciiTheme="minorHAnsi" w:hAnsiTheme="minorHAnsi" w:cs="Arial"/>
          <w:sz w:val="22"/>
          <w:szCs w:val="22"/>
        </w:rPr>
        <w:t>l’aéronautique</w:t>
      </w:r>
      <w:r>
        <w:rPr>
          <w:rFonts w:asciiTheme="minorHAnsi" w:hAnsiTheme="minorHAnsi" w:cs="Arial"/>
          <w:sz w:val="22"/>
          <w:szCs w:val="22"/>
        </w:rPr>
        <w:t xml:space="preserve"> constituent des secteurs importants de l’activité économique</w:t>
      </w:r>
    </w:p>
    <w:p w14:paraId="4122ABEE" w14:textId="11DF42C1" w:rsidR="00AA76F7" w:rsidRPr="009D4CD4" w:rsidRDefault="00AA76F7" w:rsidP="00AA76F7">
      <w:pPr>
        <w:pStyle w:val="NormalWeb"/>
        <w:spacing w:before="0" w:beforeAutospacing="0" w:after="0" w:afterAutospacing="0"/>
        <w:rPr>
          <w:rFonts w:asciiTheme="minorHAnsi" w:hAnsiTheme="minorHAnsi" w:cs="Arial"/>
          <w:sz w:val="22"/>
          <w:szCs w:val="22"/>
        </w:rPr>
      </w:pPr>
    </w:p>
    <w:p w14:paraId="6A2A9390" w14:textId="2BE0B63A" w:rsidR="005C73CC" w:rsidRPr="009D4CD4" w:rsidRDefault="00AA76F7" w:rsidP="00AA76F7">
      <w:pPr>
        <w:pStyle w:val="NormalWeb"/>
        <w:spacing w:before="0" w:beforeAutospacing="0" w:after="0" w:afterAutospacing="0"/>
        <w:rPr>
          <w:rFonts w:asciiTheme="minorHAnsi" w:hAnsiTheme="minorHAnsi" w:cs="Arial"/>
          <w:sz w:val="22"/>
          <w:szCs w:val="22"/>
        </w:rPr>
      </w:pPr>
      <w:r w:rsidRPr="009D4CD4">
        <w:rPr>
          <w:rFonts w:asciiTheme="minorHAnsi" w:hAnsiTheme="minorHAnsi" w:cs="Arial"/>
          <w:sz w:val="22"/>
          <w:szCs w:val="22"/>
        </w:rPr>
        <w:t>&gt;</w:t>
      </w:r>
      <w:r w:rsidR="005C73CC" w:rsidRPr="009D4CD4">
        <w:rPr>
          <w:rFonts w:asciiTheme="minorHAnsi" w:hAnsiTheme="minorHAnsi" w:cs="Arial"/>
          <w:sz w:val="22"/>
          <w:szCs w:val="22"/>
        </w:rPr>
        <w:t>Le secteur agricole et agro-alimentaire concentre une activité diversifiée sur de nombreuses filières, comme par exemple l</w:t>
      </w:r>
      <w:r w:rsidR="002F727A" w:rsidRPr="009D4CD4">
        <w:rPr>
          <w:rFonts w:asciiTheme="minorHAnsi" w:hAnsiTheme="minorHAnsi" w:cs="Arial"/>
          <w:sz w:val="22"/>
          <w:szCs w:val="22"/>
        </w:rPr>
        <w:t xml:space="preserve">a filière </w:t>
      </w:r>
      <w:r w:rsidR="00CF0EA7" w:rsidRPr="009D4CD4">
        <w:rPr>
          <w:rFonts w:asciiTheme="minorHAnsi" w:hAnsiTheme="minorHAnsi" w:cs="Arial"/>
          <w:sz w:val="22"/>
          <w:szCs w:val="22"/>
        </w:rPr>
        <w:t xml:space="preserve">ovin-lait (12), </w:t>
      </w:r>
      <w:r w:rsidR="005C73CC" w:rsidRPr="009D4CD4">
        <w:rPr>
          <w:rFonts w:asciiTheme="minorHAnsi" w:hAnsiTheme="minorHAnsi" w:cs="Arial"/>
          <w:sz w:val="22"/>
          <w:szCs w:val="22"/>
        </w:rPr>
        <w:t xml:space="preserve">l’arboriculture (82), </w:t>
      </w:r>
      <w:r w:rsidR="00CF0EA7" w:rsidRPr="009D4CD4">
        <w:rPr>
          <w:rFonts w:asciiTheme="minorHAnsi" w:hAnsiTheme="minorHAnsi" w:cs="Arial"/>
          <w:sz w:val="22"/>
          <w:szCs w:val="22"/>
        </w:rPr>
        <w:t xml:space="preserve">ou la viticulture (Gaillac, Cahors) </w:t>
      </w:r>
      <w:r w:rsidR="005C73CC" w:rsidRPr="009D4CD4">
        <w:rPr>
          <w:rFonts w:asciiTheme="minorHAnsi" w:hAnsiTheme="minorHAnsi" w:cs="Arial"/>
          <w:sz w:val="22"/>
          <w:szCs w:val="22"/>
        </w:rPr>
        <w:t>reposant souvent sur des labels de</w:t>
      </w:r>
      <w:r w:rsidR="00A755EC" w:rsidRPr="009D4CD4">
        <w:rPr>
          <w:rFonts w:asciiTheme="minorHAnsi" w:hAnsiTheme="minorHAnsi" w:cs="Arial"/>
          <w:sz w:val="22"/>
          <w:szCs w:val="22"/>
        </w:rPr>
        <w:t xml:space="preserve"> qualité. Les</w:t>
      </w:r>
      <w:r w:rsidR="00CF37D5" w:rsidRPr="009D4CD4">
        <w:rPr>
          <w:rFonts w:asciiTheme="minorHAnsi" w:hAnsiTheme="minorHAnsi" w:cs="Arial"/>
          <w:sz w:val="22"/>
          <w:szCs w:val="22"/>
        </w:rPr>
        <w:t xml:space="preserve"> quelques 20 000 exploitations agricoles</w:t>
      </w:r>
      <w:r w:rsidR="005C73CC" w:rsidRPr="009D4CD4">
        <w:rPr>
          <w:rFonts w:asciiTheme="minorHAnsi" w:hAnsiTheme="minorHAnsi" w:cs="Arial"/>
          <w:sz w:val="22"/>
          <w:szCs w:val="22"/>
        </w:rPr>
        <w:t xml:space="preserve"> du territoire </w:t>
      </w:r>
      <w:r w:rsidR="002F727A" w:rsidRPr="009D4CD4">
        <w:rPr>
          <w:rFonts w:asciiTheme="minorHAnsi" w:hAnsiTheme="minorHAnsi" w:cs="Arial"/>
          <w:sz w:val="22"/>
          <w:szCs w:val="22"/>
        </w:rPr>
        <w:t>s’adaptent aux évolutions à la fois climatiques et économ</w:t>
      </w:r>
      <w:r w:rsidR="00A755EC" w:rsidRPr="009D4CD4">
        <w:rPr>
          <w:rFonts w:asciiTheme="minorHAnsi" w:hAnsiTheme="minorHAnsi" w:cs="Arial"/>
          <w:sz w:val="22"/>
          <w:szCs w:val="22"/>
        </w:rPr>
        <w:t xml:space="preserve">iques ; elles </w:t>
      </w:r>
      <w:r w:rsidR="002F727A" w:rsidRPr="009D4CD4">
        <w:rPr>
          <w:rFonts w:asciiTheme="minorHAnsi" w:hAnsiTheme="minorHAnsi" w:cs="Arial"/>
          <w:sz w:val="22"/>
          <w:szCs w:val="22"/>
        </w:rPr>
        <w:t>adoptent des stratégies plus résilientes</w:t>
      </w:r>
      <w:r w:rsidR="005C73CC" w:rsidRPr="009D4CD4">
        <w:rPr>
          <w:rFonts w:asciiTheme="minorHAnsi" w:hAnsiTheme="minorHAnsi" w:cs="Arial"/>
          <w:sz w:val="22"/>
          <w:szCs w:val="22"/>
        </w:rPr>
        <w:t xml:space="preserve"> comme le montre par exemple le poids de l’Agriculture Biologique, notamment en Aveyron. L’agro-alimentaire compte des </w:t>
      </w:r>
      <w:r w:rsidRPr="009D4CD4">
        <w:rPr>
          <w:rFonts w:asciiTheme="minorHAnsi" w:hAnsiTheme="minorHAnsi" w:cs="Arial"/>
          <w:sz w:val="22"/>
          <w:szCs w:val="22"/>
        </w:rPr>
        <w:t xml:space="preserve">poids lourds parmi lesquels : </w:t>
      </w:r>
      <w:r w:rsidR="005C73CC" w:rsidRPr="009D4CD4">
        <w:rPr>
          <w:rFonts w:asciiTheme="minorHAnsi" w:hAnsiTheme="minorHAnsi" w:cs="Arial"/>
          <w:sz w:val="22"/>
          <w:szCs w:val="22"/>
        </w:rPr>
        <w:t>la RAGT, leader euro</w:t>
      </w:r>
      <w:r w:rsidRPr="009D4CD4">
        <w:rPr>
          <w:rFonts w:asciiTheme="minorHAnsi" w:hAnsiTheme="minorHAnsi" w:cs="Arial"/>
          <w:sz w:val="22"/>
          <w:szCs w:val="22"/>
        </w:rPr>
        <w:t xml:space="preserve">péen de semences de blé tendre ; les Caves de Roquefort ; le confiturier </w:t>
      </w:r>
      <w:r w:rsidR="005C73CC" w:rsidRPr="009D4CD4">
        <w:rPr>
          <w:rFonts w:asciiTheme="minorHAnsi" w:hAnsiTheme="minorHAnsi" w:cs="Arial"/>
          <w:sz w:val="22"/>
          <w:szCs w:val="22"/>
        </w:rPr>
        <w:t>Andros.</w:t>
      </w:r>
    </w:p>
    <w:p w14:paraId="7E6BEDCD" w14:textId="12FB599A" w:rsidR="00AA76F7" w:rsidRPr="009D4CD4" w:rsidRDefault="00AA76F7" w:rsidP="00AA76F7">
      <w:pPr>
        <w:pStyle w:val="NormalWeb"/>
        <w:spacing w:before="0" w:beforeAutospacing="0" w:after="0" w:afterAutospacing="0"/>
        <w:rPr>
          <w:rFonts w:asciiTheme="minorHAnsi" w:hAnsiTheme="minorHAnsi" w:cs="Arial"/>
          <w:sz w:val="22"/>
          <w:szCs w:val="22"/>
        </w:rPr>
      </w:pPr>
    </w:p>
    <w:p w14:paraId="0D8EC04C" w14:textId="1CBA72F4" w:rsidR="005C73CC" w:rsidRPr="009D4CD4" w:rsidRDefault="00AA76F7" w:rsidP="00AA76F7">
      <w:pPr>
        <w:pStyle w:val="NormalWeb"/>
        <w:spacing w:before="0" w:beforeAutospacing="0" w:after="0" w:afterAutospacing="0"/>
        <w:rPr>
          <w:rFonts w:asciiTheme="minorHAnsi" w:hAnsiTheme="minorHAnsi" w:cs="Arial"/>
          <w:sz w:val="22"/>
          <w:szCs w:val="22"/>
        </w:rPr>
      </w:pPr>
      <w:r w:rsidRPr="009D4CD4">
        <w:rPr>
          <w:rFonts w:asciiTheme="minorHAnsi" w:hAnsiTheme="minorHAnsi" w:cs="Arial"/>
          <w:sz w:val="22"/>
          <w:szCs w:val="22"/>
        </w:rPr>
        <w:t>&gt;</w:t>
      </w:r>
      <w:r w:rsidR="005C73CC" w:rsidRPr="009D4CD4">
        <w:rPr>
          <w:rFonts w:asciiTheme="minorHAnsi" w:hAnsiTheme="minorHAnsi" w:cs="Arial"/>
          <w:sz w:val="22"/>
          <w:szCs w:val="22"/>
        </w:rPr>
        <w:t>L’aéronautique concentr</w:t>
      </w:r>
      <w:r w:rsidR="00D17619" w:rsidRPr="009D4CD4">
        <w:rPr>
          <w:rFonts w:asciiTheme="minorHAnsi" w:hAnsiTheme="minorHAnsi" w:cs="Arial"/>
          <w:sz w:val="22"/>
          <w:szCs w:val="22"/>
        </w:rPr>
        <w:t xml:space="preserve">ait, avant la crise sanitaire, </w:t>
      </w:r>
      <w:r w:rsidR="00510F91">
        <w:rPr>
          <w:rFonts w:asciiTheme="minorHAnsi" w:hAnsiTheme="minorHAnsi" w:cs="Arial"/>
          <w:sz w:val="22"/>
          <w:szCs w:val="22"/>
        </w:rPr>
        <w:t>beaucoup d’</w:t>
      </w:r>
      <w:r w:rsidR="005C73CC" w:rsidRPr="009D4CD4">
        <w:rPr>
          <w:rFonts w:asciiTheme="minorHAnsi" w:hAnsiTheme="minorHAnsi" w:cs="Arial"/>
          <w:sz w:val="22"/>
          <w:szCs w:val="22"/>
        </w:rPr>
        <w:t xml:space="preserve">emplois sur la région, pourvus </w:t>
      </w:r>
      <w:r w:rsidR="003E346E">
        <w:rPr>
          <w:rFonts w:asciiTheme="minorHAnsi" w:hAnsiTheme="minorHAnsi" w:cs="Arial"/>
          <w:sz w:val="22"/>
          <w:szCs w:val="22"/>
        </w:rPr>
        <w:t>notamment</w:t>
      </w:r>
      <w:r w:rsidR="005C73CC" w:rsidRPr="009D4CD4">
        <w:rPr>
          <w:rFonts w:asciiTheme="minorHAnsi" w:hAnsiTheme="minorHAnsi" w:cs="Arial"/>
          <w:sz w:val="22"/>
          <w:szCs w:val="22"/>
        </w:rPr>
        <w:t xml:space="preserve"> dans l</w:t>
      </w:r>
      <w:r w:rsidR="002F727A" w:rsidRPr="009D4CD4">
        <w:rPr>
          <w:rFonts w:asciiTheme="minorHAnsi" w:hAnsiTheme="minorHAnsi" w:cs="Arial"/>
          <w:sz w:val="22"/>
          <w:szCs w:val="22"/>
        </w:rPr>
        <w:t xml:space="preserve">es entreprises de la </w:t>
      </w:r>
      <w:r w:rsidR="005C73CC" w:rsidRPr="009D4CD4">
        <w:rPr>
          <w:rFonts w:asciiTheme="minorHAnsi" w:hAnsiTheme="minorHAnsi" w:cs="Arial"/>
          <w:i/>
          <w:sz w:val="22"/>
          <w:szCs w:val="22"/>
        </w:rPr>
        <w:t>Mecanic Vallée</w:t>
      </w:r>
      <w:r w:rsidR="005C73CC" w:rsidRPr="009D4CD4">
        <w:rPr>
          <w:rFonts w:asciiTheme="minorHAnsi" w:hAnsiTheme="minorHAnsi" w:cs="Arial"/>
          <w:sz w:val="22"/>
          <w:szCs w:val="22"/>
        </w:rPr>
        <w:t xml:space="preserve"> autour de Figeac (46). </w:t>
      </w:r>
    </w:p>
    <w:p w14:paraId="3873C999" w14:textId="77777777" w:rsidR="00AA76F7" w:rsidRPr="009D4CD4" w:rsidRDefault="00AA76F7" w:rsidP="00AA76F7">
      <w:pPr>
        <w:pStyle w:val="NormalWeb"/>
        <w:spacing w:before="0" w:beforeAutospacing="0" w:after="0" w:afterAutospacing="0"/>
        <w:rPr>
          <w:rFonts w:asciiTheme="minorHAnsi" w:hAnsiTheme="minorHAnsi" w:cs="Arial"/>
          <w:sz w:val="22"/>
          <w:szCs w:val="22"/>
        </w:rPr>
      </w:pPr>
    </w:p>
    <w:p w14:paraId="4D09CFF1" w14:textId="26C6B805" w:rsidR="002F727A" w:rsidRPr="009D4CD4" w:rsidRDefault="005C73CC" w:rsidP="00AA76F7">
      <w:pPr>
        <w:pStyle w:val="NormalWeb"/>
        <w:spacing w:before="0" w:beforeAutospacing="0" w:after="0" w:afterAutospacing="0"/>
        <w:rPr>
          <w:rFonts w:asciiTheme="minorHAnsi" w:hAnsiTheme="minorHAnsi" w:cs="Arial"/>
          <w:sz w:val="22"/>
          <w:szCs w:val="22"/>
        </w:rPr>
      </w:pPr>
      <w:r w:rsidRPr="009D4CD4">
        <w:rPr>
          <w:rFonts w:asciiTheme="minorHAnsi" w:hAnsiTheme="minorHAnsi" w:cs="Arial"/>
          <w:sz w:val="22"/>
          <w:szCs w:val="22"/>
        </w:rPr>
        <w:t>Le territoire fait également place à une industrie pharmaceutique constituée autour des Laboratoires Pierre Fabre (81).</w:t>
      </w:r>
    </w:p>
    <w:p w14:paraId="0C7B36D5" w14:textId="35321B00" w:rsidR="005C73CC" w:rsidRPr="009D4CD4" w:rsidRDefault="005C73CC" w:rsidP="00AA76F7">
      <w:pPr>
        <w:pStyle w:val="NormalWeb"/>
        <w:spacing w:before="0" w:beforeAutospacing="0" w:after="0" w:afterAutospacing="0"/>
        <w:rPr>
          <w:rFonts w:asciiTheme="minorHAnsi" w:hAnsiTheme="minorHAnsi" w:cs="Arial"/>
          <w:sz w:val="22"/>
          <w:szCs w:val="22"/>
        </w:rPr>
      </w:pPr>
      <w:r w:rsidRPr="009D4CD4">
        <w:rPr>
          <w:rFonts w:asciiTheme="minorHAnsi" w:hAnsiTheme="minorHAnsi" w:cs="Arial"/>
          <w:sz w:val="22"/>
          <w:szCs w:val="22"/>
        </w:rPr>
        <w:t>Au-delà des grands groupes, un riche tissu de PME irrigue les départements. Ainsi les métiers de l’artisanat offrent des débouchés au travail du bois, du cuir, de la pierre, ou encore de la coutellerie à Laguiole (12).</w:t>
      </w:r>
    </w:p>
    <w:p w14:paraId="6DF33A88" w14:textId="3A37BF02" w:rsidR="00A204BC" w:rsidRPr="009D4CD4" w:rsidRDefault="00A204BC" w:rsidP="00A204BC">
      <w:pPr>
        <w:pStyle w:val="NormalWeb"/>
        <w:spacing w:before="0" w:beforeAutospacing="0" w:after="0" w:afterAutospacing="0"/>
        <w:rPr>
          <w:rFonts w:asciiTheme="minorHAnsi" w:hAnsiTheme="minorHAnsi" w:cs="Arial"/>
          <w:sz w:val="22"/>
          <w:szCs w:val="22"/>
        </w:rPr>
      </w:pPr>
    </w:p>
    <w:p w14:paraId="2719533E" w14:textId="2C36FDDC" w:rsidR="00A204BC" w:rsidRPr="009D4CD4" w:rsidRDefault="00A204BC" w:rsidP="00A204BC">
      <w:pPr>
        <w:pStyle w:val="NormalWeb"/>
        <w:spacing w:before="0" w:beforeAutospacing="0" w:after="0" w:afterAutospacing="0"/>
        <w:rPr>
          <w:rFonts w:asciiTheme="minorHAnsi" w:hAnsiTheme="minorHAnsi" w:cs="Arial"/>
          <w:sz w:val="22"/>
          <w:szCs w:val="22"/>
        </w:rPr>
      </w:pPr>
      <w:r w:rsidRPr="009D4CD4">
        <w:rPr>
          <w:rFonts w:asciiTheme="minorHAnsi" w:hAnsiTheme="minorHAnsi" w:cs="Arial"/>
          <w:sz w:val="22"/>
          <w:szCs w:val="22"/>
        </w:rPr>
        <w:t xml:space="preserve">L’abondance des ressources naturelles (solaire, éolien, biomasse etc.) fournit de réelles opportunités de développement de la production </w:t>
      </w:r>
      <w:r w:rsidR="00D17619" w:rsidRPr="009D4CD4">
        <w:rPr>
          <w:rFonts w:asciiTheme="minorHAnsi" w:hAnsiTheme="minorHAnsi" w:cs="Arial"/>
          <w:sz w:val="22"/>
          <w:szCs w:val="22"/>
        </w:rPr>
        <w:t>d’énergies</w:t>
      </w:r>
      <w:r w:rsidRPr="009D4CD4">
        <w:rPr>
          <w:rFonts w:asciiTheme="minorHAnsi" w:hAnsiTheme="minorHAnsi" w:cs="Arial"/>
          <w:sz w:val="22"/>
          <w:szCs w:val="22"/>
        </w:rPr>
        <w:t xml:space="preserve"> renouvelable</w:t>
      </w:r>
      <w:r w:rsidR="00D17619" w:rsidRPr="009D4CD4">
        <w:rPr>
          <w:rFonts w:asciiTheme="minorHAnsi" w:hAnsiTheme="minorHAnsi" w:cs="Arial"/>
          <w:sz w:val="22"/>
          <w:szCs w:val="22"/>
        </w:rPr>
        <w:t>s</w:t>
      </w:r>
      <w:r w:rsidR="00AC25FE" w:rsidRPr="009D4CD4">
        <w:rPr>
          <w:rFonts w:asciiTheme="minorHAnsi" w:hAnsiTheme="minorHAnsi" w:cs="Arial"/>
          <w:sz w:val="22"/>
          <w:szCs w:val="22"/>
        </w:rPr>
        <w:t xml:space="preserve">. Ces ressources </w:t>
      </w:r>
      <w:r w:rsidRPr="009D4CD4">
        <w:rPr>
          <w:rFonts w:asciiTheme="minorHAnsi" w:hAnsiTheme="minorHAnsi" w:cs="Arial"/>
          <w:sz w:val="22"/>
          <w:szCs w:val="22"/>
        </w:rPr>
        <w:t>permet</w:t>
      </w:r>
      <w:r w:rsidR="00AC25FE" w:rsidRPr="009D4CD4">
        <w:rPr>
          <w:rFonts w:asciiTheme="minorHAnsi" w:hAnsiTheme="minorHAnsi" w:cs="Arial"/>
          <w:sz w:val="22"/>
          <w:szCs w:val="22"/>
        </w:rPr>
        <w:t>tent</w:t>
      </w:r>
      <w:r w:rsidRPr="009D4CD4">
        <w:rPr>
          <w:rFonts w:asciiTheme="minorHAnsi" w:hAnsiTheme="minorHAnsi" w:cs="Arial"/>
          <w:sz w:val="22"/>
          <w:szCs w:val="22"/>
        </w:rPr>
        <w:t xml:space="preserve"> au territoire de concrétiser des trajectoires de transition décarbonée et de participer aux ambiti</w:t>
      </w:r>
      <w:r w:rsidR="00AC25FE" w:rsidRPr="009D4CD4">
        <w:rPr>
          <w:rFonts w:asciiTheme="minorHAnsi" w:hAnsiTheme="minorHAnsi" w:cs="Arial"/>
          <w:sz w:val="22"/>
          <w:szCs w:val="22"/>
        </w:rPr>
        <w:t xml:space="preserve">ons </w:t>
      </w:r>
      <w:r w:rsidRPr="009D4CD4">
        <w:rPr>
          <w:rFonts w:asciiTheme="minorHAnsi" w:hAnsiTheme="minorHAnsi" w:cs="Arial"/>
          <w:sz w:val="22"/>
          <w:szCs w:val="22"/>
        </w:rPr>
        <w:t>de la Région Occitanie à l’horizon 2050</w:t>
      </w:r>
      <w:r w:rsidR="00AC25FE" w:rsidRPr="009D4CD4">
        <w:rPr>
          <w:rFonts w:asciiTheme="minorHAnsi" w:hAnsiTheme="minorHAnsi" w:cs="Arial"/>
          <w:sz w:val="22"/>
          <w:szCs w:val="22"/>
        </w:rPr>
        <w:t xml:space="preserve"> (couverture de 100% des besoins énergétiques par des énergies renouvelables)</w:t>
      </w:r>
      <w:r w:rsidRPr="009D4CD4">
        <w:rPr>
          <w:rFonts w:asciiTheme="minorHAnsi" w:hAnsiTheme="minorHAnsi" w:cs="Arial"/>
          <w:sz w:val="22"/>
          <w:szCs w:val="22"/>
        </w:rPr>
        <w:t xml:space="preserve">.  </w:t>
      </w:r>
      <w:r w:rsidR="00AC25FE" w:rsidRPr="009D4CD4">
        <w:rPr>
          <w:rFonts w:asciiTheme="minorHAnsi" w:hAnsiTheme="minorHAnsi" w:cs="Arial"/>
          <w:sz w:val="22"/>
          <w:szCs w:val="22"/>
        </w:rPr>
        <w:t xml:space="preserve">En 2017, les 4 départements, principalement en Aveyron et </w:t>
      </w:r>
      <w:r w:rsidR="00564575">
        <w:rPr>
          <w:rFonts w:asciiTheme="minorHAnsi" w:hAnsiTheme="minorHAnsi" w:cs="Arial"/>
          <w:sz w:val="22"/>
          <w:szCs w:val="22"/>
        </w:rPr>
        <w:t xml:space="preserve">dans </w:t>
      </w:r>
      <w:r w:rsidR="00AC25FE" w:rsidRPr="009D4CD4">
        <w:rPr>
          <w:rFonts w:asciiTheme="minorHAnsi" w:hAnsiTheme="minorHAnsi" w:cs="Arial"/>
          <w:sz w:val="22"/>
          <w:szCs w:val="22"/>
        </w:rPr>
        <w:t xml:space="preserve">le Tarn, </w:t>
      </w:r>
      <w:r w:rsidRPr="009D4CD4">
        <w:rPr>
          <w:rFonts w:asciiTheme="minorHAnsi" w:hAnsiTheme="minorHAnsi" w:cs="Arial"/>
          <w:sz w:val="22"/>
          <w:szCs w:val="22"/>
        </w:rPr>
        <w:t xml:space="preserve">concentraient près de 30% de la puissance installée en Occitanie pour les productions photovoltaïque, éolienne et biomasse. </w:t>
      </w:r>
      <w:r w:rsidR="00C07C06" w:rsidRPr="009D4CD4">
        <w:rPr>
          <w:rFonts w:asciiTheme="minorHAnsi" w:hAnsiTheme="minorHAnsi" w:cs="Arial"/>
          <w:sz w:val="22"/>
          <w:szCs w:val="22"/>
        </w:rPr>
        <w:t>De son côté</w:t>
      </w:r>
      <w:r w:rsidR="00AC25FE" w:rsidRPr="009D4CD4">
        <w:rPr>
          <w:rFonts w:asciiTheme="minorHAnsi" w:hAnsiTheme="minorHAnsi" w:cs="Arial"/>
          <w:sz w:val="22"/>
          <w:szCs w:val="22"/>
        </w:rPr>
        <w:t xml:space="preserve">, l’Aveyron se distingue par la constitution historique d’une filière hydro électrique, </w:t>
      </w:r>
      <w:r w:rsidR="00C07C06" w:rsidRPr="009D4CD4">
        <w:rPr>
          <w:rFonts w:asciiTheme="minorHAnsi" w:hAnsiTheme="minorHAnsi" w:cs="Arial"/>
          <w:sz w:val="22"/>
          <w:szCs w:val="22"/>
        </w:rPr>
        <w:t>avec de</w:t>
      </w:r>
      <w:r w:rsidR="00AC25FE" w:rsidRPr="009D4CD4">
        <w:rPr>
          <w:rFonts w:asciiTheme="minorHAnsi" w:hAnsiTheme="minorHAnsi" w:cs="Arial"/>
          <w:sz w:val="22"/>
          <w:szCs w:val="22"/>
        </w:rPr>
        <w:t xml:space="preserve"> grands barrages dans le nord du département concentrant plus </w:t>
      </w:r>
      <w:r w:rsidR="00D17619" w:rsidRPr="009D4CD4">
        <w:rPr>
          <w:rFonts w:asciiTheme="minorHAnsi" w:hAnsiTheme="minorHAnsi" w:cs="Arial"/>
          <w:sz w:val="22"/>
          <w:szCs w:val="22"/>
        </w:rPr>
        <w:t xml:space="preserve">de </w:t>
      </w:r>
      <w:r w:rsidR="00AC25FE" w:rsidRPr="009D4CD4">
        <w:rPr>
          <w:rFonts w:asciiTheme="minorHAnsi" w:hAnsiTheme="minorHAnsi" w:cs="Arial"/>
          <w:sz w:val="22"/>
          <w:szCs w:val="22"/>
        </w:rPr>
        <w:t>44% la puissance installée dans toute la région Occitanie.</w:t>
      </w:r>
    </w:p>
    <w:p w14:paraId="119B314A" w14:textId="77777777" w:rsidR="00A204BC" w:rsidRPr="009D4CD4" w:rsidRDefault="00A204BC" w:rsidP="00AA76F7">
      <w:pPr>
        <w:pStyle w:val="NormalWeb"/>
        <w:spacing w:before="0" w:beforeAutospacing="0" w:after="0" w:afterAutospacing="0"/>
        <w:rPr>
          <w:rFonts w:asciiTheme="minorHAnsi" w:hAnsiTheme="minorHAnsi" w:cs="Arial"/>
          <w:sz w:val="22"/>
          <w:szCs w:val="22"/>
        </w:rPr>
      </w:pPr>
    </w:p>
    <w:p w14:paraId="09BEAD77" w14:textId="702E3ACF" w:rsidR="005C73CC" w:rsidRPr="009D4CD4" w:rsidRDefault="0043247B" w:rsidP="005C73CC">
      <w:pPr>
        <w:pStyle w:val="NormalWeb"/>
        <w:spacing w:before="0" w:beforeAutospacing="0" w:after="0" w:afterAutospacing="0"/>
        <w:rPr>
          <w:rFonts w:asciiTheme="minorHAnsi" w:hAnsiTheme="minorHAnsi" w:cs="Arial"/>
          <w:sz w:val="22"/>
          <w:szCs w:val="22"/>
        </w:rPr>
      </w:pPr>
      <w:r w:rsidRPr="009D4CD4">
        <w:rPr>
          <w:rFonts w:asciiTheme="minorHAnsi" w:hAnsiTheme="minorHAnsi" w:cs="Arial"/>
          <w:sz w:val="22"/>
          <w:szCs w:val="22"/>
        </w:rPr>
        <w:t>Par ailleurs, g</w:t>
      </w:r>
      <w:r w:rsidR="005C73CC" w:rsidRPr="009D4CD4">
        <w:rPr>
          <w:rFonts w:asciiTheme="minorHAnsi" w:hAnsiTheme="minorHAnsi" w:cs="Arial"/>
          <w:sz w:val="22"/>
          <w:szCs w:val="22"/>
        </w:rPr>
        <w:t>râce à la richesse de son patrimoine culturel, gastronomique, sportif et à celle de ses sites naturels, la région offre de belles découvertes touristiques pour les visiteurs, tout autant que d’activités économiqu</w:t>
      </w:r>
      <w:r w:rsidR="00AA76F7" w:rsidRPr="009D4CD4">
        <w:rPr>
          <w:rFonts w:asciiTheme="minorHAnsi" w:hAnsiTheme="minorHAnsi" w:cs="Arial"/>
          <w:sz w:val="22"/>
          <w:szCs w:val="22"/>
        </w:rPr>
        <w:t>es pour les acteurs du secteur.</w:t>
      </w:r>
    </w:p>
    <w:p w14:paraId="73116FF1" w14:textId="699469CB" w:rsidR="00AA76F7" w:rsidRPr="009D4CD4" w:rsidRDefault="00AA76F7" w:rsidP="005C73CC">
      <w:pPr>
        <w:pStyle w:val="NormalWeb"/>
        <w:spacing w:before="0" w:beforeAutospacing="0" w:after="0" w:afterAutospacing="0"/>
        <w:rPr>
          <w:rFonts w:asciiTheme="minorHAnsi" w:hAnsiTheme="minorHAnsi" w:cs="Arial"/>
          <w:sz w:val="22"/>
          <w:szCs w:val="22"/>
        </w:rPr>
      </w:pPr>
    </w:p>
    <w:p w14:paraId="7F0055DA" w14:textId="1D1164E7" w:rsidR="000205C7" w:rsidRPr="009D4CD4" w:rsidRDefault="00C85821" w:rsidP="005C73CC">
      <w:pPr>
        <w:pStyle w:val="NormalWeb"/>
        <w:spacing w:before="0" w:beforeAutospacing="0" w:after="0" w:afterAutospacing="0"/>
        <w:rPr>
          <w:rFonts w:asciiTheme="minorHAnsi" w:hAnsiTheme="minorHAnsi" w:cs="Arial"/>
          <w:sz w:val="22"/>
          <w:szCs w:val="22"/>
        </w:rPr>
      </w:pPr>
      <w:r w:rsidRPr="009D4CD4">
        <w:rPr>
          <w:rFonts w:asciiTheme="minorHAnsi" w:hAnsiTheme="minorHAnsi" w:cs="Arial"/>
          <w:sz w:val="22"/>
          <w:szCs w:val="22"/>
        </w:rPr>
        <w:t xml:space="preserve">Dans le domaine de la formation, le tissu universitaire accueille </w:t>
      </w:r>
      <w:r w:rsidR="00B340C5" w:rsidRPr="009D4CD4">
        <w:rPr>
          <w:rFonts w:asciiTheme="minorHAnsi" w:hAnsiTheme="minorHAnsi" w:cs="Arial"/>
          <w:sz w:val="22"/>
          <w:szCs w:val="22"/>
        </w:rPr>
        <w:t>les</w:t>
      </w:r>
      <w:r w:rsidRPr="009D4CD4">
        <w:rPr>
          <w:rFonts w:asciiTheme="minorHAnsi" w:hAnsiTheme="minorHAnsi" w:cs="Arial"/>
          <w:sz w:val="22"/>
          <w:szCs w:val="22"/>
        </w:rPr>
        <w:t xml:space="preserve"> étudiants au sein de campus à taille humaine</w:t>
      </w:r>
      <w:r w:rsidR="000205C7" w:rsidRPr="009D4CD4">
        <w:rPr>
          <w:rFonts w:asciiTheme="minorHAnsi" w:hAnsiTheme="minorHAnsi" w:cs="Arial"/>
          <w:sz w:val="22"/>
          <w:szCs w:val="22"/>
        </w:rPr>
        <w:t xml:space="preserve">, </w:t>
      </w:r>
      <w:r w:rsidR="002F727A" w:rsidRPr="009D4CD4">
        <w:rPr>
          <w:rFonts w:asciiTheme="minorHAnsi" w:hAnsiTheme="minorHAnsi" w:cs="Arial"/>
          <w:sz w:val="22"/>
          <w:szCs w:val="22"/>
        </w:rPr>
        <w:t>fournissan</w:t>
      </w:r>
      <w:r w:rsidR="00AA76F7" w:rsidRPr="009D4CD4">
        <w:rPr>
          <w:rFonts w:asciiTheme="minorHAnsi" w:hAnsiTheme="minorHAnsi" w:cs="Arial"/>
          <w:sz w:val="22"/>
          <w:szCs w:val="22"/>
        </w:rPr>
        <w:t xml:space="preserve">t </w:t>
      </w:r>
      <w:r w:rsidR="000205C7" w:rsidRPr="009D4CD4">
        <w:rPr>
          <w:rFonts w:asciiTheme="minorHAnsi" w:hAnsiTheme="minorHAnsi" w:cs="Arial"/>
          <w:sz w:val="22"/>
          <w:szCs w:val="22"/>
        </w:rPr>
        <w:t>enseignement et accompagnement de qualité</w:t>
      </w:r>
      <w:r w:rsidRPr="009D4CD4">
        <w:rPr>
          <w:rFonts w:asciiTheme="minorHAnsi" w:hAnsiTheme="minorHAnsi" w:cs="Arial"/>
          <w:sz w:val="22"/>
          <w:szCs w:val="22"/>
        </w:rPr>
        <w:t>.</w:t>
      </w:r>
      <w:r w:rsidR="000205C7" w:rsidRPr="009D4CD4">
        <w:rPr>
          <w:rFonts w:asciiTheme="minorHAnsi" w:hAnsiTheme="minorHAnsi" w:cs="Arial"/>
          <w:sz w:val="22"/>
          <w:szCs w:val="22"/>
        </w:rPr>
        <w:t xml:space="preserve"> </w:t>
      </w:r>
      <w:r w:rsidR="00B340C5" w:rsidRPr="009D4CD4">
        <w:rPr>
          <w:rFonts w:asciiTheme="minorHAnsi" w:hAnsiTheme="minorHAnsi" w:cs="Arial"/>
          <w:sz w:val="22"/>
          <w:szCs w:val="22"/>
        </w:rPr>
        <w:t xml:space="preserve">Les établissements </w:t>
      </w:r>
      <w:r w:rsidR="00AA76F7" w:rsidRPr="009D4CD4">
        <w:rPr>
          <w:rFonts w:asciiTheme="minorHAnsi" w:hAnsiTheme="minorHAnsi" w:cs="Arial"/>
          <w:sz w:val="22"/>
          <w:szCs w:val="22"/>
        </w:rPr>
        <w:t>proposent</w:t>
      </w:r>
      <w:r w:rsidR="00B340C5" w:rsidRPr="009D4CD4">
        <w:rPr>
          <w:rFonts w:asciiTheme="minorHAnsi" w:hAnsiTheme="minorHAnsi" w:cs="Arial"/>
          <w:sz w:val="22"/>
          <w:szCs w:val="22"/>
        </w:rPr>
        <w:t xml:space="preserve"> des formations diplômantes du BTS au Master II. </w:t>
      </w:r>
      <w:r w:rsidR="000205C7" w:rsidRPr="009D4CD4">
        <w:rPr>
          <w:rFonts w:asciiTheme="minorHAnsi" w:hAnsiTheme="minorHAnsi" w:cs="Arial"/>
          <w:sz w:val="22"/>
          <w:szCs w:val="22"/>
        </w:rPr>
        <w:t xml:space="preserve">La faculté </w:t>
      </w:r>
      <w:r w:rsidRPr="009D4CD4">
        <w:rPr>
          <w:rFonts w:asciiTheme="minorHAnsi" w:hAnsiTheme="minorHAnsi" w:cs="Arial"/>
          <w:sz w:val="22"/>
          <w:szCs w:val="22"/>
        </w:rPr>
        <w:t xml:space="preserve">Champollion, associée à l’Université fédérale de Toulouse, </w:t>
      </w:r>
      <w:r w:rsidR="002F727A" w:rsidRPr="009D4CD4">
        <w:rPr>
          <w:rFonts w:asciiTheme="minorHAnsi" w:hAnsiTheme="minorHAnsi" w:cs="Arial"/>
          <w:sz w:val="22"/>
          <w:szCs w:val="22"/>
        </w:rPr>
        <w:t>offre</w:t>
      </w:r>
      <w:r w:rsidRPr="009D4CD4">
        <w:rPr>
          <w:rFonts w:asciiTheme="minorHAnsi" w:hAnsiTheme="minorHAnsi" w:cs="Arial"/>
          <w:sz w:val="22"/>
          <w:szCs w:val="22"/>
        </w:rPr>
        <w:t xml:space="preserve"> des cursus à Albi, Rodez et Castres</w:t>
      </w:r>
      <w:r w:rsidR="000205C7" w:rsidRPr="009D4CD4">
        <w:rPr>
          <w:rFonts w:asciiTheme="minorHAnsi" w:hAnsiTheme="minorHAnsi" w:cs="Arial"/>
          <w:sz w:val="22"/>
          <w:szCs w:val="22"/>
        </w:rPr>
        <w:t xml:space="preserve">. </w:t>
      </w:r>
      <w:r w:rsidR="009E7ACE" w:rsidRPr="009D4CD4">
        <w:rPr>
          <w:rFonts w:asciiTheme="minorHAnsi" w:hAnsiTheme="minorHAnsi" w:cs="Arial"/>
          <w:sz w:val="22"/>
          <w:szCs w:val="22"/>
        </w:rPr>
        <w:t>De son côté, Montauban accueille plusieurs antennes des universités de Toulouse. Dans les 4 départements, d</w:t>
      </w:r>
      <w:r w:rsidR="00995FF8" w:rsidRPr="009D4CD4">
        <w:rPr>
          <w:rFonts w:asciiTheme="minorHAnsi" w:hAnsiTheme="minorHAnsi" w:cs="Arial"/>
          <w:sz w:val="22"/>
          <w:szCs w:val="22"/>
        </w:rPr>
        <w:t>es écoles de commerce et d’ingénieur</w:t>
      </w:r>
      <w:r w:rsidR="00AA76F7" w:rsidRPr="009D4CD4">
        <w:rPr>
          <w:rFonts w:asciiTheme="minorHAnsi" w:hAnsiTheme="minorHAnsi" w:cs="Arial"/>
          <w:sz w:val="22"/>
          <w:szCs w:val="22"/>
        </w:rPr>
        <w:t>s</w:t>
      </w:r>
      <w:r w:rsidR="00995FF8" w:rsidRPr="009D4CD4">
        <w:rPr>
          <w:rFonts w:asciiTheme="minorHAnsi" w:hAnsiTheme="minorHAnsi" w:cs="Arial"/>
          <w:sz w:val="22"/>
          <w:szCs w:val="22"/>
        </w:rPr>
        <w:t xml:space="preserve"> permettent </w:t>
      </w:r>
      <w:r w:rsidR="002F727A" w:rsidRPr="009D4CD4">
        <w:rPr>
          <w:rFonts w:asciiTheme="minorHAnsi" w:hAnsiTheme="minorHAnsi" w:cs="Arial"/>
          <w:sz w:val="22"/>
          <w:szCs w:val="22"/>
        </w:rPr>
        <w:t xml:space="preserve">aux jeunes </w:t>
      </w:r>
      <w:r w:rsidR="00995FF8" w:rsidRPr="009D4CD4">
        <w:rPr>
          <w:rFonts w:asciiTheme="minorHAnsi" w:hAnsiTheme="minorHAnsi" w:cs="Arial"/>
          <w:sz w:val="22"/>
          <w:szCs w:val="22"/>
        </w:rPr>
        <w:t>de décrocher un diplôme dans ces domaines</w:t>
      </w:r>
      <w:r w:rsidR="002F727A" w:rsidRPr="009D4CD4">
        <w:rPr>
          <w:rFonts w:asciiTheme="minorHAnsi" w:hAnsiTheme="minorHAnsi" w:cs="Arial"/>
          <w:sz w:val="22"/>
          <w:szCs w:val="22"/>
        </w:rPr>
        <w:t xml:space="preserve">, comme par exemple </w:t>
      </w:r>
      <w:r w:rsidR="00B340C5" w:rsidRPr="009D4CD4">
        <w:rPr>
          <w:rFonts w:asciiTheme="minorHAnsi" w:hAnsiTheme="minorHAnsi" w:cs="Arial"/>
          <w:sz w:val="22"/>
          <w:szCs w:val="22"/>
        </w:rPr>
        <w:t xml:space="preserve">l’école des Mines </w:t>
      </w:r>
      <w:r w:rsidR="002F727A" w:rsidRPr="009D4CD4">
        <w:rPr>
          <w:rFonts w:asciiTheme="minorHAnsi" w:hAnsiTheme="minorHAnsi" w:cs="Arial"/>
          <w:sz w:val="22"/>
          <w:szCs w:val="22"/>
        </w:rPr>
        <w:t>à A</w:t>
      </w:r>
      <w:r w:rsidR="00AA76F7" w:rsidRPr="009D4CD4">
        <w:rPr>
          <w:rFonts w:asciiTheme="minorHAnsi" w:hAnsiTheme="minorHAnsi" w:cs="Arial"/>
          <w:sz w:val="22"/>
          <w:szCs w:val="22"/>
        </w:rPr>
        <w:t>lbi</w:t>
      </w:r>
      <w:r w:rsidR="00995FF8" w:rsidRPr="009D4CD4">
        <w:rPr>
          <w:rFonts w:asciiTheme="minorHAnsi" w:hAnsiTheme="minorHAnsi" w:cs="Arial"/>
          <w:sz w:val="22"/>
          <w:szCs w:val="22"/>
        </w:rPr>
        <w:t xml:space="preserve">. Au total, le pôle d’enseignement supérieur et de recherche albigeois se trouve dans le top 10 des agglomérations françaises pour le nombre d’étudiants par habitant. </w:t>
      </w:r>
    </w:p>
    <w:p w14:paraId="20AC12BD" w14:textId="77777777" w:rsidR="00A204BC" w:rsidRPr="009D4CD4" w:rsidRDefault="00A204BC" w:rsidP="00B72A61">
      <w:pPr>
        <w:spacing w:after="0" w:line="240" w:lineRule="auto"/>
        <w:jc w:val="left"/>
        <w:rPr>
          <w:rFonts w:asciiTheme="minorHAnsi" w:hAnsiTheme="minorHAnsi"/>
        </w:rPr>
      </w:pPr>
    </w:p>
    <w:p w14:paraId="30715FB6" w14:textId="77777777" w:rsidR="00683C3A" w:rsidRDefault="00683C3A">
      <w:pPr>
        <w:spacing w:after="0" w:line="240" w:lineRule="auto"/>
        <w:jc w:val="left"/>
        <w:rPr>
          <w:rFonts w:asciiTheme="minorHAnsi" w:hAnsiTheme="minorHAnsi"/>
          <w:b/>
        </w:rPr>
      </w:pPr>
      <w:r>
        <w:rPr>
          <w:rFonts w:asciiTheme="minorHAnsi" w:hAnsiTheme="minorHAnsi"/>
          <w:b/>
        </w:rPr>
        <w:br w:type="page"/>
      </w:r>
    </w:p>
    <w:p w14:paraId="04579E73" w14:textId="21B4CEE1" w:rsidR="00B72A61" w:rsidRPr="009D4CD4" w:rsidRDefault="00B72A61" w:rsidP="00B72A61">
      <w:pPr>
        <w:spacing w:after="0" w:line="240" w:lineRule="auto"/>
        <w:jc w:val="left"/>
        <w:rPr>
          <w:rFonts w:asciiTheme="minorHAnsi" w:hAnsiTheme="minorHAnsi"/>
          <w:b/>
        </w:rPr>
      </w:pPr>
      <w:r w:rsidRPr="009D4CD4">
        <w:rPr>
          <w:rFonts w:asciiTheme="minorHAnsi" w:hAnsiTheme="minorHAnsi"/>
          <w:b/>
        </w:rPr>
        <w:t>Ressources</w:t>
      </w:r>
    </w:p>
    <w:p w14:paraId="306667B0" w14:textId="77777777" w:rsidR="00B72A61" w:rsidRPr="009D4CD4" w:rsidRDefault="00B72A61" w:rsidP="00B72A61">
      <w:pPr>
        <w:spacing w:after="0" w:line="240" w:lineRule="auto"/>
        <w:jc w:val="left"/>
        <w:rPr>
          <w:rFonts w:asciiTheme="minorHAnsi" w:eastAsia="Times New Roman" w:hAnsiTheme="minorHAnsi" w:cs="Arial"/>
          <w:bCs/>
          <w:sz w:val="20"/>
          <w:szCs w:val="20"/>
          <w:lang w:eastAsia="fr-FR"/>
        </w:rPr>
      </w:pPr>
    </w:p>
    <w:tbl>
      <w:tblPr>
        <w:tblStyle w:val="Grilledutableau"/>
        <w:tblW w:w="0" w:type="auto"/>
        <w:tblLook w:val="04A0" w:firstRow="1" w:lastRow="0" w:firstColumn="1" w:lastColumn="0" w:noHBand="0" w:noVBand="1"/>
      </w:tblPr>
      <w:tblGrid>
        <w:gridCol w:w="2770"/>
        <w:gridCol w:w="7568"/>
      </w:tblGrid>
      <w:tr w:rsidR="00822AC9" w:rsidRPr="009D4CD4" w14:paraId="36AFBFC0" w14:textId="77777777" w:rsidTr="00523615">
        <w:tc>
          <w:tcPr>
            <w:tcW w:w="2802" w:type="dxa"/>
          </w:tcPr>
          <w:p w14:paraId="63A49078"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sz w:val="20"/>
                <w:szCs w:val="20"/>
                <w:lang w:eastAsia="fr-FR"/>
              </w:rPr>
              <w:t>Les femmes et les hommes</w:t>
            </w:r>
          </w:p>
        </w:tc>
        <w:tc>
          <w:tcPr>
            <w:tcW w:w="7686" w:type="dxa"/>
          </w:tcPr>
          <w:p w14:paraId="3B473B03" w14:textId="7ABB1B70" w:rsidR="00B72A61" w:rsidRPr="009D4CD4" w:rsidRDefault="00D4132A" w:rsidP="0024421D">
            <w:pPr>
              <w:spacing w:after="0" w:line="240" w:lineRule="auto"/>
              <w:jc w:val="left"/>
              <w:rPr>
                <w:rFonts w:ascii="Calibri" w:hAnsi="Calibri"/>
                <w:b/>
                <w:sz w:val="18"/>
                <w:szCs w:val="18"/>
              </w:rPr>
            </w:pPr>
            <w:r w:rsidRPr="009D4CD4">
              <w:rPr>
                <w:rFonts w:asciiTheme="minorHAnsi" w:hAnsiTheme="minorHAnsi" w:cs="Arial"/>
                <w:sz w:val="20"/>
                <w:szCs w:val="20"/>
                <w:lang w:eastAsia="fr-FR"/>
              </w:rPr>
              <w:t>2 149</w:t>
            </w:r>
            <w:r w:rsidR="00B72A61" w:rsidRPr="009D4CD4">
              <w:rPr>
                <w:rFonts w:asciiTheme="minorHAnsi" w:hAnsiTheme="minorHAnsi" w:cs="Arial"/>
                <w:sz w:val="20"/>
                <w:szCs w:val="20"/>
                <w:lang w:eastAsia="fr-FR"/>
              </w:rPr>
              <w:t xml:space="preserve"> salariés ; 8</w:t>
            </w:r>
            <w:r w:rsidRPr="009D4CD4">
              <w:rPr>
                <w:rFonts w:asciiTheme="minorHAnsi" w:hAnsiTheme="minorHAnsi" w:cs="Arial"/>
                <w:sz w:val="20"/>
                <w:szCs w:val="20"/>
                <w:lang w:eastAsia="fr-FR"/>
              </w:rPr>
              <w:t>37</w:t>
            </w:r>
            <w:r w:rsidR="00B72A61" w:rsidRPr="009D4CD4">
              <w:rPr>
                <w:rFonts w:asciiTheme="minorHAnsi" w:hAnsiTheme="minorHAnsi" w:cs="Arial"/>
                <w:sz w:val="20"/>
                <w:szCs w:val="20"/>
                <w:lang w:eastAsia="fr-FR"/>
              </w:rPr>
              <w:t xml:space="preserve"> administrateurs dans 66 Caisses locales</w:t>
            </w:r>
          </w:p>
        </w:tc>
      </w:tr>
      <w:tr w:rsidR="00822AC9" w:rsidRPr="009D4CD4" w14:paraId="67CBD196" w14:textId="77777777" w:rsidTr="00523615">
        <w:tc>
          <w:tcPr>
            <w:tcW w:w="2802" w:type="dxa"/>
          </w:tcPr>
          <w:p w14:paraId="0F5C048A"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sz w:val="20"/>
                <w:szCs w:val="20"/>
                <w:lang w:eastAsia="fr-FR"/>
              </w:rPr>
              <w:t>Capital financier</w:t>
            </w:r>
          </w:p>
        </w:tc>
        <w:tc>
          <w:tcPr>
            <w:tcW w:w="7686" w:type="dxa"/>
          </w:tcPr>
          <w:p w14:paraId="5826E92A" w14:textId="1FB58B85" w:rsidR="00B72A61" w:rsidRPr="009D4CD4" w:rsidRDefault="00B72A61" w:rsidP="001C7EA2">
            <w:pPr>
              <w:spacing w:after="0" w:line="240" w:lineRule="auto"/>
              <w:jc w:val="left"/>
              <w:rPr>
                <w:rFonts w:ascii="Calibri" w:hAnsi="Calibri"/>
                <w:b/>
                <w:sz w:val="18"/>
                <w:szCs w:val="18"/>
              </w:rPr>
            </w:pPr>
            <w:r w:rsidRPr="009D4CD4">
              <w:rPr>
                <w:rFonts w:asciiTheme="minorHAnsi" w:hAnsiTheme="minorHAnsi" w:cs="Arial"/>
                <w:sz w:val="20"/>
                <w:szCs w:val="20"/>
                <w:lang w:eastAsia="fr-FR"/>
              </w:rPr>
              <w:t>2</w:t>
            </w:r>
            <w:r w:rsidR="00D4132A" w:rsidRPr="009D4CD4">
              <w:rPr>
                <w:rFonts w:asciiTheme="minorHAnsi" w:hAnsiTheme="minorHAnsi" w:cs="Arial"/>
                <w:sz w:val="20"/>
                <w:szCs w:val="20"/>
                <w:lang w:eastAsia="fr-FR"/>
              </w:rPr>
              <w:t> 704,9</w:t>
            </w:r>
            <w:r w:rsidRPr="009D4CD4">
              <w:rPr>
                <w:rFonts w:asciiTheme="minorHAnsi" w:hAnsiTheme="minorHAnsi" w:cs="Arial"/>
                <w:sz w:val="20"/>
                <w:szCs w:val="20"/>
                <w:lang w:eastAsia="fr-FR"/>
              </w:rPr>
              <w:t xml:space="preserve"> M€ de Fonds propres </w:t>
            </w:r>
          </w:p>
        </w:tc>
      </w:tr>
      <w:tr w:rsidR="00822AC9" w:rsidRPr="009D4CD4" w14:paraId="1B760A5E" w14:textId="77777777" w:rsidTr="00523615">
        <w:tc>
          <w:tcPr>
            <w:tcW w:w="2802" w:type="dxa"/>
          </w:tcPr>
          <w:p w14:paraId="113465D3"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sz w:val="20"/>
                <w:szCs w:val="20"/>
                <w:lang w:eastAsia="fr-FR"/>
              </w:rPr>
              <w:t>Présence territoriale</w:t>
            </w:r>
          </w:p>
        </w:tc>
        <w:tc>
          <w:tcPr>
            <w:tcW w:w="7686" w:type="dxa"/>
          </w:tcPr>
          <w:p w14:paraId="22330C92" w14:textId="4016CEB3" w:rsidR="00B72A61" w:rsidRPr="009D4CD4" w:rsidRDefault="00B72A61" w:rsidP="00AA76F7">
            <w:pPr>
              <w:spacing w:after="0" w:line="240" w:lineRule="auto"/>
              <w:jc w:val="left"/>
              <w:rPr>
                <w:rFonts w:ascii="Calibri" w:hAnsi="Calibri"/>
                <w:b/>
                <w:sz w:val="18"/>
                <w:szCs w:val="18"/>
              </w:rPr>
            </w:pPr>
            <w:r w:rsidRPr="009D4CD4">
              <w:rPr>
                <w:rFonts w:asciiTheme="minorHAnsi" w:hAnsiTheme="minorHAnsi" w:cs="Arial"/>
                <w:sz w:val="20"/>
                <w:szCs w:val="20"/>
                <w:lang w:eastAsia="fr-FR"/>
              </w:rPr>
              <w:t>158 agences permanentes,</w:t>
            </w:r>
            <w:r w:rsidR="00AA76F7" w:rsidRPr="009D4CD4">
              <w:rPr>
                <w:rFonts w:asciiTheme="minorHAnsi" w:hAnsiTheme="minorHAnsi" w:cs="Arial"/>
                <w:sz w:val="20"/>
                <w:szCs w:val="20"/>
                <w:lang w:eastAsia="fr-FR"/>
              </w:rPr>
              <w:t xml:space="preserve"> dont  5 agences Banque privée et </w:t>
            </w:r>
            <w:r w:rsidRPr="009D4CD4">
              <w:rPr>
                <w:rFonts w:asciiTheme="minorHAnsi" w:hAnsiTheme="minorHAnsi" w:cs="Arial"/>
                <w:sz w:val="20"/>
                <w:szCs w:val="20"/>
                <w:lang w:eastAsia="fr-FR"/>
              </w:rPr>
              <w:t xml:space="preserve">7 agences Entreprises ; </w:t>
            </w:r>
            <w:r w:rsidRPr="009D4CD4">
              <w:rPr>
                <w:rFonts w:asciiTheme="minorHAnsi" w:hAnsiTheme="minorHAnsi" w:cs="Arial"/>
                <w:sz w:val="20"/>
                <w:szCs w:val="20"/>
                <w:lang w:eastAsia="fr-FR"/>
              </w:rPr>
              <w:br/>
              <w:t xml:space="preserve">273 distributeurs de billets ; </w:t>
            </w:r>
            <w:r w:rsidR="00414A84" w:rsidRPr="009D4CD4">
              <w:rPr>
                <w:rFonts w:asciiTheme="minorHAnsi" w:hAnsiTheme="minorHAnsi" w:cs="Arial"/>
                <w:sz w:val="20"/>
                <w:szCs w:val="20"/>
                <w:lang w:eastAsia="fr-FR"/>
              </w:rPr>
              <w:t>229</w:t>
            </w:r>
            <w:r w:rsidRPr="009D4CD4">
              <w:rPr>
                <w:rFonts w:asciiTheme="minorHAnsi" w:hAnsiTheme="minorHAnsi" w:cs="Arial"/>
                <w:sz w:val="20"/>
                <w:szCs w:val="20"/>
                <w:lang w:eastAsia="fr-FR"/>
              </w:rPr>
              <w:t xml:space="preserve"> Relais CA </w:t>
            </w:r>
            <w:r w:rsidR="0026350A" w:rsidRPr="009D4CD4">
              <w:rPr>
                <w:rFonts w:asciiTheme="minorHAnsi" w:hAnsiTheme="minorHAnsi" w:cs="Arial"/>
                <w:sz w:val="20"/>
                <w:szCs w:val="20"/>
                <w:lang w:eastAsia="fr-FR"/>
              </w:rPr>
              <w:t xml:space="preserve">chez les commerçants </w:t>
            </w:r>
            <w:r w:rsidRPr="009D4CD4">
              <w:rPr>
                <w:rFonts w:asciiTheme="minorHAnsi" w:hAnsiTheme="minorHAnsi" w:cs="Arial"/>
                <w:sz w:val="20"/>
                <w:szCs w:val="20"/>
                <w:lang w:eastAsia="fr-FR"/>
              </w:rPr>
              <w:t xml:space="preserve">(points verts) ; </w:t>
            </w:r>
            <w:r w:rsidR="00963237" w:rsidRPr="009D4CD4">
              <w:rPr>
                <w:rFonts w:asciiTheme="minorHAnsi" w:hAnsiTheme="minorHAnsi" w:cs="Arial"/>
                <w:sz w:val="20"/>
                <w:szCs w:val="20"/>
                <w:lang w:eastAsia="fr-FR"/>
              </w:rPr>
              <w:t>2 P</w:t>
            </w:r>
            <w:r w:rsidRPr="009D4CD4">
              <w:rPr>
                <w:rFonts w:asciiTheme="minorHAnsi" w:hAnsiTheme="minorHAnsi" w:cs="Arial"/>
                <w:sz w:val="20"/>
                <w:szCs w:val="20"/>
                <w:lang w:eastAsia="fr-FR"/>
              </w:rPr>
              <w:t>oints passerelle</w:t>
            </w:r>
          </w:p>
        </w:tc>
      </w:tr>
      <w:tr w:rsidR="00B72A61" w:rsidRPr="009D4CD4" w14:paraId="62062422" w14:textId="77777777" w:rsidTr="00523615">
        <w:tc>
          <w:tcPr>
            <w:tcW w:w="2802" w:type="dxa"/>
          </w:tcPr>
          <w:p w14:paraId="1A787D03" w14:textId="77777777" w:rsidR="00B72A61" w:rsidRPr="009D4CD4" w:rsidRDefault="00B72A61"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Présence digitale</w:t>
            </w:r>
          </w:p>
        </w:tc>
        <w:tc>
          <w:tcPr>
            <w:tcW w:w="7686" w:type="dxa"/>
          </w:tcPr>
          <w:p w14:paraId="1B608CCC" w14:textId="5A51E1F1" w:rsidR="00B72A61" w:rsidRPr="009D4CD4" w:rsidRDefault="00B72A61" w:rsidP="0056457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 xml:space="preserve">www.credit-agricole.fr/ca-nmp; Applis Ma Banque ; </w:t>
            </w:r>
            <w:r w:rsidR="00564575">
              <w:rPr>
                <w:rFonts w:asciiTheme="minorHAnsi" w:hAnsiTheme="minorHAnsi" w:cs="Arial"/>
                <w:sz w:val="20"/>
                <w:szCs w:val="20"/>
                <w:lang w:eastAsia="fr-FR"/>
              </w:rPr>
              <w:t>Paiement mobile</w:t>
            </w:r>
            <w:r w:rsidRPr="009D4CD4">
              <w:rPr>
                <w:rFonts w:asciiTheme="minorHAnsi" w:hAnsiTheme="minorHAnsi" w:cs="Arial"/>
                <w:sz w:val="20"/>
                <w:szCs w:val="20"/>
                <w:lang w:eastAsia="fr-FR"/>
              </w:rPr>
              <w:t>; Pacifica</w:t>
            </w:r>
            <w:r w:rsidR="00EA5CF1" w:rsidRPr="009D4CD4">
              <w:rPr>
                <w:rFonts w:asciiTheme="minorHAnsi" w:hAnsiTheme="minorHAnsi" w:cs="Arial"/>
                <w:sz w:val="20"/>
                <w:szCs w:val="20"/>
                <w:lang w:eastAsia="fr-FR"/>
              </w:rPr>
              <w:t> ; CA Bourse</w:t>
            </w:r>
          </w:p>
        </w:tc>
      </w:tr>
    </w:tbl>
    <w:p w14:paraId="20A504C5" w14:textId="77777777" w:rsidR="00B72A61" w:rsidRPr="009D4CD4" w:rsidRDefault="00B72A61" w:rsidP="00B72A61">
      <w:pPr>
        <w:spacing w:after="0" w:line="240" w:lineRule="auto"/>
        <w:jc w:val="left"/>
        <w:rPr>
          <w:rFonts w:asciiTheme="minorHAnsi" w:eastAsia="Times New Roman" w:hAnsiTheme="minorHAnsi" w:cs="Arial"/>
          <w:bCs/>
          <w:sz w:val="20"/>
          <w:szCs w:val="20"/>
          <w:lang w:eastAsia="fr-FR"/>
        </w:rPr>
      </w:pPr>
    </w:p>
    <w:p w14:paraId="75B4B9ED" w14:textId="77777777" w:rsidR="00B72A61" w:rsidRPr="009D4CD4" w:rsidRDefault="00B72A61" w:rsidP="00B72A61">
      <w:pPr>
        <w:spacing w:after="0" w:line="240" w:lineRule="auto"/>
        <w:jc w:val="left"/>
        <w:rPr>
          <w:rFonts w:asciiTheme="minorHAnsi" w:eastAsia="Times New Roman" w:hAnsiTheme="minorHAnsi" w:cs="Arial"/>
          <w:b/>
          <w:bCs/>
          <w:lang w:eastAsia="fr-FR"/>
        </w:rPr>
      </w:pPr>
      <w:r w:rsidRPr="009D4CD4">
        <w:rPr>
          <w:rFonts w:asciiTheme="minorHAnsi" w:eastAsia="Times New Roman" w:hAnsiTheme="minorHAnsi" w:cs="Arial"/>
          <w:b/>
          <w:bCs/>
          <w:lang w:eastAsia="fr-FR"/>
        </w:rPr>
        <w:t xml:space="preserve">Modèle de création de valeur </w:t>
      </w:r>
    </w:p>
    <w:p w14:paraId="314DBA6D" w14:textId="77777777" w:rsidR="00B72A61" w:rsidRPr="009D4CD4" w:rsidRDefault="00B72A61" w:rsidP="00B72A61">
      <w:pPr>
        <w:spacing w:after="0" w:line="240" w:lineRule="auto"/>
        <w:jc w:val="left"/>
        <w:rPr>
          <w:rFonts w:asciiTheme="minorHAnsi" w:eastAsia="Times New Roman" w:hAnsiTheme="minorHAnsi" w:cs="Arial"/>
          <w:bCs/>
          <w:sz w:val="20"/>
          <w:szCs w:val="20"/>
          <w:lang w:eastAsia="fr-FR"/>
        </w:rPr>
      </w:pPr>
    </w:p>
    <w:tbl>
      <w:tblPr>
        <w:tblStyle w:val="Grilledutableau"/>
        <w:tblW w:w="0" w:type="auto"/>
        <w:tblLook w:val="04A0" w:firstRow="1" w:lastRow="0" w:firstColumn="1" w:lastColumn="0" w:noHBand="0" w:noVBand="1"/>
      </w:tblPr>
      <w:tblGrid>
        <w:gridCol w:w="2770"/>
        <w:gridCol w:w="7568"/>
      </w:tblGrid>
      <w:tr w:rsidR="00822AC9" w:rsidRPr="009D4CD4" w14:paraId="69F288ED" w14:textId="77777777" w:rsidTr="00523615">
        <w:tc>
          <w:tcPr>
            <w:tcW w:w="2802" w:type="dxa"/>
          </w:tcPr>
          <w:p w14:paraId="0DF5AEDC"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bCs/>
                <w:sz w:val="20"/>
                <w:szCs w:val="20"/>
                <w:lang w:eastAsia="fr-FR"/>
              </w:rPr>
              <w:t>Domaines-clé d’activité </w:t>
            </w:r>
          </w:p>
        </w:tc>
        <w:tc>
          <w:tcPr>
            <w:tcW w:w="7686" w:type="dxa"/>
          </w:tcPr>
          <w:p w14:paraId="2541D76F"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bCs/>
                <w:sz w:val="20"/>
                <w:szCs w:val="20"/>
                <w:lang w:eastAsia="fr-FR"/>
              </w:rPr>
              <w:t>Banque ; assurance</w:t>
            </w:r>
          </w:p>
        </w:tc>
      </w:tr>
      <w:tr w:rsidR="00B72A61" w:rsidRPr="009D4CD4" w14:paraId="0AFD78E6" w14:textId="77777777" w:rsidTr="00523615">
        <w:tc>
          <w:tcPr>
            <w:tcW w:w="2802" w:type="dxa"/>
          </w:tcPr>
          <w:p w14:paraId="187BD081"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sz w:val="20"/>
                <w:szCs w:val="20"/>
                <w:lang w:eastAsia="fr-FR"/>
              </w:rPr>
              <w:t>Produits et services </w:t>
            </w:r>
          </w:p>
        </w:tc>
        <w:tc>
          <w:tcPr>
            <w:tcW w:w="7686" w:type="dxa"/>
          </w:tcPr>
          <w:p w14:paraId="60FAA79F"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bCs/>
                <w:sz w:val="20"/>
                <w:szCs w:val="20"/>
                <w:lang w:eastAsia="fr-FR"/>
              </w:rPr>
              <w:t>Epargne ; crédits ; financements spécialisés; services bancaires; assurance des biens et des personnes ; assurance-vie et prévoyance ; protection ; gestion des flux.</w:t>
            </w:r>
          </w:p>
        </w:tc>
      </w:tr>
    </w:tbl>
    <w:p w14:paraId="3913C5E1" w14:textId="77777777" w:rsidR="00B72A61" w:rsidRPr="009D4CD4" w:rsidRDefault="00B72A61" w:rsidP="00B72A61">
      <w:pPr>
        <w:spacing w:after="0" w:line="240" w:lineRule="auto"/>
        <w:jc w:val="left"/>
        <w:rPr>
          <w:rFonts w:asciiTheme="minorHAnsi" w:eastAsia="Times New Roman" w:hAnsiTheme="minorHAnsi" w:cs="Arial"/>
          <w:bCs/>
          <w:sz w:val="20"/>
          <w:szCs w:val="20"/>
          <w:lang w:eastAsia="fr-FR"/>
        </w:rPr>
      </w:pPr>
    </w:p>
    <w:tbl>
      <w:tblPr>
        <w:tblW w:w="9114" w:type="dxa"/>
        <w:tblInd w:w="-42" w:type="dxa"/>
        <w:tblLayout w:type="fixed"/>
        <w:tblCellMar>
          <w:left w:w="70" w:type="dxa"/>
          <w:right w:w="70" w:type="dxa"/>
        </w:tblCellMar>
        <w:tblLook w:val="04A0" w:firstRow="1" w:lastRow="0" w:firstColumn="1" w:lastColumn="0" w:noHBand="0" w:noVBand="1"/>
      </w:tblPr>
      <w:tblGrid>
        <w:gridCol w:w="107"/>
        <w:gridCol w:w="2693"/>
        <w:gridCol w:w="1070"/>
        <w:gridCol w:w="1275"/>
        <w:gridCol w:w="1276"/>
        <w:gridCol w:w="1276"/>
        <w:gridCol w:w="1417"/>
      </w:tblGrid>
      <w:tr w:rsidR="008B3DE0" w:rsidRPr="009D4CD4" w14:paraId="4BAE920B" w14:textId="77777777" w:rsidTr="008B3DE0">
        <w:trPr>
          <w:gridBefore w:val="1"/>
          <w:wBefore w:w="107" w:type="dxa"/>
          <w:trHeight w:val="446"/>
        </w:trPr>
        <w:tc>
          <w:tcPr>
            <w:tcW w:w="2693" w:type="dxa"/>
            <w:tcBorders>
              <w:bottom w:val="single" w:sz="4" w:space="0" w:color="auto"/>
              <w:right w:val="single" w:sz="4" w:space="0" w:color="auto"/>
            </w:tcBorders>
            <w:shd w:val="clear" w:color="auto" w:fill="auto"/>
            <w:hideMark/>
          </w:tcPr>
          <w:p w14:paraId="469B16AA" w14:textId="4AF0D7E1" w:rsidR="008B3DE0" w:rsidRPr="009D4CD4" w:rsidRDefault="008B3DE0" w:rsidP="008B3DE0">
            <w:pPr>
              <w:spacing w:after="0" w:line="240" w:lineRule="auto"/>
              <w:jc w:val="left"/>
              <w:rPr>
                <w:rFonts w:asciiTheme="minorHAnsi" w:eastAsia="Times New Roman" w:hAnsiTheme="minorHAnsi" w:cs="Arial"/>
                <w:sz w:val="18"/>
                <w:szCs w:val="18"/>
                <w:lang w:eastAsia="fr-FR"/>
              </w:rPr>
            </w:pPr>
            <w:r w:rsidRPr="009D4CD4">
              <w:rPr>
                <w:rFonts w:asciiTheme="minorHAnsi" w:eastAsia="Times New Roman" w:hAnsiTheme="minorHAnsi" w:cs="Arial"/>
                <w:b/>
                <w:bCs/>
                <w:lang w:eastAsia="fr-FR"/>
              </w:rPr>
              <w:t>Clients</w:t>
            </w:r>
            <w:r>
              <w:rPr>
                <w:rFonts w:asciiTheme="minorHAnsi" w:eastAsia="Times New Roman" w:hAnsiTheme="minorHAnsi" w:cs="Arial"/>
                <w:b/>
                <w:bCs/>
                <w:lang w:eastAsia="fr-FR"/>
              </w:rPr>
              <w:t>, par type d’agent économique</w:t>
            </w:r>
            <w:r w:rsidRPr="009D4CD4">
              <w:rPr>
                <w:rFonts w:asciiTheme="minorHAnsi" w:eastAsia="Times New Roman" w:hAnsiTheme="minorHAnsi" w:cs="Arial"/>
                <w:b/>
                <w:bCs/>
                <w:lang w:eastAsia="fr-FR"/>
              </w:rPr>
              <w:t xml:space="preserve"> </w:t>
            </w:r>
          </w:p>
        </w:tc>
        <w:tc>
          <w:tcPr>
            <w:tcW w:w="1070" w:type="dxa"/>
            <w:tcBorders>
              <w:top w:val="single" w:sz="4" w:space="0" w:color="auto"/>
              <w:left w:val="single" w:sz="4" w:space="0" w:color="auto"/>
              <w:bottom w:val="single" w:sz="4" w:space="0" w:color="auto"/>
              <w:right w:val="single" w:sz="4" w:space="0" w:color="auto"/>
            </w:tcBorders>
            <w:shd w:val="clear" w:color="auto" w:fill="auto"/>
            <w:hideMark/>
          </w:tcPr>
          <w:p w14:paraId="46C14E00" w14:textId="77777777" w:rsidR="008B3DE0" w:rsidRPr="009D4CD4" w:rsidRDefault="008B3DE0" w:rsidP="00523615">
            <w:pPr>
              <w:spacing w:after="0" w:line="240" w:lineRule="auto"/>
              <w:jc w:val="left"/>
              <w:rPr>
                <w:rFonts w:asciiTheme="minorHAnsi" w:eastAsia="Times New Roman" w:hAnsiTheme="minorHAnsi" w:cs="Arial"/>
                <w:sz w:val="18"/>
                <w:szCs w:val="18"/>
                <w:lang w:eastAsia="fr-FR"/>
              </w:rPr>
            </w:pPr>
            <w:r w:rsidRPr="009D4CD4">
              <w:rPr>
                <w:rFonts w:asciiTheme="minorHAnsi" w:eastAsia="Times New Roman" w:hAnsiTheme="minorHAnsi" w:cs="Arial"/>
                <w:sz w:val="18"/>
                <w:szCs w:val="18"/>
                <w:lang w:eastAsia="fr-FR"/>
              </w:rPr>
              <w:t>Particuliers</w:t>
            </w:r>
          </w:p>
        </w:tc>
        <w:tc>
          <w:tcPr>
            <w:tcW w:w="1275" w:type="dxa"/>
            <w:tcBorders>
              <w:top w:val="single" w:sz="4" w:space="0" w:color="auto"/>
              <w:left w:val="nil"/>
              <w:bottom w:val="single" w:sz="4" w:space="0" w:color="auto"/>
              <w:right w:val="single" w:sz="4" w:space="0" w:color="auto"/>
            </w:tcBorders>
            <w:shd w:val="clear" w:color="auto" w:fill="auto"/>
            <w:hideMark/>
          </w:tcPr>
          <w:p w14:paraId="00DA3277" w14:textId="77777777" w:rsidR="008B3DE0" w:rsidRPr="009D4CD4" w:rsidRDefault="008B3DE0" w:rsidP="00523615">
            <w:pPr>
              <w:spacing w:after="0" w:line="240" w:lineRule="auto"/>
              <w:jc w:val="left"/>
              <w:rPr>
                <w:rFonts w:asciiTheme="minorHAnsi" w:eastAsia="Times New Roman" w:hAnsiTheme="minorHAnsi" w:cs="Arial"/>
                <w:sz w:val="18"/>
                <w:szCs w:val="18"/>
                <w:lang w:eastAsia="fr-FR"/>
              </w:rPr>
            </w:pPr>
            <w:r w:rsidRPr="009D4CD4">
              <w:rPr>
                <w:rFonts w:asciiTheme="minorHAnsi" w:eastAsia="Times New Roman" w:hAnsiTheme="minorHAnsi" w:cs="Arial"/>
                <w:sz w:val="18"/>
                <w:szCs w:val="18"/>
                <w:lang w:eastAsia="fr-FR"/>
              </w:rPr>
              <w:t>Professionnels</w:t>
            </w:r>
          </w:p>
        </w:tc>
        <w:tc>
          <w:tcPr>
            <w:tcW w:w="1276" w:type="dxa"/>
            <w:tcBorders>
              <w:top w:val="single" w:sz="4" w:space="0" w:color="auto"/>
              <w:left w:val="nil"/>
              <w:bottom w:val="single" w:sz="4" w:space="0" w:color="auto"/>
              <w:right w:val="single" w:sz="4" w:space="0" w:color="auto"/>
            </w:tcBorders>
            <w:shd w:val="clear" w:color="auto" w:fill="auto"/>
            <w:hideMark/>
          </w:tcPr>
          <w:p w14:paraId="4DCEB840" w14:textId="32D5480B" w:rsidR="008B3DE0" w:rsidRPr="009D4CD4" w:rsidRDefault="008B3DE0" w:rsidP="00523615">
            <w:pPr>
              <w:spacing w:after="0" w:line="240" w:lineRule="auto"/>
              <w:jc w:val="left"/>
              <w:rPr>
                <w:rFonts w:asciiTheme="minorHAnsi" w:eastAsia="Times New Roman" w:hAnsiTheme="minorHAnsi" w:cs="Arial"/>
                <w:sz w:val="18"/>
                <w:szCs w:val="18"/>
                <w:lang w:eastAsia="fr-FR"/>
              </w:rPr>
            </w:pPr>
            <w:r>
              <w:rPr>
                <w:rFonts w:asciiTheme="minorHAnsi" w:eastAsia="Times New Roman" w:hAnsiTheme="minorHAnsi" w:cs="Arial"/>
                <w:sz w:val="18"/>
                <w:szCs w:val="18"/>
                <w:lang w:eastAsia="fr-FR"/>
              </w:rPr>
              <w:t>Agriculture</w:t>
            </w:r>
          </w:p>
        </w:tc>
        <w:tc>
          <w:tcPr>
            <w:tcW w:w="1276" w:type="dxa"/>
            <w:tcBorders>
              <w:top w:val="single" w:sz="4" w:space="0" w:color="auto"/>
              <w:left w:val="nil"/>
              <w:bottom w:val="single" w:sz="4" w:space="0" w:color="auto"/>
              <w:right w:val="single" w:sz="4" w:space="0" w:color="auto"/>
            </w:tcBorders>
            <w:shd w:val="clear" w:color="auto" w:fill="auto"/>
            <w:hideMark/>
          </w:tcPr>
          <w:p w14:paraId="4574255C" w14:textId="77777777" w:rsidR="008B3DE0" w:rsidRPr="009D4CD4" w:rsidRDefault="008B3DE0" w:rsidP="00523615">
            <w:pPr>
              <w:spacing w:after="0" w:line="240" w:lineRule="auto"/>
              <w:jc w:val="left"/>
              <w:rPr>
                <w:rFonts w:asciiTheme="minorHAnsi" w:eastAsia="Times New Roman" w:hAnsiTheme="minorHAnsi" w:cs="Arial"/>
                <w:sz w:val="18"/>
                <w:szCs w:val="18"/>
                <w:lang w:eastAsia="fr-FR"/>
              </w:rPr>
            </w:pPr>
            <w:r w:rsidRPr="009D4CD4">
              <w:rPr>
                <w:rFonts w:asciiTheme="minorHAnsi" w:eastAsia="Times New Roman" w:hAnsiTheme="minorHAnsi" w:cs="Arial"/>
                <w:sz w:val="18"/>
                <w:szCs w:val="18"/>
                <w:lang w:eastAsia="fr-FR"/>
              </w:rPr>
              <w:t>Entreprises</w:t>
            </w:r>
          </w:p>
        </w:tc>
        <w:tc>
          <w:tcPr>
            <w:tcW w:w="1417" w:type="dxa"/>
            <w:tcBorders>
              <w:top w:val="single" w:sz="4" w:space="0" w:color="auto"/>
              <w:left w:val="nil"/>
              <w:bottom w:val="single" w:sz="4" w:space="0" w:color="auto"/>
              <w:right w:val="single" w:sz="4" w:space="0" w:color="auto"/>
            </w:tcBorders>
            <w:shd w:val="clear" w:color="auto" w:fill="auto"/>
            <w:hideMark/>
          </w:tcPr>
          <w:p w14:paraId="13CA1C5B" w14:textId="364089AD" w:rsidR="008B3DE0" w:rsidRPr="009D4CD4" w:rsidRDefault="008B3DE0" w:rsidP="00523615">
            <w:pPr>
              <w:spacing w:after="0" w:line="240" w:lineRule="auto"/>
              <w:jc w:val="left"/>
              <w:rPr>
                <w:rFonts w:asciiTheme="minorHAnsi" w:eastAsia="Times New Roman" w:hAnsiTheme="minorHAnsi" w:cs="Arial"/>
                <w:sz w:val="18"/>
                <w:szCs w:val="18"/>
                <w:lang w:eastAsia="fr-FR"/>
              </w:rPr>
            </w:pPr>
            <w:r>
              <w:rPr>
                <w:rFonts w:asciiTheme="minorHAnsi" w:eastAsia="Times New Roman" w:hAnsiTheme="minorHAnsi" w:cs="Arial"/>
                <w:sz w:val="18"/>
                <w:szCs w:val="18"/>
                <w:lang w:eastAsia="fr-FR"/>
              </w:rPr>
              <w:t>Autres</w:t>
            </w:r>
          </w:p>
        </w:tc>
      </w:tr>
      <w:tr w:rsidR="008B3DE0" w:rsidRPr="009D4CD4" w14:paraId="638F8B04" w14:textId="77777777" w:rsidTr="008B3DE0">
        <w:trPr>
          <w:trHeight w:val="255"/>
        </w:trPr>
        <w:tc>
          <w:tcPr>
            <w:tcW w:w="28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2598AD" w14:textId="1D7E029E" w:rsidR="008B3DE0" w:rsidRPr="009D4CD4" w:rsidRDefault="008B3DE0" w:rsidP="007F7706">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Total : 698 739</w:t>
            </w:r>
          </w:p>
        </w:tc>
        <w:tc>
          <w:tcPr>
            <w:tcW w:w="1070" w:type="dxa"/>
            <w:tcBorders>
              <w:top w:val="single" w:sz="4" w:space="0" w:color="auto"/>
              <w:left w:val="nil"/>
              <w:bottom w:val="single" w:sz="4" w:space="0" w:color="auto"/>
              <w:right w:val="single" w:sz="4" w:space="0" w:color="auto"/>
            </w:tcBorders>
            <w:shd w:val="clear" w:color="auto" w:fill="auto"/>
            <w:noWrap/>
            <w:vAlign w:val="center"/>
            <w:hideMark/>
          </w:tcPr>
          <w:p w14:paraId="545ECECE" w14:textId="760FEAE9" w:rsidR="008B3DE0" w:rsidRPr="009D4CD4" w:rsidRDefault="008B3DE0" w:rsidP="00523615">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551 202</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5430AA40" w14:textId="638ECA51" w:rsidR="008B3DE0" w:rsidRPr="009D4CD4" w:rsidRDefault="008B3DE0" w:rsidP="00523615">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48 279</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A003BEE" w14:textId="425C1698" w:rsidR="008B3DE0" w:rsidRPr="009D4CD4" w:rsidRDefault="008B3DE0" w:rsidP="00523615">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46 190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B527409" w14:textId="4CB4E787" w:rsidR="008B3DE0" w:rsidRPr="009D4CD4" w:rsidRDefault="008B3DE0" w:rsidP="00523615">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29 026</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53A2AFA" w14:textId="6E9F9D6F" w:rsidR="008B3DE0" w:rsidRPr="009D4CD4" w:rsidRDefault="008B3DE0" w:rsidP="00523615">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24042</w:t>
            </w:r>
          </w:p>
        </w:tc>
      </w:tr>
      <w:tr w:rsidR="008B3DE0" w:rsidRPr="009D4CD4" w14:paraId="711E5988" w14:textId="77777777" w:rsidTr="008B3DE0">
        <w:trPr>
          <w:trHeight w:val="255"/>
        </w:trPr>
        <w:tc>
          <w:tcPr>
            <w:tcW w:w="28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D4FC43" w14:textId="0F0E3AF2" w:rsidR="008B3DE0" w:rsidRPr="009D4CD4" w:rsidRDefault="008B3DE0" w:rsidP="00523615">
            <w:pPr>
              <w:spacing w:after="0" w:line="240" w:lineRule="auto"/>
              <w:jc w:val="left"/>
              <w:rPr>
                <w:rFonts w:asciiTheme="minorHAnsi" w:eastAsia="Times New Roman" w:hAnsiTheme="minorHAnsi" w:cs="Arial"/>
                <w:sz w:val="20"/>
                <w:szCs w:val="20"/>
                <w:lang w:eastAsia="fr-FR"/>
              </w:rPr>
            </w:pPr>
            <w:r w:rsidRPr="009D4CD4">
              <w:rPr>
                <w:rFonts w:asciiTheme="minorHAnsi" w:eastAsia="Times New Roman" w:hAnsiTheme="minorHAnsi" w:cs="Arial"/>
                <w:sz w:val="20"/>
                <w:szCs w:val="20"/>
                <w:lang w:eastAsia="fr-FR"/>
              </w:rPr>
              <w:t>Poids : 100,0</w:t>
            </w:r>
            <w:r w:rsidR="00F0789C">
              <w:rPr>
                <w:rFonts w:asciiTheme="minorHAnsi" w:eastAsia="Times New Roman" w:hAnsiTheme="minorHAnsi" w:cs="Arial"/>
                <w:sz w:val="20"/>
                <w:szCs w:val="20"/>
                <w:lang w:eastAsia="fr-FR"/>
              </w:rPr>
              <w:t xml:space="preserve">0 </w:t>
            </w:r>
            <w:r w:rsidRPr="009D4CD4">
              <w:rPr>
                <w:rFonts w:asciiTheme="minorHAnsi" w:eastAsia="Times New Roman" w:hAnsiTheme="minorHAnsi" w:cs="Arial"/>
                <w:sz w:val="20"/>
                <w:szCs w:val="20"/>
                <w:lang w:eastAsia="fr-FR"/>
              </w:rPr>
              <w:t>%</w:t>
            </w:r>
          </w:p>
        </w:tc>
        <w:tc>
          <w:tcPr>
            <w:tcW w:w="1070" w:type="dxa"/>
            <w:tcBorders>
              <w:top w:val="single" w:sz="4" w:space="0" w:color="auto"/>
              <w:left w:val="nil"/>
              <w:bottom w:val="single" w:sz="4" w:space="0" w:color="auto"/>
              <w:right w:val="single" w:sz="4" w:space="0" w:color="auto"/>
            </w:tcBorders>
            <w:shd w:val="clear" w:color="auto" w:fill="auto"/>
            <w:noWrap/>
            <w:vAlign w:val="bottom"/>
            <w:hideMark/>
          </w:tcPr>
          <w:p w14:paraId="49DE47B8" w14:textId="7A204F6E" w:rsidR="008B3DE0" w:rsidRPr="009D4CD4" w:rsidRDefault="008B3DE0" w:rsidP="002F37EA">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78</w:t>
            </w:r>
            <w:r w:rsidR="00F0789C">
              <w:rPr>
                <w:rFonts w:asciiTheme="minorHAnsi" w:eastAsia="Times New Roman" w:hAnsiTheme="minorHAnsi" w:cs="Arial"/>
                <w:sz w:val="20"/>
                <w:szCs w:val="20"/>
                <w:lang w:eastAsia="fr-FR"/>
              </w:rPr>
              <w:t>.89</w:t>
            </w:r>
            <w:r w:rsidRPr="009D4CD4">
              <w:rPr>
                <w:rFonts w:asciiTheme="minorHAnsi" w:eastAsia="Times New Roman" w:hAnsiTheme="minorHAnsi" w:cs="Arial"/>
                <w:sz w:val="20"/>
                <w:szCs w:val="20"/>
                <w:lang w:eastAsia="fr-FR"/>
              </w:rPr>
              <w:t xml:space="preserve"> %</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6F722C37" w14:textId="2151F7BE" w:rsidR="008B3DE0" w:rsidRPr="009D4CD4" w:rsidRDefault="00F0789C" w:rsidP="00523615">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6.91</w:t>
            </w:r>
            <w:r w:rsidR="008B3DE0" w:rsidRPr="009D4CD4">
              <w:rPr>
                <w:rFonts w:asciiTheme="minorHAnsi" w:eastAsia="Times New Roman" w:hAnsiTheme="minorHAnsi" w:cs="Arial"/>
                <w:sz w:val="20"/>
                <w:szCs w:val="20"/>
                <w:lang w:eastAsia="fr-FR"/>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0A173A09" w14:textId="73C436F1" w:rsidR="008B3DE0" w:rsidRPr="009D4CD4" w:rsidRDefault="00F0789C" w:rsidP="00F0789C">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6.61</w:t>
            </w:r>
            <w:r w:rsidR="008B3DE0" w:rsidRPr="009D4CD4">
              <w:rPr>
                <w:rFonts w:asciiTheme="minorHAnsi" w:eastAsia="Times New Roman" w:hAnsiTheme="minorHAnsi" w:cs="Arial"/>
                <w:sz w:val="20"/>
                <w:szCs w:val="20"/>
                <w:lang w:eastAsia="fr-FR"/>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5F8CFADD" w14:textId="7BAA1F84" w:rsidR="008B3DE0" w:rsidRPr="009D4CD4" w:rsidRDefault="00F0789C" w:rsidP="00523615">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4.15</w:t>
            </w:r>
            <w:r w:rsidR="008B3DE0" w:rsidRPr="009D4CD4">
              <w:rPr>
                <w:rFonts w:asciiTheme="minorHAnsi" w:eastAsia="Times New Roman" w:hAnsiTheme="minorHAnsi" w:cs="Arial"/>
                <w:sz w:val="20"/>
                <w:szCs w:val="20"/>
                <w:lang w:eastAsia="fr-FR"/>
              </w:rPr>
              <w:t xml:space="preserve"> %</w:t>
            </w:r>
            <w:r w:rsidR="008B3DE0">
              <w:rPr>
                <w:rFonts w:asciiTheme="minorHAnsi" w:eastAsia="Times New Roman" w:hAnsiTheme="minorHAnsi" w:cs="Arial"/>
                <w:sz w:val="20"/>
                <w:szCs w:val="20"/>
                <w:lang w:eastAsia="fr-FR"/>
              </w:rPr>
              <w:t xml:space="preserve">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3E80E001" w14:textId="4588943D" w:rsidR="008B3DE0" w:rsidRPr="009D4CD4" w:rsidRDefault="00F0789C" w:rsidP="00523615">
            <w:pPr>
              <w:spacing w:after="0" w:line="240" w:lineRule="auto"/>
              <w:jc w:val="left"/>
              <w:rPr>
                <w:rFonts w:asciiTheme="minorHAnsi" w:eastAsia="Times New Roman" w:hAnsiTheme="minorHAnsi" w:cs="Arial"/>
                <w:sz w:val="20"/>
                <w:szCs w:val="20"/>
                <w:lang w:eastAsia="fr-FR"/>
              </w:rPr>
            </w:pPr>
            <w:r>
              <w:rPr>
                <w:rFonts w:asciiTheme="minorHAnsi" w:eastAsia="Times New Roman" w:hAnsiTheme="minorHAnsi" w:cs="Arial"/>
                <w:sz w:val="20"/>
                <w:szCs w:val="20"/>
                <w:lang w:eastAsia="fr-FR"/>
              </w:rPr>
              <w:t>3.44</w:t>
            </w:r>
            <w:r w:rsidR="008B3DE0" w:rsidRPr="009D4CD4">
              <w:rPr>
                <w:rFonts w:asciiTheme="minorHAnsi" w:eastAsia="Times New Roman" w:hAnsiTheme="minorHAnsi" w:cs="Arial"/>
                <w:sz w:val="20"/>
                <w:szCs w:val="20"/>
                <w:lang w:eastAsia="fr-FR"/>
              </w:rPr>
              <w:t xml:space="preserve"> %</w:t>
            </w:r>
          </w:p>
        </w:tc>
      </w:tr>
    </w:tbl>
    <w:p w14:paraId="416556CE" w14:textId="77777777" w:rsidR="008B3DE0" w:rsidRPr="009D4CD4" w:rsidRDefault="008B3DE0" w:rsidP="00B72A61">
      <w:pPr>
        <w:spacing w:after="0" w:line="240" w:lineRule="auto"/>
        <w:jc w:val="left"/>
        <w:rPr>
          <w:rFonts w:asciiTheme="minorHAnsi" w:eastAsia="Times New Roman" w:hAnsiTheme="minorHAnsi" w:cs="Arial"/>
          <w:sz w:val="20"/>
          <w:szCs w:val="20"/>
          <w:lang w:eastAsia="fr-FR"/>
        </w:rPr>
      </w:pPr>
    </w:p>
    <w:p w14:paraId="0805A983" w14:textId="4697BE9F" w:rsidR="00B72A61" w:rsidRPr="009D4CD4" w:rsidRDefault="00B72A61" w:rsidP="00B72A61">
      <w:pPr>
        <w:spacing w:after="0" w:line="240" w:lineRule="auto"/>
        <w:jc w:val="left"/>
        <w:rPr>
          <w:rFonts w:asciiTheme="minorHAnsi" w:eastAsia="Times New Roman" w:hAnsiTheme="minorHAnsi" w:cs="Arial"/>
          <w:b/>
          <w:bCs/>
          <w:sz w:val="20"/>
          <w:szCs w:val="20"/>
          <w:lang w:eastAsia="fr-FR"/>
        </w:rPr>
      </w:pPr>
      <w:r w:rsidRPr="009D4CD4">
        <w:rPr>
          <w:rFonts w:asciiTheme="minorHAnsi" w:eastAsia="Times New Roman" w:hAnsiTheme="minorHAnsi" w:cs="Arial"/>
          <w:b/>
          <w:bCs/>
          <w:sz w:val="20"/>
          <w:szCs w:val="20"/>
          <w:lang w:eastAsia="fr-FR"/>
        </w:rPr>
        <w:t xml:space="preserve">Principaux </w:t>
      </w:r>
      <w:r w:rsidR="00D4132A" w:rsidRPr="009D4CD4">
        <w:rPr>
          <w:rFonts w:asciiTheme="minorHAnsi" w:eastAsia="Times New Roman" w:hAnsiTheme="minorHAnsi" w:cs="Arial"/>
          <w:b/>
          <w:bCs/>
          <w:sz w:val="20"/>
          <w:szCs w:val="20"/>
          <w:lang w:eastAsia="fr-FR"/>
        </w:rPr>
        <w:t>résultats 2021</w:t>
      </w:r>
    </w:p>
    <w:p w14:paraId="5C44BA70" w14:textId="77777777" w:rsidR="00B72A61" w:rsidRPr="009D4CD4" w:rsidRDefault="00B72A61" w:rsidP="00B72A61">
      <w:pPr>
        <w:spacing w:after="0" w:line="240" w:lineRule="auto"/>
        <w:jc w:val="left"/>
        <w:rPr>
          <w:rFonts w:asciiTheme="minorHAnsi" w:eastAsia="Times New Roman" w:hAnsiTheme="minorHAnsi" w:cs="Arial"/>
          <w:bCs/>
          <w:sz w:val="20"/>
          <w:szCs w:val="20"/>
          <w:lang w:eastAsia="fr-FR"/>
        </w:rPr>
      </w:pPr>
    </w:p>
    <w:tbl>
      <w:tblPr>
        <w:tblStyle w:val="Grilledutableau"/>
        <w:tblW w:w="0" w:type="auto"/>
        <w:tblLook w:val="04A0" w:firstRow="1" w:lastRow="0" w:firstColumn="1" w:lastColumn="0" w:noHBand="0" w:noVBand="1"/>
      </w:tblPr>
      <w:tblGrid>
        <w:gridCol w:w="2765"/>
        <w:gridCol w:w="3919"/>
        <w:gridCol w:w="3654"/>
      </w:tblGrid>
      <w:tr w:rsidR="00822AC9" w:rsidRPr="009D4CD4" w14:paraId="0D62B6F3" w14:textId="77777777" w:rsidTr="001C7EA2">
        <w:tc>
          <w:tcPr>
            <w:tcW w:w="2765" w:type="dxa"/>
            <w:tcBorders>
              <w:bottom w:val="single" w:sz="4" w:space="0" w:color="auto"/>
            </w:tcBorders>
            <w:shd w:val="clear" w:color="auto" w:fill="auto"/>
          </w:tcPr>
          <w:p w14:paraId="53B14F33"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sz w:val="20"/>
                <w:szCs w:val="20"/>
                <w:lang w:eastAsia="fr-FR"/>
              </w:rPr>
              <w:t>Valeur créée (PNB, en M€)</w:t>
            </w:r>
          </w:p>
        </w:tc>
        <w:tc>
          <w:tcPr>
            <w:tcW w:w="7573" w:type="dxa"/>
            <w:gridSpan w:val="2"/>
            <w:shd w:val="clear" w:color="auto" w:fill="auto"/>
          </w:tcPr>
          <w:p w14:paraId="543842AD" w14:textId="184886AC" w:rsidR="007F7706" w:rsidRPr="009D4CD4" w:rsidRDefault="000D5B41"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399,4</w:t>
            </w:r>
          </w:p>
        </w:tc>
      </w:tr>
      <w:tr w:rsidR="001C7EA2" w:rsidRPr="009D4CD4" w14:paraId="59CD1091" w14:textId="77777777" w:rsidTr="001C7EA2">
        <w:trPr>
          <w:trHeight w:val="284"/>
        </w:trPr>
        <w:tc>
          <w:tcPr>
            <w:tcW w:w="2765" w:type="dxa"/>
            <w:tcBorders>
              <w:top w:val="single" w:sz="4" w:space="0" w:color="auto"/>
              <w:left w:val="single" w:sz="4" w:space="0" w:color="auto"/>
              <w:bottom w:val="nil"/>
              <w:right w:val="single" w:sz="4" w:space="0" w:color="auto"/>
            </w:tcBorders>
            <w:shd w:val="clear" w:color="auto" w:fill="auto"/>
          </w:tcPr>
          <w:p w14:paraId="1F11426D"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 xml:space="preserve">Utilisation de la valeur créée </w:t>
            </w:r>
          </w:p>
        </w:tc>
        <w:tc>
          <w:tcPr>
            <w:tcW w:w="3919" w:type="dxa"/>
            <w:tcBorders>
              <w:left w:val="single" w:sz="4" w:space="0" w:color="auto"/>
            </w:tcBorders>
            <w:shd w:val="clear" w:color="auto" w:fill="auto"/>
          </w:tcPr>
          <w:p w14:paraId="742E0146"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Salaires, intéressement et participation </w:t>
            </w:r>
          </w:p>
        </w:tc>
        <w:tc>
          <w:tcPr>
            <w:tcW w:w="3654" w:type="dxa"/>
            <w:shd w:val="clear" w:color="auto" w:fill="auto"/>
          </w:tcPr>
          <w:p w14:paraId="23F3C4AE" w14:textId="4119C780" w:rsidR="001C7EA2" w:rsidRPr="009D4CD4" w:rsidRDefault="00D4132A"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146,4</w:t>
            </w:r>
          </w:p>
        </w:tc>
      </w:tr>
      <w:tr w:rsidR="001C7EA2" w:rsidRPr="009D4CD4" w14:paraId="26FF7022" w14:textId="77777777" w:rsidTr="001C7EA2">
        <w:trPr>
          <w:trHeight w:hRule="exact" w:val="340"/>
        </w:trPr>
        <w:tc>
          <w:tcPr>
            <w:tcW w:w="2765" w:type="dxa"/>
            <w:tcBorders>
              <w:top w:val="nil"/>
              <w:left w:val="single" w:sz="4" w:space="0" w:color="auto"/>
              <w:bottom w:val="nil"/>
              <w:right w:val="single" w:sz="4" w:space="0" w:color="auto"/>
            </w:tcBorders>
            <w:shd w:val="clear" w:color="auto" w:fill="auto"/>
          </w:tcPr>
          <w:p w14:paraId="2B015DD9"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(en M€)</w:t>
            </w:r>
          </w:p>
        </w:tc>
        <w:tc>
          <w:tcPr>
            <w:tcW w:w="3919" w:type="dxa"/>
            <w:tcBorders>
              <w:left w:val="single" w:sz="4" w:space="0" w:color="auto"/>
            </w:tcBorders>
            <w:shd w:val="clear" w:color="auto" w:fill="auto"/>
          </w:tcPr>
          <w:p w14:paraId="6E7A1922"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Renforcement Fonds propres </w:t>
            </w:r>
          </w:p>
        </w:tc>
        <w:tc>
          <w:tcPr>
            <w:tcW w:w="3654" w:type="dxa"/>
            <w:shd w:val="clear" w:color="auto" w:fill="auto"/>
          </w:tcPr>
          <w:p w14:paraId="5D231C3E" w14:textId="19E3A36B" w:rsidR="001C7EA2" w:rsidRPr="009D4CD4" w:rsidRDefault="00D4132A" w:rsidP="0024421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106,73</w:t>
            </w:r>
          </w:p>
        </w:tc>
      </w:tr>
      <w:tr w:rsidR="001C7EA2" w:rsidRPr="009D4CD4" w14:paraId="1C9F0A15" w14:textId="77777777" w:rsidTr="001C7EA2">
        <w:trPr>
          <w:trHeight w:hRule="exact" w:val="340"/>
        </w:trPr>
        <w:tc>
          <w:tcPr>
            <w:tcW w:w="2765" w:type="dxa"/>
            <w:tcBorders>
              <w:top w:val="nil"/>
              <w:left w:val="single" w:sz="4" w:space="0" w:color="auto"/>
              <w:bottom w:val="nil"/>
              <w:right w:val="single" w:sz="4" w:space="0" w:color="auto"/>
            </w:tcBorders>
            <w:shd w:val="clear" w:color="auto" w:fill="auto"/>
          </w:tcPr>
          <w:p w14:paraId="307D9AA0" w14:textId="77777777" w:rsidR="001C7EA2" w:rsidRPr="009D4CD4" w:rsidRDefault="001C7EA2" w:rsidP="001C7EA2">
            <w:pPr>
              <w:spacing w:after="0" w:line="240" w:lineRule="auto"/>
              <w:jc w:val="left"/>
              <w:rPr>
                <w:rFonts w:asciiTheme="minorHAnsi" w:hAnsiTheme="minorHAnsi" w:cs="Arial"/>
                <w:sz w:val="20"/>
                <w:szCs w:val="20"/>
                <w:lang w:eastAsia="fr-FR"/>
              </w:rPr>
            </w:pPr>
          </w:p>
        </w:tc>
        <w:tc>
          <w:tcPr>
            <w:tcW w:w="3919" w:type="dxa"/>
            <w:tcBorders>
              <w:left w:val="single" w:sz="4" w:space="0" w:color="auto"/>
            </w:tcBorders>
            <w:shd w:val="clear" w:color="auto" w:fill="auto"/>
          </w:tcPr>
          <w:p w14:paraId="5DA1B088"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Achats et autres charges </w:t>
            </w:r>
          </w:p>
        </w:tc>
        <w:tc>
          <w:tcPr>
            <w:tcW w:w="3654" w:type="dxa"/>
            <w:shd w:val="clear" w:color="auto" w:fill="auto"/>
          </w:tcPr>
          <w:p w14:paraId="1EFE4B64" w14:textId="10D4813E" w:rsidR="001C7EA2" w:rsidRPr="009D4CD4" w:rsidRDefault="00D4132A" w:rsidP="0024421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79,7</w:t>
            </w:r>
          </w:p>
        </w:tc>
      </w:tr>
      <w:tr w:rsidR="001C7EA2" w:rsidRPr="009D4CD4" w14:paraId="6D9C6131" w14:textId="77777777" w:rsidTr="001C7EA2">
        <w:trPr>
          <w:trHeight w:hRule="exact" w:val="340"/>
        </w:trPr>
        <w:tc>
          <w:tcPr>
            <w:tcW w:w="2765" w:type="dxa"/>
            <w:tcBorders>
              <w:top w:val="nil"/>
              <w:left w:val="single" w:sz="4" w:space="0" w:color="auto"/>
              <w:bottom w:val="nil"/>
              <w:right w:val="single" w:sz="4" w:space="0" w:color="auto"/>
            </w:tcBorders>
            <w:shd w:val="clear" w:color="auto" w:fill="auto"/>
          </w:tcPr>
          <w:p w14:paraId="1C527770" w14:textId="77777777" w:rsidR="001C7EA2" w:rsidRPr="009D4CD4" w:rsidRDefault="001C7EA2" w:rsidP="001C7EA2">
            <w:pPr>
              <w:spacing w:after="0" w:line="240" w:lineRule="auto"/>
              <w:jc w:val="left"/>
              <w:rPr>
                <w:rFonts w:asciiTheme="minorHAnsi" w:hAnsiTheme="minorHAnsi" w:cs="Arial"/>
                <w:sz w:val="20"/>
                <w:szCs w:val="20"/>
                <w:lang w:eastAsia="fr-FR"/>
              </w:rPr>
            </w:pPr>
          </w:p>
        </w:tc>
        <w:tc>
          <w:tcPr>
            <w:tcW w:w="3919" w:type="dxa"/>
            <w:tcBorders>
              <w:left w:val="single" w:sz="4" w:space="0" w:color="auto"/>
            </w:tcBorders>
            <w:shd w:val="clear" w:color="auto" w:fill="auto"/>
          </w:tcPr>
          <w:p w14:paraId="22BCB2D2"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Impôts </w:t>
            </w:r>
          </w:p>
        </w:tc>
        <w:tc>
          <w:tcPr>
            <w:tcW w:w="3654" w:type="dxa"/>
            <w:shd w:val="clear" w:color="auto" w:fill="auto"/>
          </w:tcPr>
          <w:p w14:paraId="3C24DF6E" w14:textId="326F8339" w:rsidR="001C7EA2" w:rsidRPr="009D4CD4" w:rsidRDefault="00D4132A" w:rsidP="0024421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39,57</w:t>
            </w:r>
          </w:p>
        </w:tc>
      </w:tr>
      <w:tr w:rsidR="001C7EA2" w:rsidRPr="009D4CD4" w14:paraId="7FBE562B" w14:textId="77777777" w:rsidTr="001C7EA2">
        <w:trPr>
          <w:trHeight w:hRule="exact" w:val="340"/>
        </w:trPr>
        <w:tc>
          <w:tcPr>
            <w:tcW w:w="2765" w:type="dxa"/>
            <w:tcBorders>
              <w:top w:val="nil"/>
              <w:left w:val="single" w:sz="4" w:space="0" w:color="auto"/>
              <w:bottom w:val="nil"/>
              <w:right w:val="single" w:sz="4" w:space="0" w:color="auto"/>
            </w:tcBorders>
            <w:shd w:val="clear" w:color="auto" w:fill="auto"/>
          </w:tcPr>
          <w:p w14:paraId="234973A9" w14:textId="77777777" w:rsidR="001C7EA2" w:rsidRPr="009D4CD4" w:rsidRDefault="001C7EA2" w:rsidP="001C7EA2">
            <w:pPr>
              <w:spacing w:after="0" w:line="240" w:lineRule="auto"/>
              <w:jc w:val="left"/>
              <w:rPr>
                <w:rFonts w:asciiTheme="minorHAnsi" w:hAnsiTheme="minorHAnsi" w:cs="Arial"/>
                <w:sz w:val="20"/>
                <w:szCs w:val="20"/>
                <w:lang w:eastAsia="fr-FR"/>
              </w:rPr>
            </w:pPr>
          </w:p>
        </w:tc>
        <w:tc>
          <w:tcPr>
            <w:tcW w:w="3919" w:type="dxa"/>
            <w:tcBorders>
              <w:left w:val="single" w:sz="4" w:space="0" w:color="auto"/>
            </w:tcBorders>
            <w:shd w:val="clear" w:color="auto" w:fill="auto"/>
          </w:tcPr>
          <w:p w14:paraId="53E6F2BC"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Coût du risque </w:t>
            </w:r>
          </w:p>
        </w:tc>
        <w:tc>
          <w:tcPr>
            <w:tcW w:w="3654" w:type="dxa"/>
            <w:shd w:val="clear" w:color="auto" w:fill="auto"/>
          </w:tcPr>
          <w:p w14:paraId="5DFAF60E" w14:textId="3BBC5BD1" w:rsidR="001C7EA2" w:rsidRPr="009D4CD4" w:rsidRDefault="00D4132A" w:rsidP="0024421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-14,02</w:t>
            </w:r>
          </w:p>
        </w:tc>
      </w:tr>
      <w:tr w:rsidR="001C7EA2" w:rsidRPr="009D4CD4" w14:paraId="195E9F05" w14:textId="77777777" w:rsidTr="001C7EA2">
        <w:trPr>
          <w:trHeight w:hRule="exact" w:val="340"/>
        </w:trPr>
        <w:tc>
          <w:tcPr>
            <w:tcW w:w="2765" w:type="dxa"/>
            <w:tcBorders>
              <w:top w:val="nil"/>
              <w:left w:val="single" w:sz="4" w:space="0" w:color="auto"/>
              <w:bottom w:val="nil"/>
              <w:right w:val="single" w:sz="4" w:space="0" w:color="auto"/>
            </w:tcBorders>
            <w:shd w:val="clear" w:color="auto" w:fill="auto"/>
          </w:tcPr>
          <w:p w14:paraId="43FC9CB7" w14:textId="77777777" w:rsidR="001C7EA2" w:rsidRPr="009D4CD4" w:rsidRDefault="001C7EA2" w:rsidP="001C7EA2">
            <w:pPr>
              <w:spacing w:after="0" w:line="240" w:lineRule="auto"/>
              <w:jc w:val="left"/>
              <w:rPr>
                <w:rFonts w:asciiTheme="minorHAnsi" w:hAnsiTheme="minorHAnsi" w:cs="Arial"/>
                <w:sz w:val="20"/>
                <w:szCs w:val="20"/>
                <w:lang w:eastAsia="fr-FR"/>
              </w:rPr>
            </w:pPr>
          </w:p>
        </w:tc>
        <w:tc>
          <w:tcPr>
            <w:tcW w:w="3919" w:type="dxa"/>
            <w:tcBorders>
              <w:left w:val="single" w:sz="4" w:space="0" w:color="auto"/>
            </w:tcBorders>
            <w:shd w:val="clear" w:color="auto" w:fill="auto"/>
          </w:tcPr>
          <w:p w14:paraId="4D15044D"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Investissements </w:t>
            </w:r>
          </w:p>
        </w:tc>
        <w:tc>
          <w:tcPr>
            <w:tcW w:w="3654" w:type="dxa"/>
            <w:shd w:val="clear" w:color="auto" w:fill="auto"/>
          </w:tcPr>
          <w:p w14:paraId="3A52E66C" w14:textId="0F4E763B" w:rsidR="001C7EA2" w:rsidRPr="009D4CD4" w:rsidRDefault="00D4132A" w:rsidP="0024421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16,22</w:t>
            </w:r>
          </w:p>
        </w:tc>
      </w:tr>
      <w:tr w:rsidR="001C7EA2" w:rsidRPr="009D4CD4" w14:paraId="57CF7752" w14:textId="77777777" w:rsidTr="001C7EA2">
        <w:trPr>
          <w:trHeight w:hRule="exact" w:val="340"/>
        </w:trPr>
        <w:tc>
          <w:tcPr>
            <w:tcW w:w="2765" w:type="dxa"/>
            <w:tcBorders>
              <w:top w:val="nil"/>
              <w:left w:val="single" w:sz="4" w:space="0" w:color="auto"/>
              <w:bottom w:val="single" w:sz="4" w:space="0" w:color="auto"/>
              <w:right w:val="single" w:sz="4" w:space="0" w:color="auto"/>
            </w:tcBorders>
            <w:shd w:val="clear" w:color="auto" w:fill="auto"/>
          </w:tcPr>
          <w:p w14:paraId="5E0737DD" w14:textId="77777777" w:rsidR="001C7EA2" w:rsidRPr="009D4CD4" w:rsidRDefault="001C7EA2" w:rsidP="001C7EA2">
            <w:pPr>
              <w:spacing w:after="0" w:line="240" w:lineRule="auto"/>
              <w:jc w:val="left"/>
              <w:rPr>
                <w:rFonts w:asciiTheme="minorHAnsi" w:hAnsiTheme="minorHAnsi" w:cs="Arial"/>
                <w:sz w:val="20"/>
                <w:szCs w:val="20"/>
                <w:lang w:eastAsia="fr-FR"/>
              </w:rPr>
            </w:pPr>
          </w:p>
        </w:tc>
        <w:tc>
          <w:tcPr>
            <w:tcW w:w="3919" w:type="dxa"/>
            <w:tcBorders>
              <w:left w:val="single" w:sz="4" w:space="0" w:color="auto"/>
            </w:tcBorders>
            <w:shd w:val="clear" w:color="auto" w:fill="auto"/>
          </w:tcPr>
          <w:p w14:paraId="55F70A33" w14:textId="77777777" w:rsidR="001C7EA2" w:rsidRPr="009D4CD4" w:rsidRDefault="001C7EA2"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Divers</w:t>
            </w:r>
            <w:r w:rsidRPr="009D4CD4">
              <w:rPr>
                <w:rFonts w:asciiTheme="minorHAnsi" w:hAnsiTheme="minorHAnsi" w:cs="Arial"/>
                <w:sz w:val="18"/>
                <w:szCs w:val="18"/>
                <w:lang w:eastAsia="fr-FR"/>
              </w:rPr>
              <w:t> :</w:t>
            </w:r>
            <w:r w:rsidRPr="009D4CD4">
              <w:rPr>
                <w:rFonts w:asciiTheme="minorHAnsi" w:hAnsiTheme="minorHAnsi" w:cs="Arial"/>
                <w:sz w:val="16"/>
                <w:szCs w:val="16"/>
                <w:lang w:eastAsia="fr-FR"/>
              </w:rPr>
              <w:t>FRBG, RNAI, rému. CCA, intérêts parts sociales</w:t>
            </w:r>
          </w:p>
        </w:tc>
        <w:tc>
          <w:tcPr>
            <w:tcW w:w="3654" w:type="dxa"/>
            <w:shd w:val="clear" w:color="auto" w:fill="auto"/>
          </w:tcPr>
          <w:p w14:paraId="014F3C78" w14:textId="06CB2E69" w:rsidR="001C7EA2" w:rsidRPr="009D4CD4" w:rsidRDefault="00D4132A" w:rsidP="0024421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24,84</w:t>
            </w:r>
          </w:p>
        </w:tc>
      </w:tr>
    </w:tbl>
    <w:p w14:paraId="60D920D5" w14:textId="77777777" w:rsidR="00D4132A" w:rsidRPr="009D4CD4" w:rsidRDefault="00D4132A" w:rsidP="00B72A61">
      <w:pPr>
        <w:spacing w:after="0" w:line="240" w:lineRule="auto"/>
        <w:jc w:val="left"/>
        <w:rPr>
          <w:rFonts w:asciiTheme="minorHAnsi" w:eastAsia="Times New Roman" w:hAnsiTheme="minorHAnsi" w:cs="Arial"/>
          <w:sz w:val="20"/>
          <w:szCs w:val="20"/>
          <w:lang w:eastAsia="fr-FR"/>
        </w:rPr>
      </w:pPr>
    </w:p>
    <w:tbl>
      <w:tblPr>
        <w:tblStyle w:val="Grilledutableau"/>
        <w:tblW w:w="0" w:type="auto"/>
        <w:tblLook w:val="04A0" w:firstRow="1" w:lastRow="0" w:firstColumn="1" w:lastColumn="0" w:noHBand="0" w:noVBand="1"/>
      </w:tblPr>
      <w:tblGrid>
        <w:gridCol w:w="2776"/>
        <w:gridCol w:w="7562"/>
      </w:tblGrid>
      <w:tr w:rsidR="00822AC9" w:rsidRPr="009D4CD4" w14:paraId="03273F38" w14:textId="77777777" w:rsidTr="00523615">
        <w:tc>
          <w:tcPr>
            <w:tcW w:w="2802" w:type="dxa"/>
          </w:tcPr>
          <w:p w14:paraId="1845D4F1"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sz w:val="20"/>
                <w:szCs w:val="20"/>
                <w:lang w:eastAsia="fr-FR"/>
              </w:rPr>
              <w:t>Encours de crédits et évolution</w:t>
            </w:r>
          </w:p>
        </w:tc>
        <w:tc>
          <w:tcPr>
            <w:tcW w:w="7686" w:type="dxa"/>
          </w:tcPr>
          <w:p w14:paraId="4A06D507" w14:textId="0AD553BE" w:rsidR="00B72A61" w:rsidRPr="009D4CD4" w:rsidRDefault="008A4B05" w:rsidP="001C7EA2">
            <w:pPr>
              <w:spacing w:after="0" w:line="240" w:lineRule="auto"/>
              <w:jc w:val="left"/>
              <w:rPr>
                <w:rFonts w:ascii="Calibri" w:hAnsi="Calibri"/>
                <w:b/>
                <w:sz w:val="18"/>
                <w:szCs w:val="18"/>
              </w:rPr>
            </w:pPr>
            <w:r w:rsidRPr="009D4CD4">
              <w:rPr>
                <w:rFonts w:asciiTheme="minorHAnsi" w:hAnsiTheme="minorHAnsi" w:cs="Arial"/>
                <w:sz w:val="20"/>
                <w:szCs w:val="20"/>
                <w:lang w:eastAsia="fr-FR"/>
              </w:rPr>
              <w:t>15 226</w:t>
            </w:r>
            <w:r w:rsidR="00B72A61" w:rsidRPr="009D4CD4">
              <w:rPr>
                <w:rFonts w:asciiTheme="minorHAnsi" w:hAnsiTheme="minorHAnsi" w:cs="Arial"/>
                <w:sz w:val="20"/>
                <w:szCs w:val="20"/>
                <w:lang w:eastAsia="fr-FR"/>
              </w:rPr>
              <w:t xml:space="preserve"> M€ (+</w:t>
            </w:r>
            <w:r w:rsidR="003650A8" w:rsidRPr="009D4CD4">
              <w:rPr>
                <w:rFonts w:asciiTheme="minorHAnsi" w:hAnsiTheme="minorHAnsi" w:cs="Arial"/>
                <w:sz w:val="20"/>
                <w:szCs w:val="20"/>
                <w:lang w:eastAsia="fr-FR"/>
              </w:rPr>
              <w:t xml:space="preserve">  </w:t>
            </w:r>
            <w:r w:rsidRPr="009D4CD4">
              <w:rPr>
                <w:rFonts w:asciiTheme="minorHAnsi" w:hAnsiTheme="minorHAnsi" w:cs="Arial"/>
                <w:sz w:val="20"/>
                <w:szCs w:val="20"/>
                <w:lang w:eastAsia="fr-FR"/>
              </w:rPr>
              <w:t>4,7</w:t>
            </w:r>
            <w:r w:rsidR="001C7EA2" w:rsidRPr="009D4CD4">
              <w:rPr>
                <w:rFonts w:asciiTheme="minorHAnsi" w:hAnsiTheme="minorHAnsi" w:cs="Arial"/>
                <w:sz w:val="20"/>
                <w:szCs w:val="20"/>
                <w:lang w:eastAsia="fr-FR"/>
              </w:rPr>
              <w:t xml:space="preserve"> </w:t>
            </w:r>
            <w:r w:rsidR="00B72A61" w:rsidRPr="009D4CD4">
              <w:rPr>
                <w:rFonts w:asciiTheme="minorHAnsi" w:hAnsiTheme="minorHAnsi" w:cs="Arial"/>
                <w:sz w:val="20"/>
                <w:szCs w:val="20"/>
                <w:lang w:eastAsia="fr-FR"/>
              </w:rPr>
              <w:t>%)</w:t>
            </w:r>
          </w:p>
        </w:tc>
      </w:tr>
      <w:tr w:rsidR="00822AC9" w:rsidRPr="009D4CD4" w14:paraId="1BFE216B" w14:textId="77777777" w:rsidTr="00523615">
        <w:tc>
          <w:tcPr>
            <w:tcW w:w="2802" w:type="dxa"/>
          </w:tcPr>
          <w:p w14:paraId="13B0FA5F" w14:textId="77777777" w:rsidR="00B72A61" w:rsidRPr="009D4CD4" w:rsidRDefault="00B72A61"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Encours collecte et évolution</w:t>
            </w:r>
          </w:p>
        </w:tc>
        <w:tc>
          <w:tcPr>
            <w:tcW w:w="7686" w:type="dxa"/>
          </w:tcPr>
          <w:p w14:paraId="0781DCBE" w14:textId="375420A3" w:rsidR="00B72A61" w:rsidRPr="009D4CD4" w:rsidRDefault="008A4B05" w:rsidP="008A4B05">
            <w:pPr>
              <w:spacing w:after="0" w:line="240" w:lineRule="auto"/>
              <w:jc w:val="left"/>
              <w:rPr>
                <w:rFonts w:ascii="Calibri" w:hAnsi="Calibri"/>
                <w:b/>
                <w:sz w:val="18"/>
                <w:szCs w:val="18"/>
              </w:rPr>
            </w:pPr>
            <w:r w:rsidRPr="009D4CD4">
              <w:rPr>
                <w:rFonts w:asciiTheme="minorHAnsi" w:hAnsiTheme="minorHAnsi" w:cs="Arial"/>
                <w:sz w:val="20"/>
                <w:szCs w:val="20"/>
                <w:lang w:eastAsia="fr-FR"/>
              </w:rPr>
              <w:t>25 366</w:t>
            </w:r>
            <w:r w:rsidR="00B72A61" w:rsidRPr="009D4CD4">
              <w:rPr>
                <w:rFonts w:asciiTheme="minorHAnsi" w:hAnsiTheme="minorHAnsi" w:cs="Arial"/>
                <w:sz w:val="20"/>
                <w:szCs w:val="20"/>
                <w:lang w:eastAsia="fr-FR"/>
              </w:rPr>
              <w:t xml:space="preserve"> (+</w:t>
            </w:r>
            <w:r w:rsidRPr="009D4CD4">
              <w:rPr>
                <w:rFonts w:asciiTheme="minorHAnsi" w:hAnsiTheme="minorHAnsi" w:cs="Arial"/>
                <w:sz w:val="20"/>
                <w:szCs w:val="20"/>
                <w:lang w:eastAsia="fr-FR"/>
              </w:rPr>
              <w:t>5,3</w:t>
            </w:r>
            <w:r w:rsidR="001C7EA2" w:rsidRPr="009D4CD4">
              <w:rPr>
                <w:rFonts w:asciiTheme="minorHAnsi" w:hAnsiTheme="minorHAnsi" w:cs="Arial"/>
                <w:sz w:val="20"/>
                <w:szCs w:val="20"/>
                <w:lang w:eastAsia="fr-FR"/>
              </w:rPr>
              <w:t xml:space="preserve"> </w:t>
            </w:r>
            <w:r w:rsidR="00B72A61" w:rsidRPr="009D4CD4">
              <w:rPr>
                <w:rFonts w:asciiTheme="minorHAnsi" w:hAnsiTheme="minorHAnsi" w:cs="Arial"/>
                <w:sz w:val="20"/>
                <w:szCs w:val="20"/>
                <w:lang w:eastAsia="fr-FR"/>
              </w:rPr>
              <w:t>%)</w:t>
            </w:r>
          </w:p>
        </w:tc>
      </w:tr>
      <w:tr w:rsidR="00822AC9" w:rsidRPr="009D4CD4" w14:paraId="1F40FE3B" w14:textId="77777777" w:rsidTr="00523615">
        <w:tc>
          <w:tcPr>
            <w:tcW w:w="2802" w:type="dxa"/>
          </w:tcPr>
          <w:p w14:paraId="7F54C8C7" w14:textId="77777777" w:rsidR="00B72A61" w:rsidRPr="009D4CD4" w:rsidRDefault="00B72A61"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Parts de marché crédit</w:t>
            </w:r>
          </w:p>
        </w:tc>
        <w:tc>
          <w:tcPr>
            <w:tcW w:w="7686" w:type="dxa"/>
          </w:tcPr>
          <w:p w14:paraId="72A7825C" w14:textId="2CF4F729" w:rsidR="00B72A61" w:rsidRPr="009D4CD4" w:rsidRDefault="008A4B05" w:rsidP="008A4B0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49,0</w:t>
            </w:r>
            <w:r w:rsidR="00B72A61" w:rsidRPr="009D4CD4">
              <w:rPr>
                <w:rFonts w:asciiTheme="minorHAnsi" w:hAnsiTheme="minorHAnsi" w:cs="Arial"/>
                <w:sz w:val="20"/>
                <w:szCs w:val="20"/>
                <w:lang w:eastAsia="fr-FR"/>
              </w:rPr>
              <w:t xml:space="preserve"> % </w:t>
            </w:r>
            <w:r w:rsidR="00C969D1">
              <w:rPr>
                <w:rFonts w:asciiTheme="minorHAnsi" w:hAnsiTheme="minorHAnsi" w:cs="Arial"/>
                <w:sz w:val="20"/>
                <w:szCs w:val="20"/>
                <w:lang w:eastAsia="fr-FR"/>
              </w:rPr>
              <w:t>(nov 2021)</w:t>
            </w:r>
          </w:p>
        </w:tc>
      </w:tr>
      <w:tr w:rsidR="00822AC9" w:rsidRPr="009D4CD4" w14:paraId="3AF72904" w14:textId="77777777" w:rsidTr="00523615">
        <w:tc>
          <w:tcPr>
            <w:tcW w:w="2802" w:type="dxa"/>
          </w:tcPr>
          <w:p w14:paraId="1B65EC30" w14:textId="77777777" w:rsidR="00B72A61" w:rsidRPr="009D4CD4" w:rsidRDefault="00B72A61"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Parts de marché collecte</w:t>
            </w:r>
          </w:p>
        </w:tc>
        <w:tc>
          <w:tcPr>
            <w:tcW w:w="7686" w:type="dxa"/>
          </w:tcPr>
          <w:p w14:paraId="30229D3E" w14:textId="4292F000" w:rsidR="00B72A61" w:rsidRPr="009D4CD4" w:rsidRDefault="00B72A61" w:rsidP="001C7EA2">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43,</w:t>
            </w:r>
            <w:r w:rsidR="008A4B05" w:rsidRPr="009D4CD4">
              <w:rPr>
                <w:rFonts w:asciiTheme="minorHAnsi" w:hAnsiTheme="minorHAnsi" w:cs="Arial"/>
                <w:sz w:val="20"/>
                <w:szCs w:val="20"/>
                <w:lang w:eastAsia="fr-FR"/>
              </w:rPr>
              <w:t>5 %</w:t>
            </w:r>
            <w:r w:rsidR="00C969D1">
              <w:rPr>
                <w:rFonts w:asciiTheme="minorHAnsi" w:hAnsiTheme="minorHAnsi" w:cs="Arial"/>
                <w:sz w:val="20"/>
                <w:szCs w:val="20"/>
                <w:lang w:eastAsia="fr-FR"/>
              </w:rPr>
              <w:t xml:space="preserve"> (nov 2021)</w:t>
            </w:r>
          </w:p>
        </w:tc>
      </w:tr>
    </w:tbl>
    <w:p w14:paraId="36ED61F5" w14:textId="77777777" w:rsidR="00B72A61" w:rsidRPr="009D4CD4" w:rsidRDefault="00B72A61" w:rsidP="00B72A61">
      <w:pPr>
        <w:spacing w:after="0" w:line="240" w:lineRule="auto"/>
        <w:jc w:val="left"/>
        <w:rPr>
          <w:rFonts w:asciiTheme="minorHAnsi" w:eastAsia="Times New Roman" w:hAnsiTheme="minorHAnsi" w:cs="Arial"/>
          <w:sz w:val="20"/>
          <w:szCs w:val="20"/>
          <w:lang w:eastAsia="fr-FR"/>
        </w:rPr>
      </w:pPr>
    </w:p>
    <w:tbl>
      <w:tblPr>
        <w:tblStyle w:val="Grilledutableau"/>
        <w:tblW w:w="0" w:type="auto"/>
        <w:tblLook w:val="04A0" w:firstRow="1" w:lastRow="0" w:firstColumn="1" w:lastColumn="0" w:noHBand="0" w:noVBand="1"/>
      </w:tblPr>
      <w:tblGrid>
        <w:gridCol w:w="2767"/>
        <w:gridCol w:w="3920"/>
        <w:gridCol w:w="3651"/>
      </w:tblGrid>
      <w:tr w:rsidR="00822AC9" w:rsidRPr="009D4CD4" w14:paraId="048C1788" w14:textId="77777777" w:rsidTr="00523615">
        <w:tc>
          <w:tcPr>
            <w:tcW w:w="2802" w:type="dxa"/>
            <w:tcBorders>
              <w:top w:val="single" w:sz="4" w:space="0" w:color="auto"/>
              <w:left w:val="single" w:sz="4" w:space="0" w:color="auto"/>
              <w:bottom w:val="nil"/>
              <w:right w:val="single" w:sz="4" w:space="0" w:color="auto"/>
            </w:tcBorders>
          </w:tcPr>
          <w:p w14:paraId="4BD3D63C" w14:textId="77777777" w:rsidR="00B72A61" w:rsidRPr="009D4CD4" w:rsidRDefault="00B72A61" w:rsidP="00523615">
            <w:pPr>
              <w:spacing w:after="0" w:line="240" w:lineRule="auto"/>
              <w:jc w:val="left"/>
              <w:rPr>
                <w:rFonts w:ascii="Calibri" w:hAnsi="Calibri"/>
                <w:b/>
                <w:sz w:val="18"/>
                <w:szCs w:val="18"/>
              </w:rPr>
            </w:pPr>
            <w:r w:rsidRPr="009D4CD4">
              <w:rPr>
                <w:rFonts w:asciiTheme="minorHAnsi" w:hAnsiTheme="minorHAnsi" w:cs="Arial"/>
                <w:sz w:val="20"/>
                <w:szCs w:val="20"/>
                <w:lang w:eastAsia="fr-FR"/>
              </w:rPr>
              <w:t>Satisfaction clients</w:t>
            </w:r>
          </w:p>
        </w:tc>
        <w:tc>
          <w:tcPr>
            <w:tcW w:w="3969" w:type="dxa"/>
            <w:tcBorders>
              <w:left w:val="single" w:sz="4" w:space="0" w:color="auto"/>
            </w:tcBorders>
          </w:tcPr>
          <w:p w14:paraId="18CE9AA9" w14:textId="77777777" w:rsidR="00B72A61" w:rsidRPr="009D4CD4" w:rsidRDefault="00B72A61" w:rsidP="00523615">
            <w:pPr>
              <w:spacing w:after="0" w:line="240" w:lineRule="auto"/>
              <w:jc w:val="left"/>
              <w:rPr>
                <w:b/>
                <w:sz w:val="18"/>
                <w:szCs w:val="18"/>
              </w:rPr>
            </w:pPr>
            <w:r w:rsidRPr="009D4CD4">
              <w:rPr>
                <w:rFonts w:asciiTheme="minorHAnsi" w:hAnsiTheme="minorHAnsi" w:cs="Arial"/>
                <w:sz w:val="20"/>
                <w:szCs w:val="20"/>
                <w:lang w:eastAsia="fr-FR"/>
              </w:rPr>
              <w:t xml:space="preserve">Indice de recommandation clients </w:t>
            </w:r>
            <w:r w:rsidRPr="009D4CD4">
              <w:rPr>
                <w:rStyle w:val="Appelnotedebasdep"/>
                <w:rFonts w:asciiTheme="minorHAnsi" w:hAnsiTheme="minorHAnsi" w:cs="Arial"/>
                <w:sz w:val="20"/>
                <w:szCs w:val="20"/>
                <w:lang w:eastAsia="fr-FR"/>
              </w:rPr>
              <w:footnoteReference w:id="3"/>
            </w:r>
          </w:p>
        </w:tc>
        <w:tc>
          <w:tcPr>
            <w:tcW w:w="3717" w:type="dxa"/>
          </w:tcPr>
          <w:p w14:paraId="490FF739" w14:textId="560443F3" w:rsidR="00B72A61" w:rsidRPr="009D4CD4" w:rsidRDefault="002166DA" w:rsidP="00523615">
            <w:pPr>
              <w:spacing w:after="0" w:line="240" w:lineRule="auto"/>
              <w:jc w:val="left"/>
              <w:rPr>
                <w:rFonts w:ascii="Calibri" w:hAnsi="Calibri"/>
                <w:sz w:val="18"/>
                <w:szCs w:val="18"/>
              </w:rPr>
            </w:pPr>
            <w:r w:rsidRPr="009D4CD4">
              <w:rPr>
                <w:rFonts w:ascii="Calibri" w:hAnsi="Calibri"/>
                <w:sz w:val="18"/>
                <w:szCs w:val="18"/>
              </w:rPr>
              <w:t>42,7</w:t>
            </w:r>
          </w:p>
        </w:tc>
      </w:tr>
      <w:tr w:rsidR="00B72A61" w:rsidRPr="009D4CD4" w14:paraId="49B15F83" w14:textId="77777777" w:rsidTr="00523615">
        <w:tc>
          <w:tcPr>
            <w:tcW w:w="2802" w:type="dxa"/>
            <w:tcBorders>
              <w:top w:val="nil"/>
              <w:left w:val="single" w:sz="4" w:space="0" w:color="auto"/>
              <w:bottom w:val="single" w:sz="4" w:space="0" w:color="auto"/>
              <w:right w:val="single" w:sz="4" w:space="0" w:color="auto"/>
            </w:tcBorders>
          </w:tcPr>
          <w:p w14:paraId="0D6F7D5F" w14:textId="77777777" w:rsidR="00B72A61" w:rsidRPr="009D4CD4" w:rsidRDefault="00B72A61" w:rsidP="00523615">
            <w:pPr>
              <w:spacing w:after="0" w:line="240" w:lineRule="auto"/>
              <w:jc w:val="left"/>
              <w:rPr>
                <w:rFonts w:asciiTheme="minorHAnsi" w:hAnsiTheme="minorHAnsi" w:cs="Arial"/>
                <w:sz w:val="20"/>
                <w:szCs w:val="20"/>
                <w:lang w:eastAsia="fr-FR"/>
              </w:rPr>
            </w:pPr>
          </w:p>
        </w:tc>
        <w:tc>
          <w:tcPr>
            <w:tcW w:w="3969" w:type="dxa"/>
            <w:tcBorders>
              <w:left w:val="single" w:sz="4" w:space="0" w:color="auto"/>
            </w:tcBorders>
          </w:tcPr>
          <w:p w14:paraId="09296B80" w14:textId="77777777" w:rsidR="00B72A61" w:rsidRPr="009D4CD4" w:rsidRDefault="00B72A61"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Taux de satisfaction des clients assurés à Pacifica suite à un sinistre</w:t>
            </w:r>
          </w:p>
        </w:tc>
        <w:tc>
          <w:tcPr>
            <w:tcW w:w="3717" w:type="dxa"/>
          </w:tcPr>
          <w:p w14:paraId="150DB3A4" w14:textId="77777777" w:rsidR="00B72A61" w:rsidRPr="009D4CD4" w:rsidRDefault="00B72A61"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93%</w:t>
            </w:r>
          </w:p>
        </w:tc>
      </w:tr>
    </w:tbl>
    <w:p w14:paraId="34AA02A0" w14:textId="77777777" w:rsidR="00B72A61" w:rsidRPr="009D4CD4" w:rsidRDefault="00B72A61" w:rsidP="00B72A61">
      <w:pPr>
        <w:spacing w:after="0" w:line="240" w:lineRule="auto"/>
        <w:jc w:val="left"/>
        <w:rPr>
          <w:rFonts w:asciiTheme="minorHAnsi" w:eastAsia="Times New Roman" w:hAnsiTheme="minorHAnsi" w:cs="Arial"/>
          <w:sz w:val="20"/>
          <w:szCs w:val="20"/>
          <w:lang w:eastAsia="fr-FR"/>
        </w:rPr>
      </w:pPr>
    </w:p>
    <w:tbl>
      <w:tblPr>
        <w:tblStyle w:val="Grilledutableau"/>
        <w:tblW w:w="0" w:type="auto"/>
        <w:tblLook w:val="04A0" w:firstRow="1" w:lastRow="0" w:firstColumn="1" w:lastColumn="0" w:noHBand="0" w:noVBand="1"/>
      </w:tblPr>
      <w:tblGrid>
        <w:gridCol w:w="6675"/>
        <w:gridCol w:w="3663"/>
      </w:tblGrid>
      <w:tr w:rsidR="00822AC9" w:rsidRPr="009D4CD4" w14:paraId="41A0AF2E" w14:textId="77777777" w:rsidTr="00523615">
        <w:tc>
          <w:tcPr>
            <w:tcW w:w="6771" w:type="dxa"/>
          </w:tcPr>
          <w:p w14:paraId="79338C63" w14:textId="28ED076C" w:rsidR="00B72A61" w:rsidRPr="009D4CD4" w:rsidRDefault="00B72A61" w:rsidP="003778C7">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 xml:space="preserve">Evolution </w:t>
            </w:r>
            <w:r w:rsidR="003778C7" w:rsidRPr="009D4CD4">
              <w:rPr>
                <w:rFonts w:asciiTheme="minorHAnsi" w:hAnsiTheme="minorHAnsi" w:cs="Arial"/>
                <w:sz w:val="20"/>
                <w:szCs w:val="20"/>
                <w:lang w:eastAsia="fr-FR"/>
              </w:rPr>
              <w:t xml:space="preserve">en 5 ans </w:t>
            </w:r>
            <w:r w:rsidRPr="009D4CD4">
              <w:rPr>
                <w:rFonts w:asciiTheme="minorHAnsi" w:hAnsiTheme="minorHAnsi" w:cs="Arial"/>
                <w:sz w:val="20"/>
                <w:szCs w:val="20"/>
                <w:lang w:eastAsia="fr-FR"/>
              </w:rPr>
              <w:t>de l’empreinte carbone de l’énergie consommée et d</w:t>
            </w:r>
            <w:r w:rsidR="003778C7" w:rsidRPr="009D4CD4">
              <w:rPr>
                <w:rFonts w:asciiTheme="minorHAnsi" w:hAnsiTheme="minorHAnsi" w:cs="Arial"/>
                <w:sz w:val="20"/>
                <w:szCs w:val="20"/>
                <w:lang w:eastAsia="fr-FR"/>
              </w:rPr>
              <w:t xml:space="preserve">es déplacements professionnels </w:t>
            </w:r>
          </w:p>
        </w:tc>
        <w:tc>
          <w:tcPr>
            <w:tcW w:w="3717" w:type="dxa"/>
          </w:tcPr>
          <w:p w14:paraId="499DB11E" w14:textId="64A1DC6F" w:rsidR="00B72A61" w:rsidRPr="009D4CD4" w:rsidRDefault="00B72A61" w:rsidP="0024421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 xml:space="preserve">- </w:t>
            </w:r>
            <w:r w:rsidR="003778C7" w:rsidRPr="009D4CD4">
              <w:rPr>
                <w:rFonts w:asciiTheme="minorHAnsi" w:hAnsiTheme="minorHAnsi" w:cs="Arial"/>
                <w:sz w:val="20"/>
                <w:szCs w:val="20"/>
                <w:lang w:eastAsia="fr-FR"/>
              </w:rPr>
              <w:t>35</w:t>
            </w:r>
            <w:r w:rsidRPr="009D4CD4">
              <w:rPr>
                <w:rFonts w:asciiTheme="minorHAnsi" w:hAnsiTheme="minorHAnsi" w:cs="Arial"/>
                <w:sz w:val="20"/>
                <w:szCs w:val="20"/>
                <w:lang w:eastAsia="fr-FR"/>
              </w:rPr>
              <w:t>,0%</w:t>
            </w:r>
          </w:p>
        </w:tc>
      </w:tr>
    </w:tbl>
    <w:p w14:paraId="4C6D4509" w14:textId="77777777" w:rsidR="00B72A61" w:rsidRPr="009D4CD4" w:rsidRDefault="00B72A61" w:rsidP="00B72A61">
      <w:pPr>
        <w:spacing w:after="0" w:line="240" w:lineRule="auto"/>
        <w:jc w:val="left"/>
        <w:rPr>
          <w:rFonts w:asciiTheme="minorHAnsi" w:eastAsia="Times New Roman" w:hAnsiTheme="minorHAnsi" w:cs="Arial"/>
          <w:sz w:val="20"/>
          <w:szCs w:val="20"/>
          <w:lang w:eastAsia="fr-FR"/>
        </w:rPr>
      </w:pPr>
    </w:p>
    <w:p w14:paraId="16FE557F" w14:textId="77777777" w:rsidR="00B72A61" w:rsidRPr="009D4CD4" w:rsidRDefault="00B72A61" w:rsidP="00B72A61">
      <w:pPr>
        <w:spacing w:after="0" w:line="240" w:lineRule="auto"/>
        <w:jc w:val="left"/>
        <w:rPr>
          <w:rFonts w:asciiTheme="minorHAnsi" w:eastAsia="Times New Roman" w:hAnsiTheme="minorHAnsi" w:cs="Arial"/>
          <w:sz w:val="20"/>
          <w:szCs w:val="20"/>
          <w:lang w:eastAsia="fr-FR"/>
        </w:rPr>
      </w:pPr>
    </w:p>
    <w:p w14:paraId="362299D7" w14:textId="128FFAEC" w:rsidR="00B72A61" w:rsidRPr="009D4CD4" w:rsidRDefault="009E5A59" w:rsidP="00F41917">
      <w:pPr>
        <w:pStyle w:val="Paragraphedeliste"/>
        <w:numPr>
          <w:ilvl w:val="0"/>
          <w:numId w:val="8"/>
        </w:numPr>
        <w:rPr>
          <w:rFonts w:asciiTheme="minorHAnsi" w:hAnsiTheme="minorHAnsi"/>
        </w:rPr>
      </w:pPr>
      <w:r w:rsidRPr="009D4CD4">
        <w:rPr>
          <w:rFonts w:asciiTheme="minorHAnsi" w:hAnsiTheme="minorHAnsi"/>
        </w:rPr>
        <w:t xml:space="preserve">Les filiales Edokial et </w:t>
      </w:r>
      <w:r w:rsidR="001215C6" w:rsidRPr="009D4CD4">
        <w:rPr>
          <w:rFonts w:asciiTheme="minorHAnsi" w:hAnsiTheme="minorHAnsi"/>
        </w:rPr>
        <w:t>Inforsud Technologies</w:t>
      </w:r>
      <w:r w:rsidR="001F1BBD" w:rsidRPr="009D4CD4">
        <w:rPr>
          <w:rFonts w:asciiTheme="minorHAnsi" w:hAnsiTheme="minorHAnsi"/>
        </w:rPr>
        <w:t xml:space="preserve"> (IST)</w:t>
      </w:r>
    </w:p>
    <w:p w14:paraId="3D81B8E2" w14:textId="32D2608B" w:rsidR="001D16F4" w:rsidRPr="009D4CD4" w:rsidRDefault="001D16F4" w:rsidP="00B72A61">
      <w:pPr>
        <w:spacing w:after="0" w:line="240" w:lineRule="auto"/>
        <w:jc w:val="left"/>
        <w:rPr>
          <w:rFonts w:asciiTheme="minorHAnsi" w:hAnsiTheme="minorHAnsi"/>
        </w:rPr>
      </w:pPr>
    </w:p>
    <w:p w14:paraId="0381E38D" w14:textId="77777777" w:rsidR="002166DA" w:rsidRPr="009D4CD4" w:rsidRDefault="002166DA" w:rsidP="002166DA">
      <w:pPr>
        <w:spacing w:after="0" w:line="240" w:lineRule="auto"/>
        <w:jc w:val="left"/>
        <w:rPr>
          <w:rFonts w:asciiTheme="minorHAnsi" w:hAnsiTheme="minorHAnsi"/>
        </w:rPr>
      </w:pPr>
    </w:p>
    <w:p w14:paraId="29035943" w14:textId="5BFF78BF" w:rsidR="002166DA" w:rsidRPr="009D4CD4" w:rsidRDefault="002166DA" w:rsidP="002166DA">
      <w:pPr>
        <w:spacing w:after="0" w:line="240" w:lineRule="auto"/>
        <w:jc w:val="left"/>
        <w:rPr>
          <w:rFonts w:asciiTheme="minorHAnsi" w:hAnsiTheme="minorHAnsi"/>
        </w:rPr>
      </w:pPr>
      <w:r w:rsidRPr="009D4CD4">
        <w:t>Pour assoir sa stratégie de développement et d’investissement, mais aussi sécuriser l’emploi, l’entreprise Chabrillac a été cédée au Groupe Sprint, spécialiste de l’impression «</w:t>
      </w:r>
      <w:r w:rsidR="00FD6A96">
        <w:t> Grand Format et Lieu de vente</w:t>
      </w:r>
      <w:r w:rsidR="00510F91">
        <w:t> »</w:t>
      </w:r>
      <w:r w:rsidRPr="009D4CD4">
        <w:t xml:space="preserve">. </w:t>
      </w:r>
    </w:p>
    <w:p w14:paraId="00842C4C" w14:textId="7FD610E4" w:rsidR="002166DA" w:rsidRPr="009D4CD4" w:rsidRDefault="002166DA" w:rsidP="002166DA">
      <w:pPr>
        <w:spacing w:after="0" w:line="240" w:lineRule="auto"/>
      </w:pPr>
      <w:r w:rsidRPr="009D4CD4">
        <w:t xml:space="preserve">Par ailleurs, une autonomie plus forte a été donnée aux filiales </w:t>
      </w:r>
      <w:r w:rsidRPr="009D4CD4">
        <w:rPr>
          <w:rFonts w:asciiTheme="minorHAnsi" w:hAnsiTheme="minorHAnsi"/>
        </w:rPr>
        <w:t xml:space="preserve">Edokial et </w:t>
      </w:r>
      <w:r w:rsidR="001F1BBD" w:rsidRPr="009D4CD4">
        <w:rPr>
          <w:rFonts w:asciiTheme="minorHAnsi" w:hAnsiTheme="minorHAnsi"/>
        </w:rPr>
        <w:t>IST</w:t>
      </w:r>
      <w:r w:rsidR="00A54EC4">
        <w:rPr>
          <w:rFonts w:asciiTheme="minorHAnsi" w:hAnsiTheme="minorHAnsi"/>
        </w:rPr>
        <w:t>, dont les projets</w:t>
      </w:r>
      <w:r w:rsidRPr="009D4CD4">
        <w:rPr>
          <w:rFonts w:asciiTheme="minorHAnsi" w:hAnsiTheme="minorHAnsi"/>
        </w:rPr>
        <w:t xml:space="preserve"> </w:t>
      </w:r>
      <w:r w:rsidRPr="009D4CD4">
        <w:t xml:space="preserve">de développement sont différents. C’est pourquoi les fonctions support précédemment assumées par les équipes d’Inforsud Gestion (finances, RH, contrôle, …) ont été réparties dans chacune des deux filiales. Inforsud Gestion est devenue une holding financière détenant les participations dans les deux entités. </w:t>
      </w:r>
    </w:p>
    <w:p w14:paraId="3ACAE661" w14:textId="71E87329" w:rsidR="00F0789C" w:rsidRDefault="00F0789C">
      <w:pPr>
        <w:spacing w:after="0" w:line="240" w:lineRule="auto"/>
        <w:jc w:val="left"/>
        <w:rPr>
          <w:rFonts w:asciiTheme="minorHAnsi" w:hAnsiTheme="minorHAnsi"/>
        </w:rPr>
      </w:pPr>
    </w:p>
    <w:p w14:paraId="533AFBDD" w14:textId="13FF202A" w:rsidR="00B72A61" w:rsidRPr="009D4CD4" w:rsidRDefault="009E5A59" w:rsidP="00B72A61">
      <w:pPr>
        <w:spacing w:after="0" w:line="240" w:lineRule="auto"/>
        <w:jc w:val="left"/>
        <w:rPr>
          <w:rFonts w:asciiTheme="minorHAnsi" w:hAnsiTheme="minorHAnsi"/>
          <w:b/>
        </w:rPr>
      </w:pPr>
      <w:r w:rsidRPr="009D4CD4">
        <w:rPr>
          <w:rFonts w:asciiTheme="minorHAnsi" w:hAnsiTheme="minorHAnsi"/>
          <w:b/>
        </w:rPr>
        <w:t xml:space="preserve">Données </w:t>
      </w:r>
      <w:r w:rsidR="006E0459" w:rsidRPr="009D4CD4">
        <w:rPr>
          <w:rFonts w:asciiTheme="minorHAnsi" w:hAnsiTheme="minorHAnsi"/>
          <w:b/>
        </w:rPr>
        <w:t>–</w:t>
      </w:r>
      <w:r w:rsidRPr="009D4CD4">
        <w:rPr>
          <w:rFonts w:asciiTheme="minorHAnsi" w:hAnsiTheme="minorHAnsi"/>
          <w:b/>
        </w:rPr>
        <w:t xml:space="preserve"> clé</w:t>
      </w:r>
      <w:r w:rsidR="006E0459" w:rsidRPr="009D4CD4">
        <w:rPr>
          <w:rFonts w:asciiTheme="minorHAnsi" w:hAnsiTheme="minorHAnsi"/>
          <w:b/>
        </w:rPr>
        <w:t xml:space="preserve"> 2021</w:t>
      </w:r>
    </w:p>
    <w:p w14:paraId="18DD2002" w14:textId="77777777" w:rsidR="00B72A61" w:rsidRPr="009D4CD4" w:rsidRDefault="00B72A61" w:rsidP="00B72A61">
      <w:pPr>
        <w:spacing w:after="0" w:line="240" w:lineRule="auto"/>
        <w:jc w:val="left"/>
        <w:rPr>
          <w:rFonts w:asciiTheme="minorHAnsi" w:hAnsiTheme="minorHAnsi"/>
          <w:b/>
        </w:rPr>
      </w:pPr>
    </w:p>
    <w:tbl>
      <w:tblPr>
        <w:tblStyle w:val="Grilledutableau"/>
        <w:tblW w:w="0" w:type="auto"/>
        <w:tblLook w:val="04A0" w:firstRow="1" w:lastRow="0" w:firstColumn="1" w:lastColumn="0" w:noHBand="0" w:noVBand="1"/>
      </w:tblPr>
      <w:tblGrid>
        <w:gridCol w:w="2830"/>
        <w:gridCol w:w="3754"/>
        <w:gridCol w:w="3754"/>
      </w:tblGrid>
      <w:tr w:rsidR="009E5A59" w:rsidRPr="009D4CD4" w14:paraId="1F1E3C1D" w14:textId="77777777" w:rsidTr="006E0459">
        <w:tc>
          <w:tcPr>
            <w:tcW w:w="2830" w:type="dxa"/>
          </w:tcPr>
          <w:p w14:paraId="7621B494" w14:textId="466F5A75" w:rsidR="009E5A59" w:rsidRPr="009D4CD4" w:rsidRDefault="009E5A59" w:rsidP="00523615">
            <w:pPr>
              <w:spacing w:after="0" w:line="240" w:lineRule="auto"/>
              <w:jc w:val="left"/>
              <w:rPr>
                <w:rFonts w:asciiTheme="minorHAnsi" w:hAnsiTheme="minorHAnsi" w:cs="Arial"/>
                <w:sz w:val="20"/>
                <w:szCs w:val="20"/>
                <w:lang w:eastAsia="fr-FR"/>
              </w:rPr>
            </w:pPr>
          </w:p>
        </w:tc>
        <w:tc>
          <w:tcPr>
            <w:tcW w:w="3754" w:type="dxa"/>
          </w:tcPr>
          <w:p w14:paraId="1CC64647" w14:textId="59891E33" w:rsidR="009E5A59" w:rsidRPr="009D4CD4" w:rsidRDefault="009E5A59"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Edokial</w:t>
            </w:r>
          </w:p>
        </w:tc>
        <w:tc>
          <w:tcPr>
            <w:tcW w:w="3754" w:type="dxa"/>
          </w:tcPr>
          <w:p w14:paraId="06199964" w14:textId="1EE1CEA6" w:rsidR="009E5A59" w:rsidRPr="009D4CD4" w:rsidRDefault="009E5A59" w:rsidP="002166DA">
            <w:pPr>
              <w:spacing w:after="0" w:line="240" w:lineRule="auto"/>
              <w:jc w:val="left"/>
              <w:rPr>
                <w:rFonts w:asciiTheme="minorHAnsi" w:hAnsiTheme="minorHAnsi"/>
                <w:sz w:val="20"/>
                <w:szCs w:val="20"/>
                <w:lang w:eastAsia="fr-FR"/>
              </w:rPr>
            </w:pPr>
            <w:r w:rsidRPr="009D4CD4">
              <w:rPr>
                <w:rFonts w:asciiTheme="minorHAnsi" w:hAnsiTheme="minorHAnsi" w:cs="Arial"/>
                <w:sz w:val="20"/>
                <w:szCs w:val="20"/>
                <w:lang w:eastAsia="fr-FR"/>
              </w:rPr>
              <w:t>I</w:t>
            </w:r>
            <w:r w:rsidR="002166DA" w:rsidRPr="009D4CD4">
              <w:rPr>
                <w:rFonts w:asciiTheme="minorHAnsi" w:hAnsiTheme="minorHAnsi" w:cs="Arial"/>
                <w:sz w:val="20"/>
                <w:szCs w:val="20"/>
                <w:lang w:eastAsia="fr-FR"/>
              </w:rPr>
              <w:t>nforsud</w:t>
            </w:r>
            <w:r w:rsidRPr="009D4CD4">
              <w:rPr>
                <w:rFonts w:asciiTheme="minorHAnsi" w:hAnsiTheme="minorHAnsi" w:cs="Arial"/>
                <w:sz w:val="20"/>
                <w:szCs w:val="20"/>
                <w:lang w:eastAsia="fr-FR"/>
              </w:rPr>
              <w:t xml:space="preserve"> Technologie</w:t>
            </w:r>
            <w:r w:rsidR="000E103B" w:rsidRPr="009D4CD4">
              <w:rPr>
                <w:rFonts w:asciiTheme="minorHAnsi" w:hAnsiTheme="minorHAnsi" w:cs="Arial"/>
                <w:sz w:val="20"/>
                <w:szCs w:val="20"/>
                <w:lang w:eastAsia="fr-FR"/>
              </w:rPr>
              <w:t>s</w:t>
            </w:r>
            <w:r w:rsidR="001F1BBD" w:rsidRPr="009D4CD4">
              <w:rPr>
                <w:rFonts w:asciiTheme="minorHAnsi" w:hAnsiTheme="minorHAnsi" w:cs="Arial"/>
                <w:sz w:val="20"/>
                <w:szCs w:val="20"/>
                <w:lang w:eastAsia="fr-FR"/>
              </w:rPr>
              <w:t xml:space="preserve"> (IST)</w:t>
            </w:r>
          </w:p>
        </w:tc>
      </w:tr>
      <w:tr w:rsidR="006E0459" w:rsidRPr="009D4CD4" w14:paraId="6A44D705" w14:textId="77777777" w:rsidTr="006E0459">
        <w:tc>
          <w:tcPr>
            <w:tcW w:w="2830" w:type="dxa"/>
          </w:tcPr>
          <w:p w14:paraId="7A094EC1" w14:textId="5ED87E28" w:rsidR="006E0459" w:rsidRPr="009D4CD4" w:rsidRDefault="001D16F4"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Domaine d’activité</w:t>
            </w:r>
          </w:p>
        </w:tc>
        <w:tc>
          <w:tcPr>
            <w:tcW w:w="3754" w:type="dxa"/>
          </w:tcPr>
          <w:p w14:paraId="521F34D4" w14:textId="3B87EAF2" w:rsidR="006E0459" w:rsidRPr="009D4CD4" w:rsidRDefault="001D16F4" w:rsidP="001D16F4">
            <w:pPr>
              <w:spacing w:after="0" w:line="240" w:lineRule="auto"/>
              <w:jc w:val="left"/>
              <w:rPr>
                <w:rFonts w:asciiTheme="minorHAnsi" w:hAnsiTheme="minorHAnsi"/>
                <w:lang w:eastAsia="fr-FR"/>
              </w:rPr>
            </w:pPr>
            <w:r w:rsidRPr="009D4CD4">
              <w:rPr>
                <w:rFonts w:asciiTheme="minorHAnsi" w:hAnsiTheme="minorHAnsi"/>
                <w:lang w:eastAsia="fr-FR"/>
              </w:rPr>
              <w:t>Edokial propose des solutions de traitement des flux documentaires, matérialisés ou dématérialisés, à partir de plates-formes de production industrielles sécurisées.</w:t>
            </w:r>
          </w:p>
        </w:tc>
        <w:tc>
          <w:tcPr>
            <w:tcW w:w="3754" w:type="dxa"/>
          </w:tcPr>
          <w:p w14:paraId="123A8674" w14:textId="1C4B971C" w:rsidR="006E0459" w:rsidRPr="009D4CD4" w:rsidRDefault="001F1BBD" w:rsidP="004D2644">
            <w:pPr>
              <w:spacing w:after="0" w:line="240" w:lineRule="auto"/>
              <w:jc w:val="left"/>
              <w:rPr>
                <w:rFonts w:asciiTheme="minorHAnsi" w:hAnsiTheme="minorHAnsi"/>
                <w:lang w:eastAsia="fr-FR"/>
              </w:rPr>
            </w:pPr>
            <w:r w:rsidRPr="009D4CD4">
              <w:rPr>
                <w:rFonts w:asciiTheme="minorHAnsi" w:hAnsiTheme="minorHAnsi"/>
                <w:lang w:eastAsia="fr-FR"/>
              </w:rPr>
              <w:t>IST</w:t>
            </w:r>
            <w:r w:rsidR="00477C7C" w:rsidRPr="009D4CD4">
              <w:rPr>
                <w:rFonts w:asciiTheme="minorHAnsi" w:hAnsiTheme="minorHAnsi"/>
                <w:lang w:eastAsia="fr-FR"/>
              </w:rPr>
              <w:t xml:space="preserve"> est une entreprise de service</w:t>
            </w:r>
            <w:r w:rsidR="00D17619" w:rsidRPr="009D4CD4">
              <w:rPr>
                <w:rFonts w:asciiTheme="minorHAnsi" w:hAnsiTheme="minorHAnsi"/>
                <w:lang w:eastAsia="fr-FR"/>
              </w:rPr>
              <w:t>s</w:t>
            </w:r>
            <w:r w:rsidR="00477C7C" w:rsidRPr="009D4CD4">
              <w:rPr>
                <w:rFonts w:asciiTheme="minorHAnsi" w:hAnsiTheme="minorHAnsi"/>
                <w:lang w:eastAsia="fr-FR"/>
              </w:rPr>
              <w:t xml:space="preserve"> numérique</w:t>
            </w:r>
            <w:r w:rsidR="00D17619" w:rsidRPr="009D4CD4">
              <w:rPr>
                <w:rFonts w:asciiTheme="minorHAnsi" w:hAnsiTheme="minorHAnsi"/>
                <w:lang w:eastAsia="fr-FR"/>
              </w:rPr>
              <w:t>s</w:t>
            </w:r>
            <w:r w:rsidR="00477C7C" w:rsidRPr="009D4CD4">
              <w:rPr>
                <w:rFonts w:asciiTheme="minorHAnsi" w:hAnsiTheme="minorHAnsi"/>
                <w:lang w:eastAsia="fr-FR"/>
              </w:rPr>
              <w:t xml:space="preserve"> à vocation régionale, intégrateur de solutions </w:t>
            </w:r>
            <w:r w:rsidR="000E103B" w:rsidRPr="009D4CD4">
              <w:rPr>
                <w:rFonts w:asciiTheme="minorHAnsi" w:hAnsiTheme="minorHAnsi"/>
                <w:lang w:eastAsia="fr-FR"/>
              </w:rPr>
              <w:t xml:space="preserve">applicatives </w:t>
            </w:r>
            <w:r w:rsidR="004D2644" w:rsidRPr="009D4CD4">
              <w:rPr>
                <w:rFonts w:asciiTheme="minorHAnsi" w:hAnsiTheme="minorHAnsi"/>
                <w:lang w:eastAsia="fr-FR"/>
              </w:rPr>
              <w:t>dans les domaines des RH, C</w:t>
            </w:r>
            <w:r w:rsidR="000E103B" w:rsidRPr="009D4CD4">
              <w:rPr>
                <w:rFonts w:asciiTheme="minorHAnsi" w:hAnsiTheme="minorHAnsi"/>
                <w:lang w:eastAsia="fr-FR"/>
              </w:rPr>
              <w:t>ompt</w:t>
            </w:r>
            <w:r w:rsidR="00D17619" w:rsidRPr="009D4CD4">
              <w:rPr>
                <w:rFonts w:asciiTheme="minorHAnsi" w:hAnsiTheme="minorHAnsi"/>
                <w:lang w:eastAsia="fr-FR"/>
              </w:rPr>
              <w:t>a</w:t>
            </w:r>
            <w:r w:rsidR="004D2644" w:rsidRPr="009D4CD4">
              <w:rPr>
                <w:rFonts w:asciiTheme="minorHAnsi" w:hAnsiTheme="minorHAnsi"/>
                <w:lang w:eastAsia="fr-FR"/>
              </w:rPr>
              <w:t>bilité</w:t>
            </w:r>
            <w:r w:rsidR="00477C7C" w:rsidRPr="009D4CD4">
              <w:rPr>
                <w:rFonts w:asciiTheme="minorHAnsi" w:hAnsiTheme="minorHAnsi"/>
                <w:lang w:eastAsia="fr-FR"/>
              </w:rPr>
              <w:t xml:space="preserve"> et Réseaux</w:t>
            </w:r>
            <w:r w:rsidR="000E103B" w:rsidRPr="009D4CD4">
              <w:rPr>
                <w:rFonts w:asciiTheme="minorHAnsi" w:hAnsiTheme="minorHAnsi"/>
                <w:lang w:eastAsia="fr-FR"/>
              </w:rPr>
              <w:t xml:space="preserve">, ainsi que de </w:t>
            </w:r>
            <w:r w:rsidR="00477C7C" w:rsidRPr="009D4CD4">
              <w:rPr>
                <w:rFonts w:asciiTheme="minorHAnsi" w:hAnsiTheme="minorHAnsi"/>
                <w:lang w:eastAsia="fr-FR"/>
              </w:rPr>
              <w:t>maintenance informatique et d’hébergement de données (Cloud)</w:t>
            </w:r>
          </w:p>
        </w:tc>
      </w:tr>
      <w:tr w:rsidR="006E0459" w:rsidRPr="009D4CD4" w14:paraId="6F317A89" w14:textId="77777777" w:rsidTr="006E0459">
        <w:tc>
          <w:tcPr>
            <w:tcW w:w="2830" w:type="dxa"/>
          </w:tcPr>
          <w:p w14:paraId="3B68AE4F" w14:textId="70558400" w:rsidR="006E0459" w:rsidRPr="009D4CD4" w:rsidRDefault="001D16F4"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Gouvernance</w:t>
            </w:r>
          </w:p>
        </w:tc>
        <w:tc>
          <w:tcPr>
            <w:tcW w:w="3754" w:type="dxa"/>
          </w:tcPr>
          <w:p w14:paraId="39F3E5A4" w14:textId="72DB149A" w:rsidR="006E0459" w:rsidRPr="009D4CD4" w:rsidRDefault="00285262"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SAS</w:t>
            </w:r>
          </w:p>
        </w:tc>
        <w:tc>
          <w:tcPr>
            <w:tcW w:w="3754" w:type="dxa"/>
          </w:tcPr>
          <w:p w14:paraId="5CBD8F5B" w14:textId="2FED4CF5" w:rsidR="006E0459" w:rsidRPr="009D4CD4" w:rsidRDefault="00477C7C"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SAS</w:t>
            </w:r>
          </w:p>
        </w:tc>
      </w:tr>
      <w:tr w:rsidR="009E5A59" w:rsidRPr="009D4CD4" w14:paraId="53CE0198" w14:textId="77777777" w:rsidTr="006E0459">
        <w:tc>
          <w:tcPr>
            <w:tcW w:w="2830" w:type="dxa"/>
          </w:tcPr>
          <w:p w14:paraId="0BA60131" w14:textId="77777777" w:rsidR="009E5A59" w:rsidRPr="009D4CD4" w:rsidRDefault="009E5A59" w:rsidP="006D6A6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Les femmes et les hommes</w:t>
            </w:r>
          </w:p>
        </w:tc>
        <w:tc>
          <w:tcPr>
            <w:tcW w:w="3754" w:type="dxa"/>
          </w:tcPr>
          <w:p w14:paraId="7A887CF4" w14:textId="6C535267" w:rsidR="009E5A59" w:rsidRPr="009D4CD4" w:rsidRDefault="009C3E4B" w:rsidP="006D6A6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256 salariés</w:t>
            </w:r>
          </w:p>
        </w:tc>
        <w:tc>
          <w:tcPr>
            <w:tcW w:w="3754" w:type="dxa"/>
          </w:tcPr>
          <w:p w14:paraId="612E99C5" w14:textId="6EC76312" w:rsidR="009E5A59" w:rsidRPr="009D4CD4" w:rsidRDefault="00477C7C" w:rsidP="006D6A6D">
            <w:pPr>
              <w:spacing w:after="0" w:line="240" w:lineRule="auto"/>
              <w:jc w:val="left"/>
              <w:rPr>
                <w:rFonts w:asciiTheme="minorHAnsi" w:hAnsiTheme="minorHAnsi"/>
                <w:sz w:val="20"/>
                <w:szCs w:val="20"/>
                <w:lang w:eastAsia="fr-FR"/>
              </w:rPr>
            </w:pPr>
            <w:r w:rsidRPr="009D4CD4">
              <w:rPr>
                <w:rFonts w:asciiTheme="minorHAnsi" w:hAnsiTheme="minorHAnsi" w:cs="Arial"/>
                <w:sz w:val="20"/>
                <w:szCs w:val="20"/>
                <w:lang w:eastAsia="fr-FR"/>
              </w:rPr>
              <w:t>71</w:t>
            </w:r>
            <w:r w:rsidR="009E5A59" w:rsidRPr="009D4CD4">
              <w:rPr>
                <w:rFonts w:asciiTheme="minorHAnsi" w:hAnsiTheme="minorHAnsi" w:cs="Arial"/>
                <w:sz w:val="20"/>
                <w:szCs w:val="20"/>
                <w:lang w:eastAsia="fr-FR"/>
              </w:rPr>
              <w:t xml:space="preserve"> salariés</w:t>
            </w:r>
          </w:p>
        </w:tc>
      </w:tr>
      <w:tr w:rsidR="009E5A59" w:rsidRPr="009D4CD4" w14:paraId="76BB2C1A" w14:textId="77777777" w:rsidTr="006E0459">
        <w:tc>
          <w:tcPr>
            <w:tcW w:w="2830" w:type="dxa"/>
          </w:tcPr>
          <w:p w14:paraId="65F4F382" w14:textId="77777777" w:rsidR="009E5A59" w:rsidRPr="009D4CD4" w:rsidRDefault="009E5A59" w:rsidP="00523615">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Le capital financier</w:t>
            </w:r>
          </w:p>
        </w:tc>
        <w:tc>
          <w:tcPr>
            <w:tcW w:w="3754" w:type="dxa"/>
          </w:tcPr>
          <w:p w14:paraId="1D131706" w14:textId="6FFA5568" w:rsidR="009E5A59" w:rsidRPr="009D4CD4" w:rsidRDefault="00373781" w:rsidP="00A273B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11,5 M€</w:t>
            </w:r>
          </w:p>
        </w:tc>
        <w:tc>
          <w:tcPr>
            <w:tcW w:w="3754" w:type="dxa"/>
          </w:tcPr>
          <w:p w14:paraId="012EAD4E" w14:textId="7E6DBE51" w:rsidR="009E5A59" w:rsidRPr="009D4CD4" w:rsidRDefault="00477C7C" w:rsidP="00A273B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3,6</w:t>
            </w:r>
            <w:r w:rsidR="00373781" w:rsidRPr="009D4CD4">
              <w:rPr>
                <w:rFonts w:asciiTheme="minorHAnsi" w:hAnsiTheme="minorHAnsi" w:cs="Arial"/>
                <w:sz w:val="20"/>
                <w:szCs w:val="20"/>
                <w:lang w:eastAsia="fr-FR"/>
              </w:rPr>
              <w:t xml:space="preserve"> M€</w:t>
            </w:r>
          </w:p>
        </w:tc>
      </w:tr>
      <w:tr w:rsidR="009E5A59" w:rsidRPr="009D4CD4" w14:paraId="606FEF6F" w14:textId="77777777" w:rsidTr="006E0459">
        <w:tc>
          <w:tcPr>
            <w:tcW w:w="2830" w:type="dxa"/>
          </w:tcPr>
          <w:p w14:paraId="40D7AA8A" w14:textId="4AD18AF9" w:rsidR="009E5A59" w:rsidRPr="009D4CD4" w:rsidRDefault="001D16F4" w:rsidP="006D6A6D">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P</w:t>
            </w:r>
            <w:r w:rsidR="009E5A59" w:rsidRPr="009D4CD4">
              <w:rPr>
                <w:rFonts w:asciiTheme="minorHAnsi" w:hAnsiTheme="minorHAnsi" w:cs="Arial"/>
                <w:sz w:val="20"/>
                <w:szCs w:val="20"/>
                <w:lang w:eastAsia="fr-FR"/>
              </w:rPr>
              <w:t>résence territoriale</w:t>
            </w:r>
          </w:p>
        </w:tc>
        <w:tc>
          <w:tcPr>
            <w:tcW w:w="3754" w:type="dxa"/>
          </w:tcPr>
          <w:p w14:paraId="2CB63E49" w14:textId="27ABD2BD" w:rsidR="009E5A59" w:rsidRPr="009D4CD4" w:rsidRDefault="00373781" w:rsidP="001D16F4">
            <w:pPr>
              <w:spacing w:after="0" w:line="240" w:lineRule="auto"/>
              <w:jc w:val="left"/>
              <w:rPr>
                <w:rFonts w:asciiTheme="minorHAnsi" w:hAnsiTheme="minorHAnsi" w:cs="Arial"/>
                <w:sz w:val="20"/>
                <w:szCs w:val="20"/>
                <w:lang w:eastAsia="fr-FR"/>
              </w:rPr>
            </w:pPr>
            <w:r w:rsidRPr="009D4CD4">
              <w:rPr>
                <w:rFonts w:asciiTheme="minorHAnsi" w:hAnsiTheme="minorHAnsi"/>
                <w:lang w:eastAsia="fr-FR"/>
              </w:rPr>
              <w:t>5 sites de production (dont 2 en Occitanie) et 1 agence commerciale</w:t>
            </w:r>
          </w:p>
        </w:tc>
        <w:tc>
          <w:tcPr>
            <w:tcW w:w="3754" w:type="dxa"/>
          </w:tcPr>
          <w:p w14:paraId="66803B4D" w14:textId="6A1331C2" w:rsidR="009E5A59" w:rsidRPr="009D4CD4" w:rsidRDefault="001D16F4" w:rsidP="001D16F4">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3 sites en Occitanie</w:t>
            </w:r>
            <w:r w:rsidR="009E5A59" w:rsidRPr="009D4CD4">
              <w:rPr>
                <w:rFonts w:asciiTheme="minorHAnsi" w:hAnsiTheme="minorHAnsi" w:cs="Arial"/>
                <w:sz w:val="20"/>
                <w:szCs w:val="20"/>
                <w:lang w:eastAsia="fr-FR"/>
              </w:rPr>
              <w:t xml:space="preserve"> </w:t>
            </w:r>
          </w:p>
        </w:tc>
      </w:tr>
      <w:tr w:rsidR="00477C7C" w:rsidRPr="009D4CD4" w14:paraId="0A99A5E5" w14:textId="77777777" w:rsidTr="006E0459">
        <w:tc>
          <w:tcPr>
            <w:tcW w:w="2830" w:type="dxa"/>
          </w:tcPr>
          <w:p w14:paraId="4E17CF38" w14:textId="7E311C02" w:rsidR="00477C7C" w:rsidRPr="009D4CD4" w:rsidRDefault="00477C7C" w:rsidP="00477C7C">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Produits et services</w:t>
            </w:r>
          </w:p>
        </w:tc>
        <w:tc>
          <w:tcPr>
            <w:tcW w:w="3754" w:type="dxa"/>
          </w:tcPr>
          <w:p w14:paraId="02757AB4" w14:textId="70839F46" w:rsidR="00477C7C" w:rsidRPr="009D4CD4" w:rsidRDefault="00477C7C" w:rsidP="00373781">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Solutions de traitements documentaires entrants, circulants, sortants </w:t>
            </w:r>
          </w:p>
        </w:tc>
        <w:tc>
          <w:tcPr>
            <w:tcW w:w="3754" w:type="dxa"/>
          </w:tcPr>
          <w:p w14:paraId="6FF0F952" w14:textId="34B01F25" w:rsidR="00477C7C" w:rsidRPr="009D4CD4" w:rsidRDefault="00477C7C" w:rsidP="00477C7C">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Informatique de proximité (vente et maintenance / réseaux…) ; hébergement de données (cloud) ; solutions de gestion (comptabilité, gestion commerciale, paie, trésorerie, etc.)</w:t>
            </w:r>
          </w:p>
        </w:tc>
      </w:tr>
      <w:tr w:rsidR="009E5A59" w:rsidRPr="009D4CD4" w14:paraId="00DE9F29" w14:textId="77777777" w:rsidTr="00373781">
        <w:trPr>
          <w:trHeight w:val="85"/>
        </w:trPr>
        <w:tc>
          <w:tcPr>
            <w:tcW w:w="2830" w:type="dxa"/>
          </w:tcPr>
          <w:p w14:paraId="6685B841" w14:textId="439E8CC6" w:rsidR="009E5A59" w:rsidRPr="009D4CD4" w:rsidRDefault="009E5A59" w:rsidP="009E5A59">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Principaux types de clients</w:t>
            </w:r>
          </w:p>
        </w:tc>
        <w:tc>
          <w:tcPr>
            <w:tcW w:w="3754" w:type="dxa"/>
          </w:tcPr>
          <w:p w14:paraId="32FA736D" w14:textId="45C30D47" w:rsidR="009E5A59" w:rsidRPr="009D4CD4" w:rsidRDefault="001D16F4" w:rsidP="00373781">
            <w:pPr>
              <w:spacing w:after="0" w:line="240" w:lineRule="auto"/>
              <w:jc w:val="left"/>
              <w:rPr>
                <w:rFonts w:asciiTheme="minorHAnsi" w:hAnsiTheme="minorHAnsi"/>
                <w:sz w:val="20"/>
                <w:szCs w:val="20"/>
                <w:lang w:eastAsia="fr-FR"/>
              </w:rPr>
            </w:pPr>
            <w:r w:rsidRPr="009D4CD4">
              <w:rPr>
                <w:rFonts w:asciiTheme="minorHAnsi" w:hAnsiTheme="minorHAnsi"/>
                <w:sz w:val="20"/>
                <w:szCs w:val="20"/>
                <w:lang w:eastAsia="fr-FR"/>
              </w:rPr>
              <w:t xml:space="preserve">Banques, mutuelles, </w:t>
            </w:r>
            <w:r w:rsidR="00373781" w:rsidRPr="009D4CD4">
              <w:rPr>
                <w:rFonts w:asciiTheme="minorHAnsi" w:hAnsiTheme="minorHAnsi"/>
                <w:sz w:val="20"/>
                <w:szCs w:val="20"/>
                <w:lang w:eastAsia="fr-FR"/>
              </w:rPr>
              <w:t>industries</w:t>
            </w:r>
          </w:p>
        </w:tc>
        <w:tc>
          <w:tcPr>
            <w:tcW w:w="3754" w:type="dxa"/>
          </w:tcPr>
          <w:p w14:paraId="4D2ADFF5" w14:textId="42D6BD56" w:rsidR="001D16F4" w:rsidRPr="009D4CD4" w:rsidRDefault="001D16F4" w:rsidP="009E5A59">
            <w:pPr>
              <w:spacing w:after="0" w:line="240" w:lineRule="auto"/>
              <w:jc w:val="left"/>
              <w:rPr>
                <w:rFonts w:asciiTheme="minorHAnsi" w:hAnsiTheme="minorHAnsi" w:cs="Arial"/>
                <w:sz w:val="20"/>
                <w:szCs w:val="20"/>
                <w:lang w:eastAsia="fr-FR"/>
              </w:rPr>
            </w:pPr>
            <w:r w:rsidRPr="009D4CD4">
              <w:rPr>
                <w:rFonts w:asciiTheme="minorHAnsi" w:hAnsiTheme="minorHAnsi"/>
                <w:lang w:eastAsia="fr-FR"/>
              </w:rPr>
              <w:t>PME/PMI, ETI et Collectivités</w:t>
            </w:r>
          </w:p>
        </w:tc>
      </w:tr>
      <w:tr w:rsidR="006E0459" w:rsidRPr="009D4CD4" w14:paraId="06E9398D" w14:textId="77777777" w:rsidTr="006E0459">
        <w:tc>
          <w:tcPr>
            <w:tcW w:w="2830" w:type="dxa"/>
          </w:tcPr>
          <w:p w14:paraId="4CD55774" w14:textId="18085332" w:rsidR="006E0459" w:rsidRPr="009D4CD4" w:rsidRDefault="006E0459" w:rsidP="009E5A59">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Chiffre d’affaire 2021 (M€)</w:t>
            </w:r>
          </w:p>
        </w:tc>
        <w:tc>
          <w:tcPr>
            <w:tcW w:w="3754" w:type="dxa"/>
          </w:tcPr>
          <w:p w14:paraId="2F88DD6D" w14:textId="37559BB5" w:rsidR="006E0459" w:rsidRPr="009D4CD4" w:rsidRDefault="00373781" w:rsidP="009E5A59">
            <w:pPr>
              <w:spacing w:after="0" w:line="240" w:lineRule="auto"/>
              <w:jc w:val="left"/>
              <w:rPr>
                <w:rFonts w:asciiTheme="minorHAnsi" w:hAnsiTheme="minorHAnsi" w:cs="Arial"/>
                <w:sz w:val="20"/>
                <w:szCs w:val="20"/>
                <w:lang w:eastAsia="fr-FR"/>
              </w:rPr>
            </w:pPr>
            <w:r w:rsidRPr="009D4CD4">
              <w:rPr>
                <w:rFonts w:asciiTheme="minorHAnsi" w:hAnsiTheme="minorHAnsi" w:cs="Arial"/>
                <w:sz w:val="20"/>
                <w:szCs w:val="20"/>
                <w:lang w:eastAsia="fr-FR"/>
              </w:rPr>
              <w:t>37</w:t>
            </w:r>
          </w:p>
        </w:tc>
        <w:tc>
          <w:tcPr>
            <w:tcW w:w="3754" w:type="dxa"/>
          </w:tcPr>
          <w:p w14:paraId="30A361BC" w14:textId="7FB97B37" w:rsidR="006E0459" w:rsidRPr="009D4CD4" w:rsidRDefault="003152F6" w:rsidP="003152F6">
            <w:pPr>
              <w:spacing w:after="0" w:line="240" w:lineRule="auto"/>
              <w:jc w:val="left"/>
              <w:rPr>
                <w:rFonts w:asciiTheme="minorHAnsi" w:hAnsiTheme="minorHAnsi"/>
                <w:sz w:val="20"/>
                <w:szCs w:val="20"/>
                <w:lang w:eastAsia="fr-FR"/>
              </w:rPr>
            </w:pPr>
            <w:r w:rsidRPr="009D4CD4">
              <w:rPr>
                <w:rFonts w:asciiTheme="minorHAnsi" w:hAnsiTheme="minorHAnsi"/>
                <w:sz w:val="20"/>
                <w:szCs w:val="20"/>
                <w:lang w:eastAsia="fr-FR"/>
              </w:rPr>
              <w:t>6,14</w:t>
            </w:r>
          </w:p>
        </w:tc>
      </w:tr>
    </w:tbl>
    <w:p w14:paraId="7294FA12" w14:textId="77777777" w:rsidR="006E0459" w:rsidRPr="009D4CD4" w:rsidRDefault="006E0459" w:rsidP="00B72A61">
      <w:pPr>
        <w:spacing w:after="0" w:line="240" w:lineRule="auto"/>
        <w:jc w:val="left"/>
        <w:rPr>
          <w:rFonts w:cs="Arial"/>
        </w:rPr>
      </w:pPr>
    </w:p>
    <w:p w14:paraId="4160CC2D" w14:textId="77777777" w:rsidR="006E0459" w:rsidRPr="009D4CD4" w:rsidRDefault="006E0459" w:rsidP="00B72A61">
      <w:pPr>
        <w:spacing w:after="0" w:line="240" w:lineRule="auto"/>
        <w:jc w:val="left"/>
        <w:rPr>
          <w:rFonts w:cs="Arial"/>
        </w:rPr>
      </w:pPr>
    </w:p>
    <w:p w14:paraId="43C1E852" w14:textId="2A8EBFCC" w:rsidR="00B72A61" w:rsidRPr="009D4CD4" w:rsidRDefault="00B72A61" w:rsidP="00B72A61">
      <w:pPr>
        <w:spacing w:after="0" w:line="240" w:lineRule="auto"/>
        <w:jc w:val="left"/>
        <w:rPr>
          <w:rFonts w:cs="Arial"/>
        </w:rPr>
      </w:pPr>
      <w:r w:rsidRPr="009D4CD4">
        <w:rPr>
          <w:rFonts w:cs="Arial"/>
        </w:rPr>
        <w:br w:type="page"/>
      </w:r>
    </w:p>
    <w:p w14:paraId="36C2BFA8" w14:textId="2280ED32" w:rsidR="00621B2A" w:rsidRPr="009D4CD4" w:rsidRDefault="00621B2A" w:rsidP="00683C3A">
      <w:pPr>
        <w:pStyle w:val="Titre1"/>
        <w:jc w:val="left"/>
      </w:pPr>
      <w:bookmarkStart w:id="4" w:name="_Toc32416052"/>
      <w:bookmarkStart w:id="5" w:name="_Toc59444728"/>
      <w:bookmarkStart w:id="6" w:name="_Toc32416020"/>
      <w:bookmarkStart w:id="7" w:name="_Toc59444695"/>
      <w:bookmarkStart w:id="8" w:name="_Toc96697957"/>
      <w:r>
        <w:t>Le pilotage de</w:t>
      </w:r>
      <w:r w:rsidRPr="009D4CD4">
        <w:t xml:space="preserve"> la démarche de Responsabilité Sociétale et Environnementale</w:t>
      </w:r>
      <w:bookmarkEnd w:id="4"/>
      <w:bookmarkEnd w:id="5"/>
      <w:r w:rsidRPr="009D4CD4">
        <w:t xml:space="preserve"> (RSE)</w:t>
      </w:r>
      <w:bookmarkEnd w:id="8"/>
    </w:p>
    <w:p w14:paraId="683F582F" w14:textId="77777777" w:rsidR="00621B2A" w:rsidRPr="009D4CD4" w:rsidRDefault="00621B2A" w:rsidP="00683C3A">
      <w:pPr>
        <w:numPr>
          <w:ilvl w:val="0"/>
          <w:numId w:val="4"/>
        </w:numPr>
        <w:spacing w:after="0" w:line="240" w:lineRule="auto"/>
        <w:jc w:val="left"/>
        <w:rPr>
          <w:rFonts w:cs="Arial"/>
        </w:rPr>
      </w:pPr>
      <w:r w:rsidRPr="009D4CD4">
        <w:rPr>
          <w:rFonts w:cs="Arial"/>
        </w:rPr>
        <w:t xml:space="preserve">La </w:t>
      </w:r>
      <w:r>
        <w:rPr>
          <w:rFonts w:cs="Arial"/>
        </w:rPr>
        <w:t>Caisse Régionale</w:t>
      </w:r>
    </w:p>
    <w:p w14:paraId="61270034" w14:textId="77777777" w:rsidR="00621B2A" w:rsidRPr="009D4CD4" w:rsidRDefault="00621B2A" w:rsidP="00683C3A">
      <w:pPr>
        <w:spacing w:after="0" w:line="240" w:lineRule="auto"/>
        <w:ind w:left="720"/>
        <w:jc w:val="left"/>
        <w:rPr>
          <w:rFonts w:cs="Arial"/>
        </w:rPr>
      </w:pPr>
    </w:p>
    <w:p w14:paraId="303FB1C5" w14:textId="77777777" w:rsidR="00621B2A" w:rsidRPr="009D4CD4" w:rsidRDefault="00621B2A" w:rsidP="00D259D6">
      <w:pPr>
        <w:spacing w:after="0" w:line="240" w:lineRule="auto"/>
        <w:jc w:val="left"/>
        <w:rPr>
          <w:rFonts w:cs="Arial"/>
        </w:rPr>
      </w:pPr>
      <w:r w:rsidRPr="009D4CD4">
        <w:rPr>
          <w:rFonts w:cs="Arial"/>
        </w:rPr>
        <w:t>Les objectifs du pilotage mis en place au CANMP visent à mobiliser l’ensemble des directions autour des enjeux RSE, à assurer la transversalité de la démarche RSE, et à favoriser l’implication participative de toutes les parties prenantes de l’entreprise.</w:t>
      </w:r>
    </w:p>
    <w:p w14:paraId="1693951B" w14:textId="77777777" w:rsidR="00621B2A" w:rsidRPr="009D4CD4" w:rsidRDefault="00621B2A" w:rsidP="00D259D6">
      <w:pPr>
        <w:spacing w:after="0" w:line="240" w:lineRule="auto"/>
        <w:jc w:val="left"/>
        <w:rPr>
          <w:rFonts w:cs="Arial"/>
        </w:rPr>
      </w:pPr>
    </w:p>
    <w:p w14:paraId="36CBEBAD" w14:textId="77777777" w:rsidR="00621B2A" w:rsidRPr="009D4CD4" w:rsidRDefault="00621B2A" w:rsidP="00D259D6">
      <w:pPr>
        <w:spacing w:after="0" w:line="240" w:lineRule="auto"/>
        <w:jc w:val="left"/>
        <w:rPr>
          <w:rFonts w:cs="Arial"/>
        </w:rPr>
      </w:pPr>
      <w:r w:rsidRPr="009D4CD4">
        <w:rPr>
          <w:rFonts w:cs="Arial"/>
        </w:rPr>
        <w:t xml:space="preserve">Le pilotage repose sur une gouvernance dédiée et sur une équipe d’animation. </w:t>
      </w:r>
    </w:p>
    <w:p w14:paraId="481D0E89" w14:textId="77777777" w:rsidR="00621B2A" w:rsidRPr="009D4CD4" w:rsidRDefault="00621B2A" w:rsidP="00D259D6">
      <w:pPr>
        <w:spacing w:after="0" w:line="240" w:lineRule="auto"/>
        <w:jc w:val="left"/>
        <w:rPr>
          <w:rFonts w:cs="Arial"/>
        </w:rPr>
      </w:pPr>
    </w:p>
    <w:p w14:paraId="1DC36A93" w14:textId="77777777" w:rsidR="00621B2A" w:rsidRPr="009D4CD4" w:rsidRDefault="00621B2A" w:rsidP="00683C3A">
      <w:pPr>
        <w:spacing w:after="0" w:line="240" w:lineRule="auto"/>
        <w:jc w:val="left"/>
        <w:rPr>
          <w:rFonts w:cs="Arial"/>
        </w:rPr>
      </w:pPr>
      <w:r w:rsidRPr="009D4CD4">
        <w:rPr>
          <w:rFonts w:cs="Arial"/>
        </w:rPr>
        <w:t>1/ La gouvernance est articulée autour de trois instances :</w:t>
      </w:r>
    </w:p>
    <w:p w14:paraId="6CDC43D8" w14:textId="77777777" w:rsidR="00621B2A" w:rsidRPr="009D4CD4" w:rsidRDefault="00621B2A" w:rsidP="00683C3A">
      <w:pPr>
        <w:spacing w:after="0" w:line="240" w:lineRule="auto"/>
        <w:jc w:val="left"/>
        <w:rPr>
          <w:rFonts w:cs="Arial"/>
        </w:rPr>
      </w:pPr>
    </w:p>
    <w:p w14:paraId="5923A962" w14:textId="77777777" w:rsidR="00621B2A" w:rsidRPr="009D4CD4" w:rsidRDefault="00621B2A" w:rsidP="00621B2A">
      <w:pPr>
        <w:spacing w:after="0" w:line="240" w:lineRule="auto"/>
        <w:jc w:val="left"/>
        <w:rPr>
          <w:rFonts w:cs="Arial"/>
        </w:rPr>
      </w:pPr>
      <w:r w:rsidRPr="009D4CD4">
        <w:rPr>
          <w:rFonts w:cs="Arial"/>
        </w:rPr>
        <w:t xml:space="preserve">&gt;Le pilotage général de la démarche RSE est confié au « Comité de la Transformation et de la RSE », placé sous l’autorité du Directeur général et composé des membres du Comité de direction. Ce Comité se réunit mensuellement. Il a pour mission de définir la stratégie RSE, de décider des actions et d’en suivre la mise en œuvre. </w:t>
      </w:r>
    </w:p>
    <w:p w14:paraId="4825EE71" w14:textId="77777777" w:rsidR="00621B2A" w:rsidRPr="009D4CD4" w:rsidRDefault="00621B2A" w:rsidP="00621B2A">
      <w:pPr>
        <w:tabs>
          <w:tab w:val="num" w:pos="1440"/>
        </w:tabs>
        <w:spacing w:after="0" w:line="240" w:lineRule="auto"/>
        <w:rPr>
          <w:rFonts w:cs="Arial"/>
        </w:rPr>
      </w:pPr>
    </w:p>
    <w:p w14:paraId="723936B8" w14:textId="77777777" w:rsidR="00621B2A" w:rsidRPr="009D4CD4" w:rsidRDefault="00621B2A" w:rsidP="00621B2A">
      <w:pPr>
        <w:tabs>
          <w:tab w:val="num" w:pos="1440"/>
        </w:tabs>
        <w:spacing w:after="0" w:line="240" w:lineRule="auto"/>
        <w:rPr>
          <w:rFonts w:cs="Arial"/>
        </w:rPr>
      </w:pPr>
      <w:r w:rsidRPr="009D4CD4">
        <w:rPr>
          <w:rFonts w:cs="Arial"/>
        </w:rPr>
        <w:t>&gt;La « Commission RSE », présidée par au moins un des deux DGA, se réunit mensuellement. Elle est composée de représentants de chaque direction, des animateurs de la démarche (pilote et experts RSE). La Commissi</w:t>
      </w:r>
      <w:r>
        <w:rPr>
          <w:rFonts w:cs="Arial"/>
        </w:rPr>
        <w:t xml:space="preserve">on RSE est un lieu permettant </w:t>
      </w:r>
      <w:r w:rsidRPr="009D4CD4">
        <w:rPr>
          <w:rFonts w:cs="Arial"/>
        </w:rPr>
        <w:t xml:space="preserve">d’échanger et </w:t>
      </w:r>
      <w:r>
        <w:rPr>
          <w:rFonts w:cs="Arial"/>
        </w:rPr>
        <w:t xml:space="preserve">de </w:t>
      </w:r>
      <w:r w:rsidRPr="009D4CD4">
        <w:rPr>
          <w:rFonts w:cs="Arial"/>
        </w:rPr>
        <w:t xml:space="preserve">partager les enjeux des projets et actions </w:t>
      </w:r>
      <w:r>
        <w:rPr>
          <w:rFonts w:cs="Arial"/>
        </w:rPr>
        <w:t xml:space="preserve">RSE, de </w:t>
      </w:r>
      <w:r w:rsidRPr="009D4CD4">
        <w:rPr>
          <w:rFonts w:cs="Arial"/>
        </w:rPr>
        <w:t>suivre les résultats, les plans d’actions et les indicateurs ; valider plus particulièrement les actions de communication interne et externe.</w:t>
      </w:r>
    </w:p>
    <w:p w14:paraId="17F53099" w14:textId="77777777" w:rsidR="00621B2A" w:rsidRPr="009D4CD4" w:rsidRDefault="00621B2A" w:rsidP="00621B2A">
      <w:pPr>
        <w:spacing w:after="0" w:line="240" w:lineRule="auto"/>
        <w:jc w:val="left"/>
        <w:rPr>
          <w:rFonts w:cs="Arial"/>
        </w:rPr>
      </w:pPr>
    </w:p>
    <w:p w14:paraId="34562BE2" w14:textId="77777777" w:rsidR="00621B2A" w:rsidRPr="009D4CD4" w:rsidRDefault="00621B2A" w:rsidP="00621B2A">
      <w:pPr>
        <w:spacing w:after="0" w:line="240" w:lineRule="auto"/>
        <w:jc w:val="left"/>
        <w:rPr>
          <w:rFonts w:cs="Arial"/>
        </w:rPr>
      </w:pPr>
      <w:r w:rsidRPr="009D4CD4">
        <w:rPr>
          <w:rFonts w:cs="Arial"/>
        </w:rPr>
        <w:t xml:space="preserve">&gt;Au niveau du Conseil d’Administration, le « Comité RSE » est une instance consultative ayant pour mission d’assister le Conseil d’Administration dans ses prises de décision dans le domaine de la RSE. Le Comité contribue à l’orientation de la politique RSE de l’entreprise. Il suit la mise en œuvre de cette politique et des actions afférentes et en analyse les effets et les résultats. Il rend compte mensuellement au Conseil d’Administration de l’exercice de ses missions. Présidé par le premier vice-président de la </w:t>
      </w:r>
      <w:r>
        <w:rPr>
          <w:rFonts w:cs="Arial"/>
        </w:rPr>
        <w:t>Caisse Régionale</w:t>
      </w:r>
      <w:r w:rsidRPr="009D4CD4">
        <w:rPr>
          <w:rFonts w:cs="Arial"/>
        </w:rPr>
        <w:t>, le Comité est composé de 5 administrateurs. Le Directeur générale Adjoint en charge du Développement participe aux réunions, de même que les animateurs de la démarche RSE.</w:t>
      </w:r>
    </w:p>
    <w:p w14:paraId="68DE4FD2" w14:textId="77777777" w:rsidR="00621B2A" w:rsidRPr="009D4CD4" w:rsidRDefault="00621B2A" w:rsidP="00621B2A">
      <w:pPr>
        <w:spacing w:after="0" w:line="240" w:lineRule="auto"/>
        <w:jc w:val="left"/>
      </w:pPr>
    </w:p>
    <w:p w14:paraId="33A91982" w14:textId="77777777" w:rsidR="00621B2A" w:rsidRPr="009D4CD4" w:rsidRDefault="00621B2A" w:rsidP="00621B2A">
      <w:pPr>
        <w:spacing w:after="0" w:line="240" w:lineRule="auto"/>
        <w:jc w:val="left"/>
      </w:pPr>
      <w:r w:rsidRPr="009D4CD4">
        <w:t>2/ L’équipe d’animation de la démarche RSE est composée d’une pilote et d’experts dans les différents domaines de la RSE (sociétal, social et environnement).</w:t>
      </w:r>
    </w:p>
    <w:p w14:paraId="7944717B" w14:textId="77777777" w:rsidR="00621B2A" w:rsidRPr="009D4CD4" w:rsidRDefault="00621B2A" w:rsidP="00621B2A">
      <w:pPr>
        <w:spacing w:after="0" w:line="240" w:lineRule="auto"/>
        <w:jc w:val="left"/>
      </w:pPr>
    </w:p>
    <w:p w14:paraId="51C2730B" w14:textId="77777777" w:rsidR="00621B2A" w:rsidRPr="009D4CD4" w:rsidRDefault="00621B2A" w:rsidP="00621B2A">
      <w:pPr>
        <w:spacing w:after="0" w:line="240" w:lineRule="auto"/>
        <w:rPr>
          <w:rFonts w:cs="Arial"/>
        </w:rPr>
      </w:pPr>
      <w:r w:rsidRPr="009D4CD4">
        <w:rPr>
          <w:rFonts w:cs="Arial"/>
        </w:rPr>
        <w:t>Selon les besoins d’implication participative, les propositions d’actions sont formulées directement par les différentes unités ou par des groupes de travail transverses comme ceux de la Fabrique. Dans les deux cas, les chefs de projet peuvent solliciter les experts RSE.</w:t>
      </w:r>
    </w:p>
    <w:p w14:paraId="2BC45479" w14:textId="77777777" w:rsidR="00621B2A" w:rsidRPr="009D4CD4" w:rsidRDefault="00621B2A" w:rsidP="00621B2A">
      <w:pPr>
        <w:spacing w:after="0" w:line="240" w:lineRule="auto"/>
        <w:jc w:val="left"/>
        <w:rPr>
          <w:rFonts w:cs="Arial"/>
        </w:rPr>
      </w:pPr>
    </w:p>
    <w:p w14:paraId="25E979E1" w14:textId="77777777" w:rsidR="00621B2A" w:rsidRPr="009D4CD4" w:rsidRDefault="00621B2A" w:rsidP="00621B2A">
      <w:pPr>
        <w:spacing w:after="0" w:line="240" w:lineRule="auto"/>
        <w:jc w:val="left"/>
        <w:rPr>
          <w:rFonts w:cs="Arial"/>
        </w:rPr>
      </w:pPr>
      <w:r w:rsidRPr="009D4CD4">
        <w:rPr>
          <w:rFonts w:cs="Arial"/>
        </w:rPr>
        <w:t>Force de proposition, d’animation, de communication interne, ainsi que de co-construction des actions, une communauté de salariés dénommée « le Studio RSE » est composée de plus de 50 salariés ayant répondu à un appel à volontaires.</w:t>
      </w:r>
    </w:p>
    <w:p w14:paraId="08F57100" w14:textId="77777777" w:rsidR="00621B2A" w:rsidRPr="009D4CD4" w:rsidRDefault="00621B2A" w:rsidP="00621B2A">
      <w:pPr>
        <w:spacing w:after="0" w:line="240" w:lineRule="auto"/>
        <w:jc w:val="left"/>
        <w:rPr>
          <w:rFonts w:cs="Arial"/>
        </w:rPr>
      </w:pPr>
    </w:p>
    <w:p w14:paraId="4AFCD2AF" w14:textId="77777777" w:rsidR="00621B2A" w:rsidRPr="009D4CD4" w:rsidRDefault="00621B2A" w:rsidP="00621B2A">
      <w:pPr>
        <w:numPr>
          <w:ilvl w:val="0"/>
          <w:numId w:val="4"/>
        </w:numPr>
        <w:spacing w:after="0" w:line="240" w:lineRule="auto"/>
        <w:jc w:val="left"/>
        <w:rPr>
          <w:rFonts w:cs="Arial"/>
        </w:rPr>
      </w:pPr>
      <w:r w:rsidRPr="009D4CD4">
        <w:rPr>
          <w:rFonts w:cs="Arial"/>
        </w:rPr>
        <w:t>La filiale Inforsud Technologies (IST)</w:t>
      </w:r>
    </w:p>
    <w:p w14:paraId="602B5A90" w14:textId="77777777" w:rsidR="00621B2A" w:rsidRPr="009D4CD4" w:rsidRDefault="00621B2A" w:rsidP="00621B2A">
      <w:pPr>
        <w:spacing w:after="0" w:line="240" w:lineRule="auto"/>
        <w:jc w:val="left"/>
      </w:pPr>
    </w:p>
    <w:p w14:paraId="7A3E4217" w14:textId="77777777" w:rsidR="00621B2A" w:rsidRPr="009D4CD4" w:rsidRDefault="00621B2A" w:rsidP="00621B2A">
      <w:pPr>
        <w:spacing w:after="0" w:line="240" w:lineRule="auto"/>
        <w:rPr>
          <w:rFonts w:asciiTheme="minorHAnsi" w:hAnsiTheme="minorHAnsi" w:cstheme="minorHAnsi"/>
        </w:rPr>
      </w:pPr>
      <w:r w:rsidRPr="009D4CD4">
        <w:t xml:space="preserve">Pour structurer la démarche de Responsabilité Sociétale et Environnementale des entités du Groupe Inforsud, un chantier a été ouvert en 2019, avec l’assistance du cabinet Ecoact. </w:t>
      </w:r>
    </w:p>
    <w:p w14:paraId="417A6F41" w14:textId="77777777" w:rsidR="00621B2A" w:rsidRPr="009D4CD4" w:rsidRDefault="00621B2A" w:rsidP="00621B2A">
      <w:pPr>
        <w:spacing w:after="0" w:line="240" w:lineRule="auto"/>
        <w:jc w:val="left"/>
      </w:pPr>
      <w:r w:rsidRPr="009D4CD4">
        <w:rPr>
          <w:rFonts w:asciiTheme="minorHAnsi" w:hAnsiTheme="minorHAnsi" w:cstheme="minorHAnsi"/>
        </w:rPr>
        <w:t xml:space="preserve">La </w:t>
      </w:r>
      <w:r w:rsidRPr="009D4CD4">
        <w:t xml:space="preserve">démarche RSE est pilotée par un comité RSE composé de collaborateurs volontaires dont les actions s’appuient autour des 4 piliers suivants : </w:t>
      </w:r>
    </w:p>
    <w:p w14:paraId="110AF70B" w14:textId="77777777" w:rsidR="00621B2A" w:rsidRPr="009D4CD4" w:rsidRDefault="00621B2A" w:rsidP="00621B2A">
      <w:pPr>
        <w:pStyle w:val="Paragraphedeliste"/>
        <w:numPr>
          <w:ilvl w:val="0"/>
          <w:numId w:val="7"/>
        </w:numPr>
        <w:rPr>
          <w:rFonts w:ascii="Calibri" w:eastAsia="Calibri" w:hAnsi="Calibri"/>
          <w:sz w:val="22"/>
          <w:szCs w:val="22"/>
          <w:lang w:eastAsia="en-US"/>
        </w:rPr>
      </w:pPr>
      <w:r w:rsidRPr="009D4CD4">
        <w:rPr>
          <w:rFonts w:ascii="Calibri" w:eastAsia="Calibri" w:hAnsi="Calibri"/>
          <w:sz w:val="22"/>
          <w:szCs w:val="22"/>
          <w:lang w:eastAsia="en-US"/>
        </w:rPr>
        <w:t xml:space="preserve">Être une entreprise experte et inspirante pour impulser une excellence opérationnelle. </w:t>
      </w:r>
    </w:p>
    <w:p w14:paraId="6CB42015" w14:textId="77777777" w:rsidR="00621B2A" w:rsidRPr="009D4CD4" w:rsidRDefault="00621B2A" w:rsidP="00621B2A">
      <w:pPr>
        <w:pStyle w:val="Paragraphedeliste"/>
        <w:numPr>
          <w:ilvl w:val="0"/>
          <w:numId w:val="7"/>
        </w:numPr>
        <w:rPr>
          <w:rFonts w:ascii="Calibri" w:eastAsia="Calibri" w:hAnsi="Calibri"/>
          <w:sz w:val="22"/>
          <w:szCs w:val="22"/>
          <w:lang w:eastAsia="en-US"/>
        </w:rPr>
      </w:pPr>
      <w:r w:rsidRPr="009D4CD4">
        <w:rPr>
          <w:rFonts w:ascii="Calibri" w:eastAsia="Calibri" w:hAnsi="Calibri"/>
          <w:sz w:val="22"/>
          <w:szCs w:val="22"/>
          <w:lang w:eastAsia="en-US"/>
        </w:rPr>
        <w:t xml:space="preserve">Être reconnu comme un employeur de choix par sa capacité à fédérer et créer une dynamique commune. </w:t>
      </w:r>
    </w:p>
    <w:p w14:paraId="553FC395" w14:textId="77777777" w:rsidR="00621B2A" w:rsidRPr="009D4CD4" w:rsidRDefault="00621B2A" w:rsidP="00621B2A">
      <w:pPr>
        <w:pStyle w:val="Paragraphedeliste"/>
        <w:numPr>
          <w:ilvl w:val="0"/>
          <w:numId w:val="7"/>
        </w:numPr>
        <w:rPr>
          <w:rFonts w:ascii="Calibri" w:eastAsia="Calibri" w:hAnsi="Calibri"/>
          <w:sz w:val="22"/>
          <w:szCs w:val="22"/>
          <w:lang w:eastAsia="en-US"/>
        </w:rPr>
      </w:pPr>
      <w:r w:rsidRPr="009D4CD4">
        <w:rPr>
          <w:rFonts w:ascii="Calibri" w:eastAsia="Calibri" w:hAnsi="Calibri"/>
          <w:sz w:val="22"/>
          <w:szCs w:val="22"/>
          <w:lang w:eastAsia="en-US"/>
        </w:rPr>
        <w:t xml:space="preserve">S’affirmer comme une entreprise locale engagée au service de la transformation numérique en Occitanie. </w:t>
      </w:r>
    </w:p>
    <w:p w14:paraId="0A3F1202" w14:textId="77777777" w:rsidR="00621B2A" w:rsidRPr="009D4CD4" w:rsidRDefault="00621B2A" w:rsidP="00621B2A">
      <w:pPr>
        <w:pStyle w:val="Paragraphedeliste"/>
        <w:numPr>
          <w:ilvl w:val="0"/>
          <w:numId w:val="7"/>
        </w:numPr>
        <w:rPr>
          <w:rFonts w:ascii="Calibri" w:eastAsia="Calibri" w:hAnsi="Calibri"/>
          <w:sz w:val="22"/>
          <w:szCs w:val="22"/>
          <w:lang w:eastAsia="en-US"/>
        </w:rPr>
      </w:pPr>
      <w:r w:rsidRPr="009D4CD4">
        <w:rPr>
          <w:rFonts w:ascii="Calibri" w:eastAsia="Calibri" w:hAnsi="Calibri"/>
          <w:sz w:val="22"/>
          <w:szCs w:val="22"/>
          <w:lang w:eastAsia="en-US"/>
        </w:rPr>
        <w:t>Agir pour réduire l’empreinte environnementale de nos activités et celles de nos clients.</w:t>
      </w:r>
    </w:p>
    <w:p w14:paraId="30A29944" w14:textId="4702502B" w:rsidR="00621B2A" w:rsidRDefault="00621B2A" w:rsidP="00621B2A">
      <w:r w:rsidRPr="009D4CD4">
        <w:t>En 2021, IST a ouvert un projet visant à obtenir le label Engagé RSE de l’Afnor.</w:t>
      </w:r>
    </w:p>
    <w:p w14:paraId="0D9FA203" w14:textId="43BD4CC3" w:rsidR="00B72A61" w:rsidRPr="009D4CD4" w:rsidRDefault="00B72A61" w:rsidP="00AC7865">
      <w:pPr>
        <w:pStyle w:val="Titre1"/>
      </w:pPr>
      <w:bookmarkStart w:id="9" w:name="_Toc96697958"/>
      <w:r w:rsidRPr="009D4CD4">
        <w:t>Les enjeux–clé de responsabilité sociétale et environnementale</w:t>
      </w:r>
      <w:bookmarkEnd w:id="6"/>
      <w:bookmarkEnd w:id="7"/>
      <w:r w:rsidR="00D17619" w:rsidRPr="009D4CD4">
        <w:t xml:space="preserve"> du CANMP</w:t>
      </w:r>
      <w:bookmarkEnd w:id="9"/>
    </w:p>
    <w:p w14:paraId="4016F327" w14:textId="0939DFC9" w:rsidR="00B72A61" w:rsidRPr="009D4CD4" w:rsidRDefault="00B72A61" w:rsidP="00B72A61">
      <w:pPr>
        <w:spacing w:after="0" w:line="240" w:lineRule="auto"/>
        <w:jc w:val="left"/>
        <w:rPr>
          <w:rFonts w:cs="Arial"/>
        </w:rPr>
      </w:pPr>
    </w:p>
    <w:p w14:paraId="04387224" w14:textId="0A5D989A" w:rsidR="00B72A61" w:rsidRPr="009D4CD4" w:rsidRDefault="00B72A61" w:rsidP="00B72A61">
      <w:pPr>
        <w:spacing w:after="0" w:line="240" w:lineRule="auto"/>
        <w:jc w:val="left"/>
        <w:rPr>
          <w:rFonts w:eastAsia="Times New Roman"/>
          <w:lang w:eastAsia="fr-FR"/>
        </w:rPr>
      </w:pPr>
      <w:r w:rsidRPr="009D4CD4">
        <w:rPr>
          <w:rFonts w:cs="Arial"/>
        </w:rPr>
        <w:t xml:space="preserve">Les enjeux-clé de Responsabilité Sociétale et Environnementale de la </w:t>
      </w:r>
      <w:r w:rsidR="00A7717F">
        <w:rPr>
          <w:rFonts w:cs="Arial"/>
        </w:rPr>
        <w:t>Caisse Régionale</w:t>
      </w:r>
      <w:r w:rsidRPr="009D4CD4">
        <w:rPr>
          <w:rFonts w:cs="Arial"/>
        </w:rPr>
        <w:t xml:space="preserve"> de Crédit Agricole Nord Midi-Pyrénées ont été déterminés à partir d’enquêtes menées au niveau national auprès des parties prenantes, dont les clients du </w:t>
      </w:r>
      <w:r w:rsidR="00D17619" w:rsidRPr="009D4CD4">
        <w:rPr>
          <w:rFonts w:cs="Arial"/>
        </w:rPr>
        <w:t>CANMP</w:t>
      </w:r>
      <w:r w:rsidRPr="009D4CD4">
        <w:rPr>
          <w:rFonts w:cs="Arial"/>
        </w:rPr>
        <w:t xml:space="preserve">. Ces enjeux RSE sont exposés sous forme de 8 engagements sur le site </w:t>
      </w:r>
      <w:r w:rsidRPr="009D4CD4">
        <w:t>https://www.ca-nmp.fr/engagements-rse-nmp.html</w:t>
      </w:r>
      <w:r w:rsidRPr="009D4CD4">
        <w:rPr>
          <w:rStyle w:val="Lienhypertexte"/>
          <w:color w:val="auto"/>
          <w:u w:val="none"/>
        </w:rPr>
        <w:t xml:space="preserve"> </w:t>
      </w:r>
      <w:r w:rsidRPr="009D4CD4">
        <w:rPr>
          <w:rFonts w:cs="Arial"/>
        </w:rPr>
        <w:t xml:space="preserve">: </w:t>
      </w:r>
      <w:r w:rsidRPr="009D4CD4">
        <w:rPr>
          <w:rFonts w:cs="Arial"/>
        </w:rPr>
        <w:br/>
        <w:t>&gt; Agir avec éthique</w:t>
      </w:r>
      <w:r w:rsidRPr="009D4CD4">
        <w:rPr>
          <w:rFonts w:cs="Arial"/>
        </w:rPr>
        <w:br/>
        <w:t xml:space="preserve">&gt; </w:t>
      </w:r>
      <w:r w:rsidRPr="009D4CD4">
        <w:rPr>
          <w:rFonts w:eastAsia="Times New Roman"/>
          <w:lang w:eastAsia="fr-FR"/>
        </w:rPr>
        <w:t>Apporter notre expertise à nos clients partout sur le territoire</w:t>
      </w:r>
      <w:r w:rsidRPr="009D4CD4">
        <w:rPr>
          <w:rFonts w:eastAsia="Times New Roman"/>
          <w:lang w:eastAsia="fr-FR"/>
        </w:rPr>
        <w:br/>
        <w:t>&gt; Etre une banque utile au territoire</w:t>
      </w:r>
      <w:r w:rsidRPr="009D4CD4">
        <w:rPr>
          <w:rFonts w:eastAsia="Times New Roman"/>
          <w:lang w:eastAsia="fr-FR"/>
        </w:rPr>
        <w:br/>
        <w:t>&gt; Accompagner la montée en compétence des salariés</w:t>
      </w:r>
      <w:r w:rsidRPr="009D4CD4">
        <w:rPr>
          <w:rFonts w:eastAsia="Times New Roman"/>
          <w:lang w:eastAsia="fr-FR"/>
        </w:rPr>
        <w:br/>
        <w:t>&gt; Favoriser l'épanouissement des salariés au travail</w:t>
      </w:r>
      <w:r w:rsidRPr="009D4CD4">
        <w:rPr>
          <w:rFonts w:eastAsia="Times New Roman"/>
          <w:lang w:eastAsia="fr-FR"/>
        </w:rPr>
        <w:br/>
        <w:t>&gt; Etre exemplaire sur l'égalité de traitement des salariés</w:t>
      </w:r>
      <w:r w:rsidRPr="009D4CD4">
        <w:rPr>
          <w:rFonts w:eastAsia="Times New Roman"/>
          <w:lang w:eastAsia="fr-FR"/>
        </w:rPr>
        <w:br/>
        <w:t>&gt; Réduire l'impact environnemental du Crédit Agricole</w:t>
      </w:r>
      <w:r w:rsidRPr="009D4CD4">
        <w:rPr>
          <w:rFonts w:eastAsia="Times New Roman"/>
          <w:lang w:eastAsia="fr-FR"/>
        </w:rPr>
        <w:br/>
        <w:t>&gt; Renforcer la représentativité des sociétaires.</w:t>
      </w:r>
    </w:p>
    <w:p w14:paraId="047F8508" w14:textId="77777777" w:rsidR="00B72A61" w:rsidRPr="009D4CD4" w:rsidRDefault="00B72A61" w:rsidP="00B72A61">
      <w:pPr>
        <w:spacing w:after="0" w:line="240" w:lineRule="auto"/>
        <w:jc w:val="left"/>
        <w:rPr>
          <w:rFonts w:eastAsia="Times New Roman"/>
          <w:lang w:eastAsia="fr-FR"/>
        </w:rPr>
      </w:pPr>
    </w:p>
    <w:p w14:paraId="2B1F2EFE" w14:textId="3F217CB9" w:rsidR="00B72A61" w:rsidRPr="009D4CD4" w:rsidRDefault="00D17619" w:rsidP="00B72A61">
      <w:pPr>
        <w:spacing w:after="0" w:line="240" w:lineRule="auto"/>
        <w:jc w:val="left"/>
        <w:rPr>
          <w:rFonts w:cs="Arial"/>
        </w:rPr>
      </w:pPr>
      <w:r w:rsidRPr="009D4CD4">
        <w:rPr>
          <w:rFonts w:cs="Arial"/>
        </w:rPr>
        <w:t>Pour le CANMP</w:t>
      </w:r>
      <w:r w:rsidR="00510F91">
        <w:rPr>
          <w:rFonts w:cs="Arial"/>
        </w:rPr>
        <w:t>, chacun des enjeux constitue un</w:t>
      </w:r>
      <w:r w:rsidR="00C5025A">
        <w:rPr>
          <w:rFonts w:cs="Arial"/>
        </w:rPr>
        <w:t>e opportunité</w:t>
      </w:r>
      <w:r w:rsidR="00B72A61" w:rsidRPr="009D4CD4">
        <w:rPr>
          <w:rFonts w:cs="Arial"/>
        </w:rPr>
        <w:t xml:space="preserve"> pour exercer ses métiers de façon responsable, c’est-à-dire en prenant en considération les impacts des décisions et actions sur la société et sur l’environnement. </w:t>
      </w:r>
      <w:r w:rsidR="00B72A61" w:rsidRPr="009D4CD4">
        <w:t>Ces enjeux sont également porteurs de risques extra-financiers</w:t>
      </w:r>
      <w:r w:rsidR="00B72A61" w:rsidRPr="009D4CD4">
        <w:rPr>
          <w:rStyle w:val="Appelnotedebasdep"/>
        </w:rPr>
        <w:footnoteReference w:id="4"/>
      </w:r>
      <w:r w:rsidR="00B72A61" w:rsidRPr="009D4CD4">
        <w:t xml:space="preserve"> que la </w:t>
      </w:r>
      <w:r w:rsidR="00A7717F">
        <w:t>Caisse Régionale</w:t>
      </w:r>
      <w:r w:rsidR="00B72A61" w:rsidRPr="009D4CD4">
        <w:rPr>
          <w:rFonts w:cs="Arial"/>
        </w:rPr>
        <w:t xml:space="preserve"> s’attache à réduire par la mise en place de dispositifs et de plans d’action dont les résultats font l’objet d’un suivi à l’aide d’indicateurs pluriannuels.</w:t>
      </w:r>
    </w:p>
    <w:p w14:paraId="3EDD7A38" w14:textId="77777777" w:rsidR="00D17619" w:rsidRPr="009D4CD4" w:rsidRDefault="00D17619" w:rsidP="00B72A61">
      <w:pPr>
        <w:autoSpaceDE w:val="0"/>
        <w:autoSpaceDN w:val="0"/>
        <w:adjustRightInd w:val="0"/>
        <w:spacing w:after="0" w:line="240" w:lineRule="auto"/>
        <w:jc w:val="left"/>
        <w:rPr>
          <w:i/>
        </w:rPr>
      </w:pPr>
    </w:p>
    <w:p w14:paraId="6E93853A" w14:textId="77777777" w:rsidR="00433BA1" w:rsidRPr="009D4CD4" w:rsidRDefault="00433BA1" w:rsidP="00B72A61">
      <w:pPr>
        <w:spacing w:after="0" w:line="240" w:lineRule="auto"/>
        <w:jc w:val="left"/>
        <w:rPr>
          <w:rFonts w:cs="Arial"/>
        </w:rPr>
      </w:pPr>
    </w:p>
    <w:p w14:paraId="2C6B0186" w14:textId="5C646093" w:rsidR="00B72A61" w:rsidRPr="009D4CD4" w:rsidRDefault="00B72A61" w:rsidP="00326D6D">
      <w:pPr>
        <w:pStyle w:val="Titre2"/>
      </w:pPr>
      <w:bookmarkStart w:id="10" w:name="_Toc32416021"/>
      <w:bookmarkStart w:id="11" w:name="_Toc59444697"/>
      <w:bookmarkStart w:id="12" w:name="_Toc96697959"/>
      <w:r w:rsidRPr="009D4CD4">
        <w:t>Agir avec éthique</w:t>
      </w:r>
      <w:bookmarkEnd w:id="10"/>
      <w:bookmarkEnd w:id="11"/>
      <w:bookmarkEnd w:id="12"/>
    </w:p>
    <w:p w14:paraId="20264A79" w14:textId="77777777" w:rsidR="00B72A61" w:rsidRPr="009D4CD4" w:rsidRDefault="00B72A61" w:rsidP="00B72A61">
      <w:pPr>
        <w:spacing w:after="0" w:line="240" w:lineRule="auto"/>
        <w:jc w:val="left"/>
        <w:rPr>
          <w:rFonts w:cs="Arial"/>
        </w:rPr>
      </w:pPr>
    </w:p>
    <w:p w14:paraId="7803C0CC" w14:textId="77777777" w:rsidR="00B72A61" w:rsidRPr="009D4CD4" w:rsidRDefault="00B72A61" w:rsidP="00B72A61">
      <w:pPr>
        <w:jc w:val="left"/>
      </w:pPr>
      <w:r w:rsidRPr="009D4CD4">
        <w:t>L’éthique dans les affaires relève d’une question centrale dans la responsabilité sociale des entreprises.</w:t>
      </w:r>
    </w:p>
    <w:p w14:paraId="43083ED5" w14:textId="18D3C00B" w:rsidR="00DC2D70" w:rsidRPr="009D4CD4" w:rsidRDefault="00DC2D70" w:rsidP="00DC2D70">
      <w:pPr>
        <w:pStyle w:val="Paragraphedeliste"/>
        <w:numPr>
          <w:ilvl w:val="0"/>
          <w:numId w:val="6"/>
        </w:numPr>
        <w:rPr>
          <w:rFonts w:ascii="Calibri" w:eastAsia="Calibri" w:hAnsi="Calibri" w:cs="Arial"/>
          <w:sz w:val="22"/>
          <w:szCs w:val="22"/>
          <w:lang w:eastAsia="en-US"/>
        </w:rPr>
      </w:pPr>
      <w:r w:rsidRPr="009D4CD4">
        <w:rPr>
          <w:rFonts w:ascii="Calibri" w:eastAsia="Calibri" w:hAnsi="Calibri" w:cs="Arial"/>
          <w:sz w:val="22"/>
          <w:szCs w:val="22"/>
          <w:lang w:eastAsia="en-US"/>
        </w:rPr>
        <w:t xml:space="preserve">Au niveau de la </w:t>
      </w:r>
      <w:r w:rsidR="00A7717F">
        <w:rPr>
          <w:rFonts w:ascii="Calibri" w:eastAsia="Calibri" w:hAnsi="Calibri" w:cs="Arial"/>
          <w:sz w:val="22"/>
          <w:szCs w:val="22"/>
          <w:lang w:eastAsia="en-US"/>
        </w:rPr>
        <w:t>Caisse Régionale</w:t>
      </w:r>
    </w:p>
    <w:p w14:paraId="2E5F3A6F" w14:textId="77777777" w:rsidR="00DC2D70" w:rsidRPr="009D4CD4" w:rsidRDefault="00DC2D70" w:rsidP="00B72A61">
      <w:pPr>
        <w:spacing w:after="0" w:line="240" w:lineRule="auto"/>
        <w:jc w:val="left"/>
        <w:rPr>
          <w:rFonts w:cs="Arial"/>
        </w:rPr>
      </w:pPr>
    </w:p>
    <w:p w14:paraId="165191FD" w14:textId="70FBCDBA" w:rsidR="00B72A61" w:rsidRPr="009D4CD4" w:rsidRDefault="00B72A61" w:rsidP="00B72A61">
      <w:pPr>
        <w:spacing w:after="0" w:line="240" w:lineRule="auto"/>
        <w:jc w:val="left"/>
        <w:rPr>
          <w:rFonts w:cs="Arial"/>
        </w:rPr>
      </w:pPr>
      <w:r w:rsidRPr="009D4CD4">
        <w:rPr>
          <w:rFonts w:cs="Arial"/>
        </w:rPr>
        <w:t>Les dispositifs éthiques mis en place par le Crédit Agricole Nord Midi-</w:t>
      </w:r>
      <w:r w:rsidR="007413FC" w:rsidRPr="009D4CD4">
        <w:rPr>
          <w:rFonts w:cs="Arial"/>
        </w:rPr>
        <w:t xml:space="preserve">Pyrénées s’articulent autour des </w:t>
      </w:r>
      <w:r w:rsidRPr="009D4CD4">
        <w:rPr>
          <w:rFonts w:cs="Arial"/>
        </w:rPr>
        <w:t>axes</w:t>
      </w:r>
      <w:r w:rsidR="007413FC" w:rsidRPr="009D4CD4">
        <w:rPr>
          <w:rFonts w:cs="Arial"/>
        </w:rPr>
        <w:t xml:space="preserve"> suivants</w:t>
      </w:r>
      <w:r w:rsidRPr="009D4CD4">
        <w:rPr>
          <w:rFonts w:cs="Arial"/>
        </w:rPr>
        <w:t xml:space="preserve"> : </w:t>
      </w:r>
    </w:p>
    <w:p w14:paraId="525A4C55" w14:textId="77777777" w:rsidR="00B72A61" w:rsidRPr="009D4CD4" w:rsidRDefault="00B72A61" w:rsidP="00F41917">
      <w:pPr>
        <w:pStyle w:val="Paragraphedeliste"/>
        <w:numPr>
          <w:ilvl w:val="0"/>
          <w:numId w:val="7"/>
        </w:numPr>
        <w:rPr>
          <w:rFonts w:ascii="Calibri" w:eastAsia="Calibri" w:hAnsi="Calibri" w:cs="Arial"/>
          <w:sz w:val="22"/>
          <w:szCs w:val="22"/>
          <w:lang w:eastAsia="en-US"/>
        </w:rPr>
      </w:pPr>
      <w:r w:rsidRPr="009D4CD4">
        <w:rPr>
          <w:rFonts w:ascii="Calibri" w:eastAsia="Calibri" w:hAnsi="Calibri" w:cs="Arial"/>
          <w:sz w:val="22"/>
          <w:szCs w:val="22"/>
          <w:lang w:eastAsia="en-US"/>
        </w:rPr>
        <w:t>Renforcer les pratiques éthiques dans tous les métiers, entités et fonctions</w:t>
      </w:r>
    </w:p>
    <w:p w14:paraId="6D2F4646" w14:textId="77777777" w:rsidR="005F4183" w:rsidRPr="009D4CD4" w:rsidRDefault="005F4183" w:rsidP="00F41917">
      <w:pPr>
        <w:pStyle w:val="Paragraphedeliste"/>
        <w:numPr>
          <w:ilvl w:val="0"/>
          <w:numId w:val="7"/>
        </w:numPr>
        <w:rPr>
          <w:rFonts w:ascii="Calibri" w:eastAsia="Calibri" w:hAnsi="Calibri" w:cs="Arial"/>
          <w:sz w:val="22"/>
          <w:szCs w:val="22"/>
          <w:lang w:eastAsia="en-US"/>
        </w:rPr>
      </w:pPr>
      <w:r w:rsidRPr="009D4CD4">
        <w:rPr>
          <w:rFonts w:ascii="Calibri" w:eastAsia="Calibri" w:hAnsi="Calibri" w:cs="Arial"/>
          <w:sz w:val="22"/>
          <w:szCs w:val="22"/>
          <w:lang w:eastAsia="en-US"/>
        </w:rPr>
        <w:t>L’écoute – clients et le traitement des réclamations</w:t>
      </w:r>
    </w:p>
    <w:p w14:paraId="49A7CCC3" w14:textId="77777777" w:rsidR="005F4183" w:rsidRPr="009D4CD4" w:rsidRDefault="005F4183" w:rsidP="00F41917">
      <w:pPr>
        <w:pStyle w:val="Paragraphedeliste"/>
        <w:numPr>
          <w:ilvl w:val="0"/>
          <w:numId w:val="7"/>
        </w:numPr>
        <w:rPr>
          <w:rFonts w:ascii="Calibri" w:eastAsia="Calibri" w:hAnsi="Calibri" w:cs="Arial"/>
          <w:sz w:val="22"/>
          <w:szCs w:val="22"/>
          <w:lang w:eastAsia="en-US"/>
        </w:rPr>
      </w:pPr>
      <w:r w:rsidRPr="009D4CD4">
        <w:rPr>
          <w:rFonts w:ascii="Calibri" w:eastAsia="Calibri" w:hAnsi="Calibri" w:cs="Arial"/>
          <w:sz w:val="22"/>
          <w:szCs w:val="22"/>
          <w:lang w:eastAsia="en-US"/>
        </w:rPr>
        <w:t>La démarche d’achats responsables</w:t>
      </w:r>
    </w:p>
    <w:p w14:paraId="45672CE1" w14:textId="77777777" w:rsidR="005F4183" w:rsidRPr="009D4CD4" w:rsidRDefault="005F4183" w:rsidP="00F41917">
      <w:pPr>
        <w:pStyle w:val="Paragraphedeliste"/>
        <w:numPr>
          <w:ilvl w:val="0"/>
          <w:numId w:val="7"/>
        </w:numPr>
        <w:rPr>
          <w:rFonts w:ascii="Calibri" w:eastAsia="Calibri" w:hAnsi="Calibri" w:cs="Arial"/>
          <w:sz w:val="22"/>
          <w:szCs w:val="22"/>
          <w:lang w:eastAsia="en-US"/>
        </w:rPr>
      </w:pPr>
      <w:r w:rsidRPr="009D4CD4">
        <w:rPr>
          <w:rFonts w:ascii="Calibri" w:eastAsia="Calibri" w:hAnsi="Calibri" w:cs="Arial"/>
          <w:sz w:val="22"/>
          <w:szCs w:val="22"/>
          <w:lang w:eastAsia="en-US"/>
        </w:rPr>
        <w:t>Le droit d’alerte</w:t>
      </w:r>
    </w:p>
    <w:p w14:paraId="22319DFD" w14:textId="77777777" w:rsidR="00B72A61" w:rsidRPr="009D4CD4" w:rsidRDefault="00B72A61" w:rsidP="00F41917">
      <w:pPr>
        <w:pStyle w:val="Paragraphedeliste"/>
        <w:numPr>
          <w:ilvl w:val="0"/>
          <w:numId w:val="7"/>
        </w:numPr>
        <w:rPr>
          <w:rFonts w:ascii="Calibri" w:eastAsia="Calibri" w:hAnsi="Calibri" w:cs="Arial"/>
          <w:sz w:val="22"/>
          <w:szCs w:val="22"/>
          <w:lang w:eastAsia="en-US"/>
        </w:rPr>
      </w:pPr>
      <w:r w:rsidRPr="009D4CD4">
        <w:rPr>
          <w:rFonts w:ascii="Calibri" w:eastAsia="Calibri" w:hAnsi="Calibri" w:cs="Arial"/>
          <w:sz w:val="22"/>
          <w:szCs w:val="22"/>
          <w:lang w:eastAsia="en-US"/>
        </w:rPr>
        <w:t>Renforcer la prise en compte de la clientèle fragile.</w:t>
      </w:r>
    </w:p>
    <w:p w14:paraId="6486BC1D" w14:textId="4F71CED9" w:rsidR="00B72A61" w:rsidRPr="009D4CD4" w:rsidRDefault="00B72A61" w:rsidP="00B72A61">
      <w:pPr>
        <w:spacing w:after="0" w:line="240" w:lineRule="auto"/>
        <w:jc w:val="left"/>
        <w:rPr>
          <w:rFonts w:cs="Arial"/>
        </w:rPr>
      </w:pPr>
    </w:p>
    <w:p w14:paraId="5C1947DA" w14:textId="77777777" w:rsidR="002F3C7E" w:rsidRPr="009D4CD4" w:rsidRDefault="002F3C7E" w:rsidP="00B72A61">
      <w:pPr>
        <w:spacing w:after="0" w:line="240" w:lineRule="auto"/>
        <w:jc w:val="left"/>
        <w:rPr>
          <w:rFonts w:cs="Arial"/>
        </w:rPr>
      </w:pPr>
    </w:p>
    <w:p w14:paraId="02D7AE57" w14:textId="62B1A22B" w:rsidR="004A6837" w:rsidRPr="00EE402D" w:rsidRDefault="00B72A61" w:rsidP="00B72A61">
      <w:pPr>
        <w:pStyle w:val="Titre3"/>
      </w:pPr>
      <w:bookmarkStart w:id="13" w:name="_Toc32416022"/>
      <w:bookmarkStart w:id="14" w:name="_Toc59444698"/>
      <w:bookmarkStart w:id="15" w:name="_Toc96697960"/>
      <w:r w:rsidRPr="009D4CD4">
        <w:t>Renforcer les pratiques éthiques dans tous les métiers, entités et fonctions</w:t>
      </w:r>
      <w:bookmarkEnd w:id="13"/>
      <w:bookmarkEnd w:id="14"/>
      <w:bookmarkEnd w:id="15"/>
    </w:p>
    <w:p w14:paraId="2747F388" w14:textId="4B08BC85" w:rsidR="00B72A61" w:rsidRPr="009D4CD4" w:rsidRDefault="00E9111E" w:rsidP="00DC2D70">
      <w:pPr>
        <w:pStyle w:val="Titre4"/>
      </w:pPr>
      <w:bookmarkStart w:id="16" w:name="_Toc96697961"/>
      <w:r w:rsidRPr="009D4CD4">
        <w:t>L’éthique dans le conseil</w:t>
      </w:r>
      <w:r w:rsidR="00DC2D70" w:rsidRPr="009D4CD4">
        <w:t> </w:t>
      </w:r>
      <w:r w:rsidR="00CD356E" w:rsidRPr="009D4CD4">
        <w:t>et le projet 100%Client</w:t>
      </w:r>
      <w:bookmarkEnd w:id="16"/>
    </w:p>
    <w:p w14:paraId="271A7BB6" w14:textId="77777777" w:rsidR="00B72A61" w:rsidRPr="009D4CD4" w:rsidRDefault="00B72A61" w:rsidP="00B72A61">
      <w:pPr>
        <w:spacing w:after="0" w:line="240" w:lineRule="auto"/>
        <w:ind w:right="1"/>
        <w:jc w:val="left"/>
        <w:rPr>
          <w:rFonts w:cs="Arial"/>
        </w:rPr>
      </w:pPr>
      <w:r w:rsidRPr="009D4CD4">
        <w:rPr>
          <w:rFonts w:cs="Arial"/>
        </w:rPr>
        <w:t xml:space="preserve">Les Caisses régionales de Crédit Agricole se sont engagées dès 2010 à répondre aux attentes des clients en matière de loyauté, d’écoute, de reconnaissance, d’éthique dans le conseil.  Autant d’attentes érigées en valeurs pour le Groupe, qui a défini des engagements pour les honorer. </w:t>
      </w:r>
      <w:r w:rsidRPr="009D4CD4">
        <w:rPr>
          <w:rFonts w:cs="Arial"/>
        </w:rPr>
        <w:br/>
        <w:t xml:space="preserve">Trois engagements sont ainsi en œuvre dans toutes les agences du Crédit Agricole Nord Midi-Pyrénées : </w:t>
      </w:r>
      <w:r w:rsidRPr="009D4CD4">
        <w:rPr>
          <w:rFonts w:cs="Arial"/>
        </w:rPr>
        <w:br/>
      </w:r>
      <w:r w:rsidRPr="009D4CD4">
        <w:rPr>
          <w:rFonts w:cs="Arial"/>
          <w:i/>
        </w:rPr>
        <w:t>&gt; L’objectivité</w:t>
      </w:r>
      <w:r w:rsidRPr="009D4CD4">
        <w:rPr>
          <w:rFonts w:cs="Arial"/>
        </w:rPr>
        <w:t>. Le conseiller n’a aucune incitation financière à proposer à ses clients un produit plutôt qu’un autre. Toutes les fois que c’est possible, il propose plusieurs solutions. Sa rémunération peut comporter une part variable, mais sans lien avec tel ou tel produit vendu.</w:t>
      </w:r>
    </w:p>
    <w:p w14:paraId="3E08BC86" w14:textId="77777777" w:rsidR="00B72A61" w:rsidRPr="009D4CD4" w:rsidRDefault="00B72A61" w:rsidP="00B72A61">
      <w:pPr>
        <w:spacing w:after="0" w:line="240" w:lineRule="auto"/>
        <w:ind w:right="1"/>
        <w:jc w:val="left"/>
        <w:rPr>
          <w:rFonts w:cs="Arial"/>
        </w:rPr>
      </w:pPr>
      <w:r w:rsidRPr="009D4CD4">
        <w:rPr>
          <w:rFonts w:cs="Arial"/>
          <w:i/>
        </w:rPr>
        <w:t>&gt; La transparence</w:t>
      </w:r>
      <w:r w:rsidRPr="009D4CD4">
        <w:rPr>
          <w:rFonts w:cs="Arial"/>
        </w:rPr>
        <w:t>. En conclusion de toute vente, un mémo récapitulant les points – clé est proposé au client. Ce support à vocation pédagogique contenant les caractéristiques d’un produit tout au long de sa vie est une preuve de confiance : tout est dit et le Crédit Agricole s’engage en l’écrivant.</w:t>
      </w:r>
    </w:p>
    <w:p w14:paraId="70353E7D" w14:textId="77777777" w:rsidR="00B72A61" w:rsidRPr="009D4CD4" w:rsidRDefault="00B72A61" w:rsidP="00B72A61">
      <w:pPr>
        <w:spacing w:after="0" w:line="240" w:lineRule="auto"/>
        <w:ind w:right="1"/>
        <w:jc w:val="left"/>
        <w:rPr>
          <w:rFonts w:cs="Arial"/>
        </w:rPr>
      </w:pPr>
      <w:r w:rsidRPr="009D4CD4">
        <w:rPr>
          <w:rFonts w:cs="Arial"/>
          <w:i/>
        </w:rPr>
        <w:t>&gt; Le droit de changer d’avis</w:t>
      </w:r>
      <w:r w:rsidRPr="009D4CD4">
        <w:rPr>
          <w:rFonts w:cs="Arial"/>
        </w:rPr>
        <w:t>. Le délai de rétractation est étendu à 30 jours pour une majorité de produits.  Déjà requis pour l’assurance – vie, ce délai de 30 jours s’applique également aux univers de la banque au quotidien, de l’épargne, de l’assurance, à l’exception des crédits et des produits financiers (OPCVM etc.).</w:t>
      </w:r>
    </w:p>
    <w:p w14:paraId="45AB2B22" w14:textId="728573FC" w:rsidR="00B72A61" w:rsidRPr="009D4CD4" w:rsidRDefault="00B72A61" w:rsidP="00B72A61">
      <w:pPr>
        <w:spacing w:after="0" w:line="240" w:lineRule="auto"/>
        <w:ind w:right="1"/>
        <w:jc w:val="left"/>
        <w:rPr>
          <w:rFonts w:cs="Arial"/>
        </w:rPr>
      </w:pPr>
    </w:p>
    <w:p w14:paraId="0F3F2B65" w14:textId="77777777" w:rsidR="00CD356E" w:rsidRPr="009D4CD4" w:rsidRDefault="00CD356E" w:rsidP="00CD356E">
      <w:pPr>
        <w:spacing w:after="0" w:line="240" w:lineRule="auto"/>
        <w:jc w:val="left"/>
        <w:rPr>
          <w:rFonts w:cs="Arial"/>
        </w:rPr>
      </w:pPr>
      <w:r w:rsidRPr="009D4CD4">
        <w:rPr>
          <w:rFonts w:cs="Arial"/>
        </w:rPr>
        <w:t>Par la suite, les engagements relationnels ont été renforcés par d’autres démarches, portées à tous les niveaux, notamment les sites administratifs, afin de partager les valeurs-clé du Groupe en matière de proximité relationnelle, d’écoute et de loyauté. Tous les collaborateurs sont invités à adopter des comportements permettant d’améliorer les relations en termes de disponibilité, de réactivité, d’accessibilité et de respect vis-à-vis des partenaires internes (collègues) ou externes (prestataires, fournisseurs, clients finaux etc.)</w:t>
      </w:r>
    </w:p>
    <w:p w14:paraId="4BB786E0" w14:textId="77777777" w:rsidR="00677357" w:rsidRDefault="00677357" w:rsidP="00CD356E">
      <w:pPr>
        <w:spacing w:after="0" w:line="240" w:lineRule="auto"/>
        <w:jc w:val="left"/>
        <w:rPr>
          <w:rFonts w:cs="Arial"/>
          <w:color w:val="FF0000"/>
        </w:rPr>
      </w:pPr>
    </w:p>
    <w:p w14:paraId="73B1573D" w14:textId="23EF0163" w:rsidR="00015F8C" w:rsidRPr="009D4CD4" w:rsidRDefault="00CD356E" w:rsidP="00CD356E">
      <w:pPr>
        <w:spacing w:after="0" w:line="240" w:lineRule="auto"/>
        <w:jc w:val="left"/>
      </w:pPr>
      <w:r w:rsidRPr="009D4CD4">
        <w:t xml:space="preserve">En 2021, le CANMP a ouvert le projet </w:t>
      </w:r>
      <w:r w:rsidR="00015F8C" w:rsidRPr="009D4CD4">
        <w:t>NMP100%CLIENT</w:t>
      </w:r>
      <w:r w:rsidRPr="009D4CD4">
        <w:t xml:space="preserve">, </w:t>
      </w:r>
      <w:r w:rsidR="00015F8C" w:rsidRPr="009D4CD4">
        <w:t>déclinaison du modèle relationnel du Groupe Crédit Agricole.</w:t>
      </w:r>
      <w:r w:rsidR="00922F77" w:rsidRPr="009D4CD4">
        <w:t xml:space="preserve"> </w:t>
      </w:r>
      <w:r w:rsidR="00015F8C" w:rsidRPr="009D4CD4">
        <w:t xml:space="preserve">L’objectif collectif d’être la banque préférée des français, n°1 au niveau de l’Indice de Recommandation Client (IRC), </w:t>
      </w:r>
      <w:r w:rsidR="00922F77" w:rsidRPr="009D4CD4">
        <w:t xml:space="preserve">a conduit la </w:t>
      </w:r>
      <w:r w:rsidR="00A7717F">
        <w:t>Caisse Régionale</w:t>
      </w:r>
      <w:r w:rsidR="00015F8C" w:rsidRPr="009D4CD4">
        <w:t xml:space="preserve"> à rehausser les exigences d’excellence dans chacune des interactions avec les clients.  De cet objectif se dégagent deux ambitions : rendre l’activité gérée à 90% en autonomie au niveau de la personne ou de l’équipe, transformer le rôle des managers par un accompagnement autour des pratiques managériales.</w:t>
      </w:r>
    </w:p>
    <w:p w14:paraId="69159799" w14:textId="0DE24400" w:rsidR="00015F8C" w:rsidRPr="009D4CD4" w:rsidRDefault="00015F8C" w:rsidP="00CD356E">
      <w:pPr>
        <w:spacing w:after="0" w:line="240" w:lineRule="auto"/>
        <w:jc w:val="left"/>
      </w:pPr>
      <w:r w:rsidRPr="009D4CD4">
        <w:t>Le modèle relationnel a été construit à partir</w:t>
      </w:r>
      <w:r w:rsidR="00510F91">
        <w:t xml:space="preserve"> de l’écoute client : l</w:t>
      </w:r>
      <w:r w:rsidRPr="009D4CD4">
        <w:t>a crise sanitaire et le confinement ont accéléré la digitalisation et la banque à distance, avec une hybridation encore plus forte du présentiel et du distanciel. Face à ces enjeux, quatre familles d’attentes des clients ressortent plus nettement : le savoir-être, la réactivité, l’écoute et la personnalisation, le suivi.</w:t>
      </w:r>
    </w:p>
    <w:p w14:paraId="7C65B2E7" w14:textId="77777777" w:rsidR="00015F8C" w:rsidRPr="009D4CD4" w:rsidRDefault="00015F8C" w:rsidP="00CD356E">
      <w:pPr>
        <w:spacing w:after="0" w:line="240" w:lineRule="auto"/>
        <w:jc w:val="left"/>
      </w:pPr>
      <w:r w:rsidRPr="009D4CD4">
        <w:t>Le modèle relationnel est basé sur un ensemble de postures et de pratiques, relationnelles et managériales :</w:t>
      </w:r>
      <w:r w:rsidRPr="009D4CD4">
        <w:br/>
        <w:t>&gt; 9 pratiques relationnelles : le client ; le temps adapté d’écoute active ; la prise en charge immédiate ; l’art de présenter ses excuses ; la marque d’attention ; les moments forts ; l’autonomie digitale ; la pédagogie du non et la solution du plan B ; l’éventail des solutions,</w:t>
      </w:r>
      <w:r w:rsidRPr="009D4CD4">
        <w:br/>
        <w:t>&gt; 7 pratiques managériales : animer l’excellence relationnelles dans les réunions d’équipe ; faciliter l’engagement individuel et collectif ; développer la culture du feedback ; permettre au collaborateur d’agir en autonomie ; coacher/accompagner les collaborateurs ; organiser des ateliers collaboratifs avec ou sans managers.</w:t>
      </w:r>
    </w:p>
    <w:p w14:paraId="648D3E74" w14:textId="2B40035D" w:rsidR="00015F8C" w:rsidRPr="009D4CD4" w:rsidRDefault="00D37A71" w:rsidP="00CD356E">
      <w:pPr>
        <w:spacing w:after="0" w:line="240" w:lineRule="auto"/>
        <w:jc w:val="left"/>
      </w:pPr>
      <w:r>
        <w:t xml:space="preserve">Le déploiement </w:t>
      </w:r>
      <w:r w:rsidR="00015F8C" w:rsidRPr="009D4CD4">
        <w:t xml:space="preserve">du projet NMP100%CLIENT se déroule en 3 étapes : </w:t>
      </w:r>
    </w:p>
    <w:p w14:paraId="19A1CFC5" w14:textId="1613D393" w:rsidR="00015F8C" w:rsidRPr="009D4CD4" w:rsidRDefault="00015F8C" w:rsidP="00CD356E">
      <w:pPr>
        <w:spacing w:after="0" w:line="240" w:lineRule="auto"/>
      </w:pPr>
      <w:r w:rsidRPr="009D4CD4">
        <w:t xml:space="preserve">1/ Pré-déploiement : Cette étape, débutée en juin 2021, consiste à personnaliser les pratiques relationnelles et managériales priorisées par la </w:t>
      </w:r>
      <w:r w:rsidR="00A7717F">
        <w:t>Caisse Régionale</w:t>
      </w:r>
      <w:r w:rsidRPr="009D4CD4">
        <w:t xml:space="preserve">, et proposer des adaptations organisationnelles qui vont en faciliter le déploiement. Durant cette période, 48 collaborateurs bénéficient de 5 journées de formation pour incarner le modèle relationnel NMP100%CLIENT. Ces collaborateurs nommés « acteurs de la transformation » assureront à leur tour la formation des équipes lors de la phase de déploiement. Ils seront les garants de l’appropriation des pratiques et des postures, par la mise en place d’ateliers </w:t>
      </w:r>
      <w:r w:rsidR="00B708C8" w:rsidRPr="009D4CD4">
        <w:t>au sein des équipes</w:t>
      </w:r>
      <w:r w:rsidRPr="009D4CD4">
        <w:t>.</w:t>
      </w:r>
    </w:p>
    <w:p w14:paraId="6FAC740F" w14:textId="34FCAA64" w:rsidR="00015F8C" w:rsidRPr="009D4CD4" w:rsidRDefault="00015F8C" w:rsidP="00CD356E">
      <w:pPr>
        <w:spacing w:after="0" w:line="240" w:lineRule="auto"/>
        <w:jc w:val="left"/>
      </w:pPr>
      <w:r w:rsidRPr="009D4CD4">
        <w:t xml:space="preserve">2/ Pilote : </w:t>
      </w:r>
      <w:r w:rsidR="00B708C8" w:rsidRPr="009D4CD4">
        <w:t>un Pilote est prévu au mois de mars 2022 auprès de deux secteurs d’agences et de trois unités, soit environ 250 collaborateurs.</w:t>
      </w:r>
    </w:p>
    <w:p w14:paraId="45ED45D4" w14:textId="77777777" w:rsidR="00015F8C" w:rsidRPr="009D4CD4" w:rsidRDefault="00015F8C" w:rsidP="00CD356E">
      <w:pPr>
        <w:spacing w:after="0" w:line="240" w:lineRule="auto"/>
        <w:jc w:val="left"/>
      </w:pPr>
      <w:r w:rsidRPr="009D4CD4">
        <w:t>3/ Déploiement généralisé : le déploiement sur l’ensemble de la CR est prévu de septembre 2022 à mars 2023. Il va s’échelonner par vagues successives de 250 collaborateurs.</w:t>
      </w:r>
    </w:p>
    <w:p w14:paraId="3A9CC2E3" w14:textId="77777777" w:rsidR="00015F8C" w:rsidRPr="009D4CD4" w:rsidRDefault="00015F8C" w:rsidP="00CD356E">
      <w:pPr>
        <w:spacing w:after="0" w:line="240" w:lineRule="auto"/>
        <w:jc w:val="left"/>
      </w:pPr>
      <w:r w:rsidRPr="009D4CD4">
        <w:t>L’appropriation du dispositif sera mesurée par différentes enquêtes (enquêtes internes, IRC Agences, IRC stratégique, enquêtes moments de vie).</w:t>
      </w:r>
    </w:p>
    <w:p w14:paraId="617AF860" w14:textId="3740E979" w:rsidR="004060DC" w:rsidRPr="009D4CD4" w:rsidRDefault="004060DC" w:rsidP="004060DC">
      <w:pPr>
        <w:pStyle w:val="Titre4"/>
      </w:pPr>
      <w:bookmarkStart w:id="17" w:name="_Toc96697962"/>
      <w:r w:rsidRPr="009D4CD4">
        <w:t>La déontologie et l’éthique</w:t>
      </w:r>
      <w:bookmarkEnd w:id="17"/>
    </w:p>
    <w:p w14:paraId="5D821525" w14:textId="15288D2C" w:rsidR="004060DC" w:rsidRPr="009D4CD4" w:rsidRDefault="004060DC" w:rsidP="004060DC">
      <w:pPr>
        <w:spacing w:after="0" w:line="240" w:lineRule="auto"/>
        <w:jc w:val="left"/>
      </w:pPr>
      <w:r w:rsidRPr="009D4CD4">
        <w:t xml:space="preserve">L’ensemble des droits et devoirs qui régissent l’activité de la </w:t>
      </w:r>
      <w:r w:rsidR="00A7717F">
        <w:t>Caisse Régionale</w:t>
      </w:r>
      <w:r w:rsidRPr="009D4CD4">
        <w:t xml:space="preserve">, la conduite de ceux qui l'exercent, ainsi que les rapports entre ceux-ci et les clients ont été formalisés dans plusieurs documents : le code de déontologie, le règlement intérieur et la politique de prévention et de gestion des conflits d’intérêts. Un registre des conflits d’intérêts potentiels est tenu, permettant d’identifier les personnes considérées comme initiés permanents ou personnes sensibles, en raison de leur fonction ou de leurs positions. </w:t>
      </w:r>
    </w:p>
    <w:p w14:paraId="62721D82" w14:textId="77777777" w:rsidR="004060DC" w:rsidRPr="009D4CD4" w:rsidRDefault="004060DC" w:rsidP="004060DC">
      <w:pPr>
        <w:spacing w:after="0" w:line="240" w:lineRule="auto"/>
        <w:jc w:val="left"/>
      </w:pPr>
      <w:r w:rsidRPr="009D4CD4">
        <w:t> </w:t>
      </w:r>
    </w:p>
    <w:p w14:paraId="4EE2E1BD" w14:textId="77777777" w:rsidR="004060DC" w:rsidRPr="009D4CD4" w:rsidRDefault="009012B3" w:rsidP="004060DC">
      <w:pPr>
        <w:spacing w:after="0" w:line="240" w:lineRule="auto"/>
        <w:jc w:val="left"/>
      </w:pPr>
      <w:r w:rsidRPr="009D4CD4">
        <w:t>Dès</w:t>
      </w:r>
      <w:r w:rsidR="004060DC" w:rsidRPr="009D4CD4">
        <w:t xml:space="preserve"> 2016, les propositions d’un groupe de travail ont fait l’objet d’un plan d’action visant à démultiplier dans l’entreprise les fondamentaux de l’éthique, centrés sur 4 valeurs-clé que sont l’intégrité, l’honnêteté, l’équité et le respect. Animation vidéo, plaquette ont été partagées en réunion de l’encadrement, dans les unités et les agences. Tous les supports sont accessibles dans l’intranet.</w:t>
      </w:r>
    </w:p>
    <w:p w14:paraId="70FADD82" w14:textId="77777777" w:rsidR="004060DC" w:rsidRPr="009D4CD4" w:rsidRDefault="004060DC" w:rsidP="004060DC">
      <w:pPr>
        <w:spacing w:after="0" w:line="240" w:lineRule="auto"/>
        <w:jc w:val="left"/>
      </w:pPr>
    </w:p>
    <w:p w14:paraId="6310B9DD" w14:textId="77777777" w:rsidR="004060DC" w:rsidRPr="009D4CD4" w:rsidRDefault="004060DC" w:rsidP="004060DC">
      <w:pPr>
        <w:pStyle w:val="textedocumentaire0"/>
        <w:rPr>
          <w:rFonts w:ascii="Calibri" w:eastAsia="Calibri" w:hAnsi="Calibri" w:cs="Times New Roman"/>
          <w:sz w:val="22"/>
          <w:szCs w:val="22"/>
          <w:lang w:eastAsia="en-US"/>
        </w:rPr>
      </w:pPr>
      <w:r w:rsidRPr="009D4CD4">
        <w:rPr>
          <w:rFonts w:ascii="Calibri" w:eastAsia="Calibri" w:hAnsi="Calibri" w:cs="Times New Roman"/>
          <w:sz w:val="22"/>
          <w:szCs w:val="22"/>
          <w:lang w:eastAsia="en-US"/>
        </w:rPr>
        <w:t xml:space="preserve">A destination des clients, la Charte éthique du Groupe Crédit agricole est en ligne sur son site internet. </w:t>
      </w:r>
    </w:p>
    <w:p w14:paraId="13B73405" w14:textId="77777777" w:rsidR="004060DC" w:rsidRPr="009D4CD4" w:rsidRDefault="004060DC" w:rsidP="004060DC">
      <w:pPr>
        <w:pStyle w:val="textedocumentaire0"/>
        <w:rPr>
          <w:rFonts w:ascii="Calibri" w:eastAsia="Calibri" w:hAnsi="Calibri" w:cs="Times New Roman"/>
          <w:sz w:val="22"/>
          <w:szCs w:val="22"/>
          <w:lang w:eastAsia="en-US"/>
        </w:rPr>
      </w:pPr>
      <w:r w:rsidRPr="009D4CD4">
        <w:rPr>
          <w:rFonts w:ascii="Calibri" w:eastAsia="Calibri" w:hAnsi="Calibri" w:cs="Times New Roman"/>
          <w:sz w:val="22"/>
          <w:szCs w:val="22"/>
          <w:lang w:eastAsia="en-US"/>
        </w:rPr>
        <w:t xml:space="preserve">Ce document comporte les engagements du Groupe pour un comportement animé par l’ensemble de ses valeurs et principes d’actions vis-à-vis des clients, sociétaires, ainsi que des fournisseurs et de l’ensemble des acteurs avec qui il interfère. La Charte stipule les points suivants : </w:t>
      </w:r>
    </w:p>
    <w:p w14:paraId="76536A65" w14:textId="77777777" w:rsidR="004060DC" w:rsidRPr="009D4CD4" w:rsidRDefault="004060DC" w:rsidP="004060DC">
      <w:pPr>
        <w:spacing w:after="0" w:line="240" w:lineRule="auto"/>
        <w:jc w:val="left"/>
      </w:pPr>
      <w:r w:rsidRPr="009D4CD4">
        <w:t> </w:t>
      </w:r>
    </w:p>
    <w:p w14:paraId="7925A8F0" w14:textId="77777777" w:rsidR="004060DC" w:rsidRPr="009D4CD4" w:rsidRDefault="004060DC" w:rsidP="004060DC">
      <w:pPr>
        <w:spacing w:after="0" w:line="240" w:lineRule="auto"/>
        <w:jc w:val="left"/>
      </w:pPr>
      <w:r w:rsidRPr="009D4CD4">
        <w:t>« Les dirigeants veillent à ce que ces valeurs soient appliquées et partagées par tous les collaborateurs, quels que soient leurs niveaux de responsabilité, leurs métiers et leurs lieux de travail. Le Crédit Agricole promeut les valeurs coopératives de gouvernance démocratique, de relation de confiance et de respect avec et entre ses membres. Il s’appuie sur le sens des responsabilités de chacun. Ancrée dans ses valeurs d’éthique, de loyauté et fidèle à sa culture coopérative, la conformité contribue à renforcer la confiance des clients et l’image du Groupe. Le Groupe Crédit Agricole s’engage à ce que les principes d’action qu’il se fixe servent son ambition d’être la banque loyale, ouverte à tous, multicanale, permettant à chacun d’être accompagné dans le temps et de pouvoir décider en toute connaissance de cause. Ces principes d’action s’exercent :</w:t>
      </w:r>
      <w:r w:rsidRPr="009D4CD4">
        <w:rPr>
          <w:rStyle w:val="apple-converted-space"/>
        </w:rPr>
        <w:t> </w:t>
      </w:r>
    </w:p>
    <w:p w14:paraId="34CEEFF5" w14:textId="77777777" w:rsidR="004060DC" w:rsidRPr="009D4CD4" w:rsidRDefault="004060DC" w:rsidP="004060DC">
      <w:pPr>
        <w:spacing w:after="0" w:line="240" w:lineRule="auto"/>
        <w:jc w:val="left"/>
      </w:pPr>
      <w:r w:rsidRPr="009D4CD4">
        <w:t> </w:t>
      </w:r>
    </w:p>
    <w:p w14:paraId="01D84BB8" w14:textId="77777777" w:rsidR="004060DC" w:rsidRPr="009D4CD4" w:rsidRDefault="004060DC" w:rsidP="004060DC">
      <w:pPr>
        <w:spacing w:after="0" w:line="240" w:lineRule="auto"/>
        <w:jc w:val="left"/>
      </w:pPr>
      <w:r w:rsidRPr="009D4CD4">
        <w:t>-</w:t>
      </w:r>
      <w:r w:rsidRPr="009D4CD4">
        <w:rPr>
          <w:rStyle w:val="apple-converted-space"/>
        </w:rPr>
        <w:t> </w:t>
      </w:r>
      <w:r w:rsidRPr="009D4CD4">
        <w:rPr>
          <w:u w:val="single"/>
        </w:rPr>
        <w:t>vis-à-vis des clients</w:t>
      </w:r>
      <w:r w:rsidRPr="009D4CD4">
        <w:t> : chaque collaborateur mobilise son expérience et ses compétences à l’écoute et au service du client, du sociétaire et l’accompagne dans la durée. Il l’écoute et le conseille avec loyauté, et l’aide à prendre ses décisions en lui proposant des solutions adaptées à son profil et à ses intérêts tout en l’informant des risques associés. Fort de l’ancrage mutualiste du Groupe, les relations établies avec les clients, sociétaires et avec l’ensemble des parties prenantes s’inscrivent dans la solidarité, le respect des engagements pris.</w:t>
      </w:r>
    </w:p>
    <w:p w14:paraId="61DD90C8" w14:textId="77777777" w:rsidR="004060DC" w:rsidRPr="009D4CD4" w:rsidRDefault="004060DC" w:rsidP="004060DC">
      <w:pPr>
        <w:spacing w:after="0" w:line="240" w:lineRule="auto"/>
        <w:jc w:val="left"/>
      </w:pPr>
      <w:r w:rsidRPr="009D4CD4">
        <w:t> </w:t>
      </w:r>
    </w:p>
    <w:p w14:paraId="0C0838AE" w14:textId="77777777" w:rsidR="004060DC" w:rsidRPr="009D4CD4" w:rsidRDefault="004060DC" w:rsidP="004060DC">
      <w:pPr>
        <w:spacing w:after="0" w:line="240" w:lineRule="auto"/>
        <w:jc w:val="left"/>
      </w:pPr>
      <w:r w:rsidRPr="009D4CD4">
        <w:t>-</w:t>
      </w:r>
      <w:r w:rsidRPr="009D4CD4">
        <w:rPr>
          <w:rStyle w:val="apple-converted-space"/>
        </w:rPr>
        <w:t> </w:t>
      </w:r>
      <w:r w:rsidRPr="009D4CD4">
        <w:rPr>
          <w:u w:val="single"/>
        </w:rPr>
        <w:t>vis-à-vis de la société</w:t>
      </w:r>
      <w:r w:rsidRPr="009D4CD4">
        <w:t> : le Groupe Crédit agricole exerce son activité partout dans le monde dans le respect des droits humains et des droits sociaux fondamentaux. Le Groupe affirme sa démarche environnementale et sociétale dans tous ses métiers et dans son fonctionnement d’entreprise. Cette démarche est portée par une stratégie RSE créatrice de valeur et a comme ambition d’accompagner les territoires, de rechercher l’excellence dans les relations avec les clients, partenaires, sociétaires et collaborateurs.</w:t>
      </w:r>
    </w:p>
    <w:p w14:paraId="32732488" w14:textId="77777777" w:rsidR="004060DC" w:rsidRPr="009D4CD4" w:rsidRDefault="004060DC" w:rsidP="004060DC">
      <w:pPr>
        <w:spacing w:after="0" w:line="240" w:lineRule="auto"/>
        <w:jc w:val="left"/>
      </w:pPr>
      <w:r w:rsidRPr="009D4CD4">
        <w:t> </w:t>
      </w:r>
    </w:p>
    <w:p w14:paraId="064D4D87" w14:textId="77777777" w:rsidR="004060DC" w:rsidRPr="009D4CD4" w:rsidRDefault="004060DC" w:rsidP="004060DC">
      <w:pPr>
        <w:spacing w:after="0" w:line="240" w:lineRule="auto"/>
        <w:jc w:val="left"/>
      </w:pPr>
      <w:r w:rsidRPr="009D4CD4">
        <w:t>-</w:t>
      </w:r>
      <w:r w:rsidRPr="009D4CD4">
        <w:rPr>
          <w:rStyle w:val="apple-converted-space"/>
        </w:rPr>
        <w:t> </w:t>
      </w:r>
      <w:r w:rsidRPr="009D4CD4">
        <w:rPr>
          <w:u w:val="single"/>
        </w:rPr>
        <w:t>vis-à-vis des collaborateurs</w:t>
      </w:r>
      <w:r w:rsidRPr="009D4CD4">
        <w:t> : Agir en employeur responsable, c’est garantir le principe de non-discrimination, l’équité, encourager le développement personnel, en particulier à travers des actions de formation, promouvoir la mixité, la diversité des parcours et des profils et aider les personnes en situation de handicap, favoriser le dialogue social et la qualité de vie au travail, et fournir un environnement de travail sécurisé dans lequel tous les collaborateurs sont traités avec dignité et respect ».</w:t>
      </w:r>
    </w:p>
    <w:p w14:paraId="5EA3D888" w14:textId="77777777" w:rsidR="004060DC" w:rsidRPr="009D4CD4" w:rsidRDefault="004060DC" w:rsidP="004060DC">
      <w:pPr>
        <w:spacing w:after="0" w:line="240" w:lineRule="auto"/>
        <w:jc w:val="left"/>
      </w:pPr>
    </w:p>
    <w:p w14:paraId="4EB6C4DA" w14:textId="77777777" w:rsidR="004060DC" w:rsidRPr="009D4CD4" w:rsidRDefault="004060DC" w:rsidP="004060DC">
      <w:pPr>
        <w:spacing w:after="0" w:line="240" w:lineRule="auto"/>
        <w:jc w:val="left"/>
      </w:pPr>
      <w:r w:rsidRPr="009D4CD4">
        <w:rPr>
          <w:u w:val="single"/>
          <w:shd w:val="clear" w:color="auto" w:fill="FFFFFF"/>
        </w:rPr>
        <w:t xml:space="preserve">Le Code de conduite </w:t>
      </w:r>
    </w:p>
    <w:p w14:paraId="54AACB2B" w14:textId="77777777" w:rsidR="004060DC" w:rsidRPr="009D4CD4" w:rsidRDefault="004060DC" w:rsidP="004060DC">
      <w:pPr>
        <w:spacing w:after="0" w:line="240" w:lineRule="auto"/>
        <w:jc w:val="left"/>
      </w:pPr>
    </w:p>
    <w:p w14:paraId="374100A5" w14:textId="4A4F4D8B" w:rsidR="004060DC" w:rsidRPr="009D4CD4" w:rsidRDefault="009012B3" w:rsidP="004060DC">
      <w:pPr>
        <w:spacing w:after="0" w:line="240" w:lineRule="auto"/>
        <w:jc w:val="left"/>
      </w:pPr>
      <w:r w:rsidRPr="009D4CD4">
        <w:rPr>
          <w:shd w:val="clear" w:color="auto" w:fill="FFFFFF"/>
        </w:rPr>
        <w:t>La</w:t>
      </w:r>
      <w:r w:rsidR="004060DC" w:rsidRPr="009D4CD4">
        <w:rPr>
          <w:shd w:val="clear" w:color="auto" w:fill="FFFFFF"/>
        </w:rPr>
        <w:t xml:space="preserve"> </w:t>
      </w:r>
      <w:r w:rsidR="00A7717F">
        <w:rPr>
          <w:shd w:val="clear" w:color="auto" w:fill="FFFFFF"/>
        </w:rPr>
        <w:t>Caisse Régionale</w:t>
      </w:r>
      <w:r w:rsidR="004060DC" w:rsidRPr="009D4CD4">
        <w:rPr>
          <w:shd w:val="clear" w:color="auto" w:fill="FFFFFF"/>
        </w:rPr>
        <w:t xml:space="preserve"> s’est dotée d’un Code de conduite</w:t>
      </w:r>
      <w:r w:rsidRPr="009D4CD4">
        <w:rPr>
          <w:shd w:val="clear" w:color="auto" w:fill="FFFFFF"/>
        </w:rPr>
        <w:t xml:space="preserve"> en 2019</w:t>
      </w:r>
      <w:r w:rsidR="004060DC" w:rsidRPr="009D4CD4">
        <w:rPr>
          <w:shd w:val="clear" w:color="auto" w:fill="FFFFFF"/>
        </w:rPr>
        <w:t>, dont l’objectif est de décliner les principes de la Charte Ethique, par le biais de recommandations d’actions et d’exemples d’application au quotidien.</w:t>
      </w:r>
    </w:p>
    <w:p w14:paraId="53C2937B" w14:textId="77777777" w:rsidR="004060DC" w:rsidRPr="009D4CD4" w:rsidRDefault="004060DC" w:rsidP="004060DC">
      <w:pPr>
        <w:spacing w:after="0" w:line="240" w:lineRule="auto"/>
        <w:jc w:val="left"/>
      </w:pPr>
      <w:r w:rsidRPr="009D4CD4">
        <w:rPr>
          <w:shd w:val="clear" w:color="auto" w:fill="FFFFFF"/>
        </w:rPr>
        <w:t xml:space="preserve">Le Code permet de guider les actes et constitue une aide à la prise de décisions. Il s'adresse à tous les collaborateurs, quel que soit leur statut (CDI, CDD, apprentis...), ainsi qu’aux dirigeants. </w:t>
      </w:r>
    </w:p>
    <w:p w14:paraId="6AA0B1D8" w14:textId="76128444" w:rsidR="004060DC" w:rsidRPr="009D4CD4" w:rsidRDefault="004060DC" w:rsidP="004060DC">
      <w:pPr>
        <w:spacing w:after="0" w:line="240" w:lineRule="auto"/>
        <w:jc w:val="left"/>
      </w:pPr>
      <w:r w:rsidRPr="009D4CD4">
        <w:rPr>
          <w:shd w:val="clear" w:color="auto" w:fill="FFFFFF"/>
        </w:rPr>
        <w:t xml:space="preserve">Ne se substituant pas aux règlements et procédures, le Code de conduite est un outil pédagogique, visant à guider au quotidien les actions, décisions et comportements de chacun. Par son objet large et son approche thématique, il donne une vision d’ensemble des principes d’obligations professionnelles et de conduite éthique.  Le code contient également les liens vers les autres textes de référence en ligne sur l’intranet de la </w:t>
      </w:r>
      <w:r w:rsidR="00A7717F">
        <w:rPr>
          <w:shd w:val="clear" w:color="auto" w:fill="FFFFFF"/>
        </w:rPr>
        <w:t>Caisse Régionale</w:t>
      </w:r>
      <w:r w:rsidRPr="009D4CD4">
        <w:rPr>
          <w:shd w:val="clear" w:color="auto" w:fill="FFFFFF"/>
        </w:rPr>
        <w:t>.</w:t>
      </w:r>
    </w:p>
    <w:p w14:paraId="31D39558" w14:textId="3EF4FA1C" w:rsidR="004060DC" w:rsidRPr="009D4CD4" w:rsidRDefault="004060DC" w:rsidP="004060DC">
      <w:pPr>
        <w:spacing w:after="0" w:line="240" w:lineRule="auto"/>
        <w:jc w:val="left"/>
      </w:pPr>
      <w:r w:rsidRPr="009D4CD4">
        <w:rPr>
          <w:shd w:val="clear" w:color="auto" w:fill="FFFFFF"/>
        </w:rPr>
        <w:t>Le code stipule notamm</w:t>
      </w:r>
      <w:r w:rsidR="00510F91">
        <w:rPr>
          <w:shd w:val="clear" w:color="auto" w:fill="FFFFFF"/>
        </w:rPr>
        <w:t>ent la nécessité pour tous de</w:t>
      </w:r>
      <w:r w:rsidRPr="009D4CD4">
        <w:rPr>
          <w:shd w:val="clear" w:color="auto" w:fill="FFFFFF"/>
        </w:rPr>
        <w:t xml:space="preserve"> véhiculer et promouvoir les valeurs et principes énoncés, avec vigilance et bienveillance.</w:t>
      </w:r>
    </w:p>
    <w:p w14:paraId="1D151DB3" w14:textId="77777777" w:rsidR="004060DC" w:rsidRPr="009D4CD4" w:rsidRDefault="004060DC" w:rsidP="004060DC">
      <w:pPr>
        <w:spacing w:after="0" w:line="240" w:lineRule="auto"/>
        <w:jc w:val="left"/>
      </w:pPr>
      <w:r w:rsidRPr="009D4CD4">
        <w:rPr>
          <w:shd w:val="clear" w:color="auto" w:fill="FFFFFF"/>
        </w:rPr>
        <w:t xml:space="preserve">Une équipe pluridisciplinaire est chargée de la mise en œuvre et du suivi du Code de conduite. Elle se coordonne avec les équipes concernées pour remonter les informations et propositions utiles à la Direction générale, en prévision des évolutions futures. </w:t>
      </w:r>
    </w:p>
    <w:p w14:paraId="4E210F81" w14:textId="77777777" w:rsidR="004060DC" w:rsidRPr="009D4CD4" w:rsidRDefault="004060DC" w:rsidP="004060DC">
      <w:pPr>
        <w:spacing w:after="0" w:line="240" w:lineRule="auto"/>
        <w:jc w:val="left"/>
      </w:pPr>
    </w:p>
    <w:p w14:paraId="655C9988" w14:textId="77777777" w:rsidR="004060DC" w:rsidRPr="009D4CD4" w:rsidRDefault="004060DC" w:rsidP="004060DC">
      <w:pPr>
        <w:spacing w:after="0" w:line="240" w:lineRule="auto"/>
        <w:jc w:val="left"/>
      </w:pPr>
      <w:r w:rsidRPr="009D4CD4">
        <w:rPr>
          <w:shd w:val="clear" w:color="auto" w:fill="FFFFFF"/>
        </w:rPr>
        <w:t xml:space="preserve">Les principaux comportements éthiques actés dans le Code de Conduite sont : </w:t>
      </w:r>
    </w:p>
    <w:p w14:paraId="2C7AF629" w14:textId="77777777" w:rsidR="004060DC" w:rsidRPr="009D4CD4" w:rsidRDefault="004060DC" w:rsidP="004060DC">
      <w:pPr>
        <w:spacing w:after="0" w:line="240" w:lineRule="auto"/>
        <w:jc w:val="left"/>
      </w:pPr>
      <w:r w:rsidRPr="009D4CD4">
        <w:rPr>
          <w:shd w:val="clear" w:color="auto" w:fill="FFFFFF"/>
        </w:rPr>
        <w:t>&gt; Etre responsable dans les relations avec les clients et fournisseurs</w:t>
      </w:r>
      <w:r w:rsidRPr="009D4CD4">
        <w:rPr>
          <w:shd w:val="clear" w:color="auto" w:fill="FFFFFF"/>
        </w:rPr>
        <w:br/>
        <w:t>&gt; Respecter les personnes</w:t>
      </w:r>
    </w:p>
    <w:p w14:paraId="04425120" w14:textId="18E807D9" w:rsidR="004060DC" w:rsidRPr="009D4CD4" w:rsidRDefault="004060DC" w:rsidP="004060DC">
      <w:pPr>
        <w:spacing w:after="0" w:line="240" w:lineRule="auto"/>
        <w:jc w:val="left"/>
      </w:pPr>
      <w:r w:rsidRPr="009D4CD4">
        <w:rPr>
          <w:shd w:val="clear" w:color="auto" w:fill="FFFFFF"/>
        </w:rPr>
        <w:t xml:space="preserve">&gt; Respecter les engagements de la </w:t>
      </w:r>
      <w:r w:rsidR="00A7717F">
        <w:rPr>
          <w:shd w:val="clear" w:color="auto" w:fill="FFFFFF"/>
        </w:rPr>
        <w:t>Caisse Régionale</w:t>
      </w:r>
      <w:r w:rsidRPr="009D4CD4">
        <w:rPr>
          <w:shd w:val="clear" w:color="auto" w:fill="FFFFFF"/>
        </w:rPr>
        <w:t xml:space="preserve"> vis-à-vis de la société et de l’environnement</w:t>
      </w:r>
      <w:r w:rsidRPr="009D4CD4">
        <w:rPr>
          <w:shd w:val="clear" w:color="auto" w:fill="FFFFFF"/>
        </w:rPr>
        <w:br/>
        <w:t>&gt; Prévenir et détecter la corruption et le trafic d’influence</w:t>
      </w:r>
    </w:p>
    <w:p w14:paraId="7F2EDE03" w14:textId="77777777" w:rsidR="004060DC" w:rsidRPr="009D4CD4" w:rsidRDefault="004060DC" w:rsidP="004060DC">
      <w:pPr>
        <w:spacing w:after="0" w:line="240" w:lineRule="auto"/>
        <w:jc w:val="left"/>
      </w:pPr>
      <w:r w:rsidRPr="009D4CD4">
        <w:rPr>
          <w:shd w:val="clear" w:color="auto" w:fill="FFFFFF"/>
        </w:rPr>
        <w:t>&gt; Faire preuve de vigilance au quotidien</w:t>
      </w:r>
    </w:p>
    <w:p w14:paraId="44080B6E" w14:textId="77777777" w:rsidR="004060DC" w:rsidRPr="009D4CD4" w:rsidRDefault="004060DC" w:rsidP="004060DC">
      <w:pPr>
        <w:spacing w:after="0" w:line="240" w:lineRule="auto"/>
        <w:jc w:val="left"/>
      </w:pPr>
      <w:r w:rsidRPr="009D4CD4">
        <w:rPr>
          <w:shd w:val="clear" w:color="auto" w:fill="FFFFFF"/>
        </w:rPr>
        <w:t>&gt; S’abstenir de toute action pouvant nuire à la réputation du Crédit Agricole</w:t>
      </w:r>
    </w:p>
    <w:p w14:paraId="5FF501BA" w14:textId="3563FE08" w:rsidR="004060DC" w:rsidRPr="009D4CD4" w:rsidRDefault="00E9111E" w:rsidP="004060DC">
      <w:pPr>
        <w:pStyle w:val="Titre4"/>
      </w:pPr>
      <w:bookmarkStart w:id="18" w:name="_Toc96697963"/>
      <w:r w:rsidRPr="009D4CD4">
        <w:t>La protection des clients investisseurs</w:t>
      </w:r>
      <w:bookmarkEnd w:id="18"/>
      <w:r w:rsidRPr="009D4CD4">
        <w:t xml:space="preserve"> </w:t>
      </w:r>
    </w:p>
    <w:p w14:paraId="55503055" w14:textId="1E988497" w:rsidR="004060DC" w:rsidRPr="009D4CD4" w:rsidRDefault="004060DC" w:rsidP="004060DC">
      <w:pPr>
        <w:spacing w:after="0" w:line="240" w:lineRule="auto"/>
        <w:jc w:val="left"/>
      </w:pPr>
      <w:r w:rsidRPr="009D4CD4">
        <w:t xml:space="preserve">L’engagement d’éthique dans le conseil se traduit par une démarche permanente visant à accroître la compréhension financière des clients de façon à ce que les produits et services vendus par la </w:t>
      </w:r>
      <w:r w:rsidR="00A7717F">
        <w:t>Caisse Régionale</w:t>
      </w:r>
      <w:r w:rsidRPr="009D4CD4">
        <w:t xml:space="preserve"> correspondent toujours à leurs besoins. C’est l’objet de la Directive Marchés d’Instruments Financiers (MIF). Le dispositif MIF permet de procéder à la qualification des clients, mesurée par un questionnaire visant à évaluer leur connaissance des produits financiers et leur niveau d’expérience. Les conseillers disposent des compétences et des outils pour proposer à leurs clients des produits cohérents avec leur situation financière, leurs objectifs de placement et de prise de risque, ainsi qu’avec leurs compétences en matière de marchés financiers. Tous les nouveaux embauchés sont formés au dispositif MIF. L’entretien des connaissances est assuré notamment grâce à un support pédagogique disponible sur l’intranet. </w:t>
      </w:r>
    </w:p>
    <w:p w14:paraId="005B1F13" w14:textId="77777777" w:rsidR="004060DC" w:rsidRPr="009D4CD4" w:rsidRDefault="004060DC" w:rsidP="004060DC">
      <w:pPr>
        <w:spacing w:after="0" w:line="240" w:lineRule="auto"/>
        <w:jc w:val="left"/>
      </w:pPr>
      <w:r w:rsidRPr="009D4CD4">
        <w:t> </w:t>
      </w:r>
    </w:p>
    <w:p w14:paraId="42C3C87C" w14:textId="5431A815" w:rsidR="004060DC" w:rsidRPr="009D4CD4" w:rsidRDefault="004060DC" w:rsidP="004060DC">
      <w:pPr>
        <w:spacing w:after="0" w:line="240" w:lineRule="auto"/>
        <w:jc w:val="left"/>
      </w:pPr>
      <w:r w:rsidRPr="009D4CD4">
        <w:t xml:space="preserve">La nouvelle règlementation MIFID2 mise en place par la </w:t>
      </w:r>
      <w:r w:rsidR="00A7717F">
        <w:t>Caisse Régionale</w:t>
      </w:r>
      <w:r w:rsidRPr="009D4CD4">
        <w:t xml:space="preserve"> vise à : </w:t>
      </w:r>
      <w:r w:rsidRPr="009D4CD4">
        <w:br/>
        <w:t>&gt; Renforcer la protection des investisseurs et le caractère adéquat des conseils dispensés,</w:t>
      </w:r>
      <w:r w:rsidRPr="009D4CD4">
        <w:br/>
        <w:t>&gt; Améliorer la transparence des marchés financiers,</w:t>
      </w:r>
      <w:r w:rsidRPr="009D4CD4">
        <w:br/>
        <w:t>&gt; Elargir le périmètre des instruments couverts (la quasi-totalité des produits financiers est concernée),</w:t>
      </w:r>
      <w:r w:rsidRPr="009D4CD4">
        <w:br/>
        <w:t>&gt; Assurer le respect des obligations de déclarations et de surveillance).</w:t>
      </w:r>
    </w:p>
    <w:p w14:paraId="6BEF19CF" w14:textId="77777777" w:rsidR="004060DC" w:rsidRPr="009D4CD4" w:rsidRDefault="004060DC" w:rsidP="004060DC">
      <w:pPr>
        <w:pStyle w:val="Paragraphedeliste"/>
        <w:ind w:left="0"/>
      </w:pPr>
      <w:r w:rsidRPr="009D4CD4">
        <w:rPr>
          <w:rFonts w:ascii="Calibri" w:hAnsi="Calibri"/>
          <w:sz w:val="22"/>
          <w:szCs w:val="22"/>
        </w:rPr>
        <w:t>La règlementation MIFID2 rend nécessaire d’évaluer la connaissance et l’expérience du client, sa tolérance au risque, ainsi que sa capacité à subir des pertes.  Cette réglementation emporte de nouvelles obligations comme par exemple un rendez-vous conseil à proposer aux clients détenteurs d’instruments financiers au moins une fois par an ou l’envoi de relevés de compte trimestriels.</w:t>
      </w:r>
    </w:p>
    <w:p w14:paraId="1C268EA9" w14:textId="1EC0E14B" w:rsidR="007413FC" w:rsidRPr="009D4CD4" w:rsidRDefault="004060DC" w:rsidP="007413FC">
      <w:pPr>
        <w:pStyle w:val="Paragraphedeliste"/>
        <w:ind w:left="0"/>
      </w:pPr>
      <w:r w:rsidRPr="009D4CD4">
        <w:rPr>
          <w:rFonts w:ascii="Calibri" w:hAnsi="Calibri"/>
          <w:sz w:val="22"/>
          <w:szCs w:val="22"/>
        </w:rPr>
        <w:t>Cette démarche a été étendue au règlement PRIIPS et à la directive IDD. Le règlement MIFID2 s’applique aux comptes titres. Le règlement PRIIPS (</w:t>
      </w:r>
      <w:r w:rsidRPr="009D4CD4">
        <w:rPr>
          <w:rFonts w:ascii="Calibri" w:hAnsi="Calibri"/>
          <w:i/>
          <w:iCs/>
          <w:sz w:val="22"/>
          <w:szCs w:val="22"/>
        </w:rPr>
        <w:t>Package Retail and Insurance-based Investment Products)</w:t>
      </w:r>
      <w:r w:rsidRPr="009D4CD4">
        <w:rPr>
          <w:rFonts w:ascii="Calibri" w:hAnsi="Calibri"/>
          <w:sz w:val="22"/>
          <w:szCs w:val="22"/>
        </w:rPr>
        <w:t xml:space="preserve"> requiert la délivrance aux investisseurs non professionnels d’un document d’information précontractuel standardisé pour la grande majorité des produits d’investissement afin de permettre une comparaison plus aisée entre les produits qui leurs sont proposés. La directive IDD (</w:t>
      </w:r>
      <w:r w:rsidRPr="009D4CD4">
        <w:rPr>
          <w:rFonts w:ascii="Calibri" w:hAnsi="Calibri"/>
          <w:i/>
          <w:iCs/>
          <w:sz w:val="22"/>
          <w:szCs w:val="22"/>
        </w:rPr>
        <w:t>Insurance Distribution Directive</w:t>
      </w:r>
      <w:r w:rsidRPr="009D4CD4">
        <w:rPr>
          <w:rFonts w:ascii="Calibri" w:hAnsi="Calibri"/>
          <w:sz w:val="22"/>
          <w:szCs w:val="22"/>
        </w:rPr>
        <w:t xml:space="preserve">) poursuit les mêmes objectifs pour les contrats d’assurance vie ou de capitalisation. </w:t>
      </w:r>
      <w:r w:rsidR="007413FC" w:rsidRPr="009D4CD4">
        <w:rPr>
          <w:rFonts w:ascii="Calibri" w:hAnsi="Calibri"/>
          <w:sz w:val="22"/>
          <w:szCs w:val="22"/>
          <w:shd w:val="clear" w:color="auto" w:fill="FFFFFF"/>
        </w:rPr>
        <w:t xml:space="preserve">La mise en place de process et le suivi des différents contrôles étaient présentés à la Direction générale jusqu’à présent lors de Comités périodiques COPIL MIF/DDA. Depuis le 15 juin 2021, ces sujets sont suivis </w:t>
      </w:r>
      <w:r w:rsidR="00510F91">
        <w:rPr>
          <w:rFonts w:ascii="Calibri" w:hAnsi="Calibri"/>
          <w:sz w:val="22"/>
          <w:szCs w:val="22"/>
          <w:shd w:val="clear" w:color="auto" w:fill="FFFFFF"/>
        </w:rPr>
        <w:t xml:space="preserve">trimestriellement </w:t>
      </w:r>
      <w:r w:rsidR="007413FC" w:rsidRPr="009D4CD4">
        <w:rPr>
          <w:rFonts w:ascii="Calibri" w:hAnsi="Calibri"/>
          <w:sz w:val="22"/>
          <w:szCs w:val="22"/>
          <w:shd w:val="clear" w:color="auto" w:fill="FFFFFF"/>
        </w:rPr>
        <w:t>dans le cadre du Comité de Management de le Conformité et de l’Ethique.</w:t>
      </w:r>
    </w:p>
    <w:p w14:paraId="724588D1" w14:textId="2578F9E6" w:rsidR="00B72A61" w:rsidRPr="009D4CD4" w:rsidRDefault="00DC2D70" w:rsidP="00DC2D70">
      <w:pPr>
        <w:pStyle w:val="Titre4"/>
      </w:pPr>
      <w:bookmarkStart w:id="19" w:name="_Toc96697964"/>
      <w:r w:rsidRPr="009D4CD4">
        <w:t>Le dispositif de conformité</w:t>
      </w:r>
      <w:r w:rsidR="004060DC" w:rsidRPr="009D4CD4">
        <w:t xml:space="preserve"> et la formation</w:t>
      </w:r>
      <w:bookmarkEnd w:id="19"/>
    </w:p>
    <w:p w14:paraId="134EE1A3" w14:textId="4B173A7A" w:rsidR="00B72A61" w:rsidRPr="009D4CD4" w:rsidRDefault="00B72A61" w:rsidP="00B72A61">
      <w:pPr>
        <w:spacing w:after="0" w:line="240" w:lineRule="auto"/>
        <w:jc w:val="left"/>
      </w:pPr>
      <w:r w:rsidRPr="009D4CD4">
        <w:t xml:space="preserve">Le dispositif de conformité regroupe un ensemble de règles et d’initiatives visant notamment à : </w:t>
      </w:r>
      <w:r w:rsidRPr="009D4CD4">
        <w:br/>
        <w:t>- assurer la protection et la sécurité de la clientèle,</w:t>
      </w:r>
    </w:p>
    <w:p w14:paraId="5432DFCA" w14:textId="77777777" w:rsidR="00B72A61" w:rsidRPr="009D4CD4" w:rsidRDefault="00B72A61" w:rsidP="00B72A61">
      <w:pPr>
        <w:spacing w:after="0" w:line="240" w:lineRule="auto"/>
        <w:jc w:val="left"/>
      </w:pPr>
      <w:r w:rsidRPr="009D4CD4">
        <w:t>- garantir le respect des règles de déontologie et d’éthique,</w:t>
      </w:r>
    </w:p>
    <w:p w14:paraId="3EC01D5A" w14:textId="77777777" w:rsidR="00B72A61" w:rsidRPr="009D4CD4" w:rsidRDefault="00B72A61" w:rsidP="00B72A61">
      <w:pPr>
        <w:spacing w:after="0" w:line="240" w:lineRule="auto"/>
        <w:jc w:val="left"/>
      </w:pPr>
      <w:r w:rsidRPr="009D4CD4">
        <w:t>- lutter contre le blanchiment des capitaux, le financement du terrorisme, la corruption,</w:t>
      </w:r>
    </w:p>
    <w:p w14:paraId="6B32DEC8" w14:textId="77777777" w:rsidR="00B72A61" w:rsidRPr="009D4CD4" w:rsidRDefault="00B72A61" w:rsidP="00B72A61">
      <w:pPr>
        <w:spacing w:after="0" w:line="240" w:lineRule="auto"/>
        <w:jc w:val="left"/>
      </w:pPr>
      <w:r w:rsidRPr="009D4CD4">
        <w:t xml:space="preserve">- prévenir les conflits d’intérêts. </w:t>
      </w:r>
    </w:p>
    <w:p w14:paraId="19999DBD" w14:textId="77777777" w:rsidR="00B72A61" w:rsidRPr="009D4CD4" w:rsidRDefault="00B72A61" w:rsidP="00B72A61">
      <w:pPr>
        <w:spacing w:after="0" w:line="240" w:lineRule="auto"/>
        <w:jc w:val="left"/>
      </w:pPr>
      <w:r w:rsidRPr="009D4CD4">
        <w:t xml:space="preserve">L’amélioration de la conformité et la maîtrise des risques associés constituent une volonté permanente du Crédit Agricole Nord Midi-Pyrénées. </w:t>
      </w:r>
    </w:p>
    <w:p w14:paraId="35451189" w14:textId="0B42C503" w:rsidR="00B72A61" w:rsidRPr="009D4CD4" w:rsidRDefault="00B72A61" w:rsidP="00B72A61">
      <w:pPr>
        <w:spacing w:after="0" w:line="240" w:lineRule="auto"/>
        <w:jc w:val="left"/>
      </w:pPr>
      <w:r w:rsidRPr="009D4CD4">
        <w:t>La majorité des thèmes relatifs à la conformité fait l’objet de contrôles pour déterminer leur niveau d’application, auprès de l’ensemble des directeurs d’agences, e</w:t>
      </w:r>
      <w:r w:rsidR="00510F91">
        <w:t>t de certains services</w:t>
      </w:r>
      <w:r w:rsidRPr="009D4CD4">
        <w:t xml:space="preserve"> des sites.  Les résultats sont présentés à la Direction Générale par le biais de comités trimestriels, le Comité de Management de la Conformité et de l’Ethique et le Comité de Contrôle Interne, à l’issue desquels des plans d’actions sont mis en œuvre.</w:t>
      </w:r>
    </w:p>
    <w:p w14:paraId="35BE7F40" w14:textId="77777777" w:rsidR="005A65E0" w:rsidRPr="009D4CD4" w:rsidRDefault="005A65E0" w:rsidP="00B72A61">
      <w:pPr>
        <w:spacing w:after="0" w:line="240" w:lineRule="auto"/>
        <w:jc w:val="left"/>
      </w:pPr>
    </w:p>
    <w:p w14:paraId="682482DA" w14:textId="77777777" w:rsidR="00B72A61" w:rsidRPr="009D4CD4" w:rsidRDefault="00B72A61" w:rsidP="00B72A61">
      <w:pPr>
        <w:spacing w:after="0" w:line="240" w:lineRule="auto"/>
        <w:jc w:val="left"/>
      </w:pPr>
      <w:r w:rsidRPr="009D4CD4">
        <w:t>Le dispositif de conformité s’appuie sur un important effort de formation des salariés.</w:t>
      </w:r>
      <w:r w:rsidRPr="009D4CD4">
        <w:br/>
        <w:t>A cet effet, un cycle de formations obligatoires a été instauré, avec des fréquences de renouvellement définies :</w:t>
      </w:r>
    </w:p>
    <w:p w14:paraId="5BBCE5C5" w14:textId="77777777" w:rsidR="00B72A61" w:rsidRPr="009D4CD4" w:rsidRDefault="00B72A61" w:rsidP="00B72A61">
      <w:pPr>
        <w:spacing w:after="0" w:line="240" w:lineRule="auto"/>
        <w:jc w:val="left"/>
      </w:pPr>
      <w:r w:rsidRPr="009D4CD4">
        <w:t xml:space="preserve">- </w:t>
      </w:r>
      <w:r w:rsidRPr="009D4CD4">
        <w:rPr>
          <w:shd w:val="clear" w:color="auto" w:fill="FFFFFF"/>
        </w:rPr>
        <w:t xml:space="preserve">Conformité au quotidien </w:t>
      </w:r>
      <w:r w:rsidRPr="009D4CD4">
        <w:t>tous les 3 ans. </w:t>
      </w:r>
    </w:p>
    <w:p w14:paraId="78C7AB14" w14:textId="77777777" w:rsidR="00B72A61" w:rsidRPr="009D4CD4" w:rsidRDefault="00B72A61" w:rsidP="00B72A61">
      <w:pPr>
        <w:spacing w:after="0" w:line="240" w:lineRule="auto"/>
        <w:jc w:val="left"/>
      </w:pPr>
      <w:r w:rsidRPr="009D4CD4">
        <w:t>- Lutte contre le blanchiment et le financement du terrorisme tous les 2 ans,</w:t>
      </w:r>
    </w:p>
    <w:p w14:paraId="1EFB096A" w14:textId="77777777" w:rsidR="00B72A61" w:rsidRPr="009D4CD4" w:rsidRDefault="00B72A61" w:rsidP="00B72A61">
      <w:pPr>
        <w:spacing w:after="0" w:line="240" w:lineRule="auto"/>
        <w:jc w:val="left"/>
      </w:pPr>
      <w:r w:rsidRPr="009D4CD4">
        <w:t>- Sanctions Internationales tous les 12 mois,</w:t>
      </w:r>
    </w:p>
    <w:p w14:paraId="1FA4F7C2" w14:textId="77777777" w:rsidR="00B72A61" w:rsidRPr="009D4CD4" w:rsidRDefault="00B72A61" w:rsidP="00B72A61">
      <w:pPr>
        <w:spacing w:after="0" w:line="240" w:lineRule="auto"/>
        <w:jc w:val="left"/>
      </w:pPr>
      <w:r w:rsidRPr="009D4CD4">
        <w:t>- Prévention de la fraude tous les 3 ans,</w:t>
      </w:r>
    </w:p>
    <w:p w14:paraId="16C1958F" w14:textId="77777777" w:rsidR="00B72A61" w:rsidRPr="009D4CD4" w:rsidRDefault="00B72A61" w:rsidP="00B72A61">
      <w:pPr>
        <w:spacing w:after="0" w:line="240" w:lineRule="auto"/>
        <w:jc w:val="left"/>
      </w:pPr>
      <w:r w:rsidRPr="009D4CD4">
        <w:t>- Prévention des conflits d’intérêts tous les 3 ans,</w:t>
      </w:r>
    </w:p>
    <w:p w14:paraId="1B935EC0" w14:textId="147BFC33" w:rsidR="00B72A61" w:rsidRPr="009D4CD4" w:rsidRDefault="00B72A61" w:rsidP="00B72A61">
      <w:pPr>
        <w:spacing w:after="0" w:line="240" w:lineRule="auto"/>
        <w:jc w:val="left"/>
      </w:pPr>
      <w:r w:rsidRPr="009D4CD4">
        <w:t>- Régl</w:t>
      </w:r>
      <w:r w:rsidR="00510F91">
        <w:t>ementation FATCA tous les 3 ans,</w:t>
      </w:r>
    </w:p>
    <w:p w14:paraId="7FA6B061" w14:textId="77777777" w:rsidR="00B72A61" w:rsidRPr="009D4CD4" w:rsidRDefault="00B72A61" w:rsidP="00B72A61">
      <w:pPr>
        <w:spacing w:after="0" w:line="240" w:lineRule="auto"/>
        <w:jc w:val="left"/>
      </w:pPr>
      <w:r w:rsidRPr="009D4CD4">
        <w:rPr>
          <w:shd w:val="clear" w:color="auto" w:fill="FFFFFF"/>
        </w:rPr>
        <w:t>- Abus de marché tous les 3 ans.</w:t>
      </w:r>
    </w:p>
    <w:p w14:paraId="38C98821" w14:textId="01B7F486" w:rsidR="00B72A61" w:rsidRPr="009D4CD4" w:rsidRDefault="00B72A61" w:rsidP="00B72A61">
      <w:pPr>
        <w:spacing w:after="0" w:line="240" w:lineRule="auto"/>
        <w:jc w:val="left"/>
      </w:pPr>
      <w:r w:rsidRPr="009D4CD4">
        <w:t>Des formations complémentaires sont également planifiées sur des thèmes particuliers : parts sociales; introduction à l</w:t>
      </w:r>
      <w:r w:rsidR="00B94998" w:rsidRPr="009D4CD4">
        <w:t xml:space="preserve">a culture Ethique et Conformité ; bases de la sécurité </w:t>
      </w:r>
      <w:r w:rsidRPr="009D4CD4">
        <w:t>; clientèle fragile; RGPD, PCI DSS, Volcker et fraude interne</w:t>
      </w:r>
      <w:r w:rsidR="00B94998" w:rsidRPr="009D4CD4">
        <w:t> ;</w:t>
      </w:r>
      <w:r w:rsidRPr="009D4CD4">
        <w:t xml:space="preserve"> droit au compte</w:t>
      </w:r>
      <w:r w:rsidR="00B94998" w:rsidRPr="009D4CD4">
        <w:rPr>
          <w:shd w:val="clear" w:color="auto" w:fill="FFFFFF"/>
        </w:rPr>
        <w:t> ;</w:t>
      </w:r>
      <w:r w:rsidRPr="009D4CD4">
        <w:rPr>
          <w:shd w:val="clear" w:color="auto" w:fill="FFFFFF"/>
        </w:rPr>
        <w:t xml:space="preserve"> </w:t>
      </w:r>
      <w:r w:rsidR="00B94998" w:rsidRPr="009D4CD4">
        <w:rPr>
          <w:shd w:val="clear" w:color="auto" w:fill="FFFFFF"/>
        </w:rPr>
        <w:t>d</w:t>
      </w:r>
      <w:r w:rsidRPr="009D4CD4">
        <w:rPr>
          <w:shd w:val="clear" w:color="auto" w:fill="FFFFFF"/>
        </w:rPr>
        <w:t xml:space="preserve">étection de signaux faibles en matière de lutte contre le </w:t>
      </w:r>
      <w:r w:rsidR="00B94998" w:rsidRPr="009D4CD4">
        <w:rPr>
          <w:shd w:val="clear" w:color="auto" w:fill="FFFFFF"/>
        </w:rPr>
        <w:t>financement du terrorisme.</w:t>
      </w:r>
    </w:p>
    <w:p w14:paraId="26781C74" w14:textId="77777777" w:rsidR="00B72A61" w:rsidRPr="009D4CD4" w:rsidRDefault="00B72A61" w:rsidP="00B72A61">
      <w:pPr>
        <w:spacing w:after="0" w:line="240" w:lineRule="auto"/>
        <w:jc w:val="left"/>
      </w:pPr>
      <w:r w:rsidRPr="009D4CD4">
        <w:t> </w:t>
      </w:r>
    </w:p>
    <w:tbl>
      <w:tblPr>
        <w:tblW w:w="9747" w:type="dxa"/>
        <w:tblCellMar>
          <w:left w:w="0" w:type="dxa"/>
          <w:right w:w="0" w:type="dxa"/>
        </w:tblCellMar>
        <w:tblLook w:val="04A0" w:firstRow="1" w:lastRow="0" w:firstColumn="1" w:lastColumn="0" w:noHBand="0" w:noVBand="1"/>
      </w:tblPr>
      <w:tblGrid>
        <w:gridCol w:w="6487"/>
        <w:gridCol w:w="1134"/>
        <w:gridCol w:w="1134"/>
        <w:gridCol w:w="992"/>
      </w:tblGrid>
      <w:tr w:rsidR="00B26790" w:rsidRPr="009D4CD4" w14:paraId="122A1577" w14:textId="77777777" w:rsidTr="00523615">
        <w:trPr>
          <w:trHeight w:val="284"/>
        </w:trPr>
        <w:tc>
          <w:tcPr>
            <w:tcW w:w="6487" w:type="dxa"/>
            <w:tcBorders>
              <w:top w:val="nil"/>
              <w:left w:val="nil"/>
              <w:bottom w:val="single" w:sz="8" w:space="0" w:color="auto"/>
              <w:right w:val="single" w:sz="8" w:space="0" w:color="auto"/>
            </w:tcBorders>
            <w:tcMar>
              <w:top w:w="0" w:type="dxa"/>
              <w:left w:w="108" w:type="dxa"/>
              <w:bottom w:w="0" w:type="dxa"/>
              <w:right w:w="108" w:type="dxa"/>
            </w:tcMar>
            <w:hideMark/>
          </w:tcPr>
          <w:p w14:paraId="68E84609" w14:textId="77777777" w:rsidR="00B26790" w:rsidRPr="009D4CD4" w:rsidRDefault="00B26790" w:rsidP="00B26790">
            <w:pPr>
              <w:spacing w:after="0" w:line="240" w:lineRule="auto"/>
              <w:ind w:right="140"/>
              <w:jc w:val="left"/>
              <w:rPr>
                <w:rFonts w:eastAsiaTheme="minorHAnsi"/>
              </w:rPr>
            </w:pPr>
            <w:r w:rsidRPr="009D4CD4">
              <w:rPr>
                <w:b/>
                <w:bCs/>
                <w:i/>
                <w:iCs/>
                <w:sz w:val="20"/>
                <w:szCs w:val="20"/>
              </w:rPr>
              <w:t>Les chiffres – clé</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1D3B471" w14:textId="38FBE2BF" w:rsidR="00B26790" w:rsidRPr="009D4CD4" w:rsidRDefault="00B26790" w:rsidP="00B26790">
            <w:pPr>
              <w:spacing w:after="0" w:line="240" w:lineRule="auto"/>
              <w:ind w:right="140"/>
              <w:jc w:val="left"/>
              <w:rPr>
                <w:rFonts w:eastAsiaTheme="minorHAnsi"/>
              </w:rPr>
            </w:pPr>
            <w:r w:rsidRPr="009D4CD4">
              <w:rPr>
                <w:b/>
                <w:bCs/>
                <w:sz w:val="20"/>
                <w:szCs w:val="20"/>
              </w:rPr>
              <w:t>2021</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1BE1F7B" w14:textId="55424CAF" w:rsidR="00B26790" w:rsidRPr="009D4CD4" w:rsidRDefault="00B26790" w:rsidP="00B26790">
            <w:pPr>
              <w:spacing w:after="0" w:line="240" w:lineRule="auto"/>
              <w:ind w:right="140"/>
              <w:jc w:val="left"/>
              <w:rPr>
                <w:rFonts w:eastAsiaTheme="minorHAnsi"/>
              </w:rPr>
            </w:pPr>
            <w:r w:rsidRPr="009D4CD4">
              <w:rPr>
                <w:b/>
                <w:bCs/>
                <w:sz w:val="20"/>
                <w:szCs w:val="20"/>
              </w:rPr>
              <w:t>2020</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5CA6FA7" w14:textId="5C448770" w:rsidR="00B26790" w:rsidRPr="009D4CD4" w:rsidRDefault="00B26790" w:rsidP="00B26790">
            <w:pPr>
              <w:spacing w:after="0" w:line="240" w:lineRule="auto"/>
              <w:ind w:right="140"/>
              <w:jc w:val="left"/>
              <w:rPr>
                <w:rFonts w:eastAsiaTheme="minorHAnsi"/>
              </w:rPr>
            </w:pPr>
            <w:r w:rsidRPr="009D4CD4">
              <w:rPr>
                <w:b/>
                <w:bCs/>
                <w:sz w:val="20"/>
                <w:szCs w:val="20"/>
              </w:rPr>
              <w:t>2019</w:t>
            </w:r>
          </w:p>
        </w:tc>
      </w:tr>
      <w:tr w:rsidR="00B26790" w:rsidRPr="009D4CD4" w14:paraId="48712EBE" w14:textId="77777777" w:rsidTr="00523615">
        <w:trPr>
          <w:trHeight w:val="513"/>
        </w:trPr>
        <w:tc>
          <w:tcPr>
            <w:tcW w:w="648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8627C1" w14:textId="77777777" w:rsidR="00B26790" w:rsidRPr="009D4CD4" w:rsidRDefault="00B26790" w:rsidP="00B26790">
            <w:pPr>
              <w:spacing w:after="0" w:line="240" w:lineRule="auto"/>
              <w:jc w:val="left"/>
              <w:rPr>
                <w:rFonts w:eastAsiaTheme="minorHAnsi"/>
              </w:rPr>
            </w:pPr>
            <w:r w:rsidRPr="009D4CD4">
              <w:rPr>
                <w:shd w:val="clear" w:color="auto" w:fill="FFFFFF"/>
              </w:rPr>
              <w:t>Taux de participation des salariés à la formation obligatoire sur la lutte anti-blanchiment et contre le terrorisme</w:t>
            </w:r>
            <w:r w:rsidRPr="009D4CD4">
              <w:rPr>
                <w:sz w:val="20"/>
                <w:szCs w:val="20"/>
                <w:shd w:val="clear" w:color="auto" w:fill="FFFFFF"/>
              </w:rPr>
              <w:t xml:space="preserve"> </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7CB019C9" w14:textId="2F0DA853" w:rsidR="00B26790" w:rsidRPr="009D4CD4" w:rsidRDefault="007413FC" w:rsidP="00B26790">
            <w:pPr>
              <w:spacing w:after="0" w:line="240" w:lineRule="auto"/>
              <w:jc w:val="left"/>
              <w:rPr>
                <w:shd w:val="clear" w:color="auto" w:fill="FFFFFF"/>
              </w:rPr>
            </w:pPr>
            <w:r w:rsidRPr="009D4CD4">
              <w:rPr>
                <w:shd w:val="clear" w:color="auto" w:fill="FFFFFF"/>
              </w:rPr>
              <w:t>99,3%</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0ADA2BD5" w14:textId="4E0521C3" w:rsidR="00B26790" w:rsidRPr="009D4CD4" w:rsidRDefault="00B26790" w:rsidP="00B26790">
            <w:pPr>
              <w:spacing w:after="0" w:line="240" w:lineRule="auto"/>
              <w:jc w:val="left"/>
              <w:rPr>
                <w:shd w:val="clear" w:color="auto" w:fill="FFFFFF"/>
              </w:rPr>
            </w:pPr>
            <w:r w:rsidRPr="009D4CD4">
              <w:rPr>
                <w:shd w:val="clear" w:color="auto" w:fill="FFFFFF"/>
              </w:rPr>
              <w:t>97</w:t>
            </w:r>
            <w:r w:rsidR="007413FC" w:rsidRPr="009D4CD4">
              <w:rPr>
                <w:shd w:val="clear" w:color="auto" w:fill="FFFFFF"/>
              </w:rPr>
              <w:t>,0</w:t>
            </w:r>
            <w:r w:rsidRPr="009D4CD4">
              <w:rPr>
                <w:shd w:val="clear" w:color="auto" w:fill="FFFFFF"/>
              </w:rPr>
              <w:t xml:space="preserve"> %</w:t>
            </w:r>
          </w:p>
        </w:tc>
        <w:tc>
          <w:tcPr>
            <w:tcW w:w="992" w:type="dxa"/>
            <w:tcBorders>
              <w:top w:val="nil"/>
              <w:left w:val="nil"/>
              <w:bottom w:val="single" w:sz="8" w:space="0" w:color="auto"/>
              <w:right w:val="single" w:sz="8" w:space="0" w:color="auto"/>
            </w:tcBorders>
            <w:tcMar>
              <w:top w:w="0" w:type="dxa"/>
              <w:left w:w="108" w:type="dxa"/>
              <w:bottom w:w="0" w:type="dxa"/>
              <w:right w:w="108" w:type="dxa"/>
            </w:tcMar>
            <w:hideMark/>
          </w:tcPr>
          <w:p w14:paraId="6ED04EF0" w14:textId="3085209C" w:rsidR="00B26790" w:rsidRPr="009D4CD4" w:rsidRDefault="007413FC" w:rsidP="00B26790">
            <w:pPr>
              <w:spacing w:after="0" w:line="240" w:lineRule="auto"/>
              <w:jc w:val="left"/>
              <w:rPr>
                <w:shd w:val="clear" w:color="auto" w:fill="FFFFFF"/>
              </w:rPr>
            </w:pPr>
            <w:r w:rsidRPr="009D4CD4">
              <w:rPr>
                <w:shd w:val="clear" w:color="auto" w:fill="FFFFFF"/>
              </w:rPr>
              <w:t>99,7</w:t>
            </w:r>
            <w:r w:rsidR="00B26790" w:rsidRPr="009D4CD4">
              <w:rPr>
                <w:shd w:val="clear" w:color="auto" w:fill="FFFFFF"/>
              </w:rPr>
              <w:t xml:space="preserve"> %</w:t>
            </w:r>
          </w:p>
        </w:tc>
      </w:tr>
    </w:tbl>
    <w:p w14:paraId="391B1C0B" w14:textId="77777777" w:rsidR="000E47A9" w:rsidRPr="009D4CD4" w:rsidRDefault="000E47A9" w:rsidP="000E47A9">
      <w:pPr>
        <w:pStyle w:val="CAA-N"/>
      </w:pPr>
    </w:p>
    <w:p w14:paraId="600FB6D9" w14:textId="21F5B98F" w:rsidR="000E47A9" w:rsidRPr="009D4CD4" w:rsidRDefault="000E47A9" w:rsidP="000E47A9">
      <w:pPr>
        <w:pStyle w:val="Titre4"/>
      </w:pPr>
      <w:bookmarkStart w:id="20" w:name="_Toc96697965"/>
      <w:r w:rsidRPr="009D4CD4">
        <w:t>La lutte anti-blanchiment et anti-corru</w:t>
      </w:r>
      <w:r w:rsidR="002E0683" w:rsidRPr="009D4CD4">
        <w:t>ption</w:t>
      </w:r>
      <w:bookmarkEnd w:id="20"/>
    </w:p>
    <w:p w14:paraId="091843D4" w14:textId="74596C79" w:rsidR="000E47A9" w:rsidRPr="009D4CD4" w:rsidRDefault="000E47A9" w:rsidP="000E47A9">
      <w:pPr>
        <w:spacing w:after="0" w:line="240" w:lineRule="auto"/>
        <w:jc w:val="left"/>
      </w:pPr>
      <w:r w:rsidRPr="009D4CD4">
        <w:t>Outre l’effort de formation mentionné ci-dessus, le dispositif de lutte contre le blanchiment et contre le financement du terrorisme repose sur la surveillance des opérations par l’ensemble du personnel et par des outils et procédures de détection. Les opérations avec les pays à risque (concernés par des embargos, des gels d’avoirs ou étant inscrits dans les listes du GAFI) font l’objet d’un contrôle systématique. Toutes les opérations dépassant un seuil défini en fonction du risque pays sont soumises à un visa préalable de la cellule Sécurité Financière. Les alertes déclarées par les agences, les unités du siège ou issues des outils de détection donnent lieu à un travail d’investigation. En cas de soupçon confirmé, le dossier correspondant est déclaré à TRACFIN.</w:t>
      </w:r>
    </w:p>
    <w:p w14:paraId="02EED497" w14:textId="77777777" w:rsidR="000E47A9" w:rsidRPr="009D4CD4" w:rsidRDefault="000E47A9" w:rsidP="000E47A9">
      <w:pPr>
        <w:spacing w:after="0" w:line="240" w:lineRule="auto"/>
        <w:jc w:val="left"/>
      </w:pPr>
      <w:r w:rsidRPr="009D4CD4">
        <w:t> </w:t>
      </w:r>
    </w:p>
    <w:p w14:paraId="1F5E5DA7" w14:textId="77777777" w:rsidR="000E47A9" w:rsidRPr="009D4CD4" w:rsidRDefault="000E47A9" w:rsidP="000E47A9">
      <w:pPr>
        <w:spacing w:after="0" w:line="240" w:lineRule="auto"/>
        <w:jc w:val="left"/>
      </w:pPr>
      <w:r w:rsidRPr="009D4CD4">
        <w:t xml:space="preserve">Au niveau du Groupe Crédit Agricole, la lutte contre la corruption fait l’objet d’un engagement historique avec : </w:t>
      </w:r>
      <w:r w:rsidRPr="009D4CD4">
        <w:br/>
        <w:t xml:space="preserve">&gt; un corpus normatif : procédure de lutte contre </w:t>
      </w:r>
      <w:r w:rsidR="002E0683" w:rsidRPr="009D4CD4">
        <w:t>la corruption et droit d’alerte</w:t>
      </w:r>
      <w:r w:rsidRPr="009D4CD4">
        <w:t>, procédures opérationnelles sécurité financière, prévention des conflits d’intérêts, cadeaux et avantages…,</w:t>
      </w:r>
    </w:p>
    <w:p w14:paraId="023B9D60" w14:textId="52DB94B8" w:rsidR="000E47A9" w:rsidRPr="009D4CD4" w:rsidRDefault="000E47A9" w:rsidP="000E47A9">
      <w:pPr>
        <w:spacing w:after="0" w:line="240" w:lineRule="auto"/>
        <w:jc w:val="left"/>
      </w:pPr>
      <w:r w:rsidRPr="009D4CD4">
        <w:t>&gt; une organisation et une gouvernance clairement établie</w:t>
      </w:r>
      <w:r w:rsidR="00510F91">
        <w:t>s,</w:t>
      </w:r>
      <w:r w:rsidRPr="009D4CD4">
        <w:t xml:space="preserve"> composée</w:t>
      </w:r>
      <w:r w:rsidR="00510F91">
        <w:t>s</w:t>
      </w:r>
      <w:r w:rsidRPr="009D4CD4">
        <w:t xml:space="preserve"> d’une unité Prévention de la Fraude au sein de Crédit Agricole S.A. acteur central de l’animation et de la coordination du dispositif de Prévention de la Fraude, et d’un réseau de plus de 150 correspondants Prévention de la Fraude au sein de l’ensemble des entités du Groupe (France et International),</w:t>
      </w:r>
    </w:p>
    <w:p w14:paraId="44111DDA" w14:textId="77777777" w:rsidR="000E47A9" w:rsidRPr="009D4CD4" w:rsidRDefault="000E47A9" w:rsidP="000E47A9">
      <w:pPr>
        <w:spacing w:after="0" w:line="240" w:lineRule="auto"/>
        <w:jc w:val="left"/>
      </w:pPr>
      <w:r w:rsidRPr="009D4CD4">
        <w:t>&gt; un dispositif de remontée des dysfonctionnements et des alertes,</w:t>
      </w:r>
    </w:p>
    <w:p w14:paraId="5FB313F4" w14:textId="24BE969E" w:rsidR="000E47A9" w:rsidRPr="009D4CD4" w:rsidRDefault="000E47A9" w:rsidP="000E47A9">
      <w:pPr>
        <w:spacing w:after="0" w:line="240" w:lineRule="auto"/>
        <w:jc w:val="left"/>
      </w:pPr>
      <w:r w:rsidRPr="009D4CD4">
        <w:t>&gt; une formation obligatoire aux thématiques de lutte contre la corruption et droit d’alerte pour l’ensemble des collaborateurs du Groupe.</w:t>
      </w:r>
      <w:r w:rsidR="007413FC" w:rsidRPr="009D4CD4">
        <w:t xml:space="preserve"> </w:t>
      </w:r>
      <w:r w:rsidR="007413FC" w:rsidRPr="009D4CD4">
        <w:rPr>
          <w:shd w:val="clear" w:color="auto" w:fill="FFFFFF"/>
        </w:rPr>
        <w:t>En 2021, une formation spécifique dédiée a été ouverte pour les métiers exposés (achats) mais aussi à l’attention de la gouvernance.</w:t>
      </w:r>
    </w:p>
    <w:p w14:paraId="388E55A3" w14:textId="7F634748" w:rsidR="007413FC" w:rsidRPr="009D4CD4" w:rsidRDefault="000E47A9" w:rsidP="007413FC">
      <w:pPr>
        <w:spacing w:after="0" w:line="240" w:lineRule="auto"/>
        <w:jc w:val="left"/>
      </w:pPr>
      <w:r w:rsidRPr="009D4CD4">
        <w:t>Le Groupe Crédit Agricole a souhaité évaluer et valoriser ses dispositifs de prévention de la corruption via l’analyse d’un tiers indépendant. Au terme de cette démarche, le Groupe a obtenu la certification BS 10500 en juillet 2016, devenant ainsi la 1ère banque française à certifier son dispositif de lutte contre la corruption.</w:t>
      </w:r>
      <w:r w:rsidR="007413FC" w:rsidRPr="009D4CD4">
        <w:t xml:space="preserve"> </w:t>
      </w:r>
      <w:r w:rsidR="007413FC" w:rsidRPr="009D4CD4">
        <w:rPr>
          <w:shd w:val="clear" w:color="auto" w:fill="FFFFFF"/>
        </w:rPr>
        <w:t xml:space="preserve">Un audit réalisé par un organisme externe a permis d’obtenir pour la </w:t>
      </w:r>
      <w:r w:rsidR="00A7717F">
        <w:rPr>
          <w:shd w:val="clear" w:color="auto" w:fill="FFFFFF"/>
        </w:rPr>
        <w:t>Caisse Régionale</w:t>
      </w:r>
      <w:r w:rsidR="007413FC" w:rsidRPr="009D4CD4">
        <w:rPr>
          <w:shd w:val="clear" w:color="auto" w:fill="FFFFFF"/>
        </w:rPr>
        <w:t xml:space="preserve"> Nord Midi-Pyrénées la certification ISO 37001 sur le dispositif de management du </w:t>
      </w:r>
      <w:r w:rsidR="00510F91">
        <w:rPr>
          <w:shd w:val="clear" w:color="auto" w:fill="FFFFFF"/>
        </w:rPr>
        <w:t>processus</w:t>
      </w:r>
      <w:r w:rsidR="007413FC" w:rsidRPr="009D4CD4">
        <w:rPr>
          <w:shd w:val="clear" w:color="auto" w:fill="FFFFFF"/>
        </w:rPr>
        <w:t xml:space="preserve"> de lutte contre la corruption.</w:t>
      </w:r>
      <w:r w:rsidR="007413FC" w:rsidRPr="009D4CD4">
        <w:t xml:space="preserve"> </w:t>
      </w:r>
    </w:p>
    <w:p w14:paraId="5BAB5C99" w14:textId="77777777" w:rsidR="000E47A9" w:rsidRPr="009D4CD4" w:rsidRDefault="000E47A9" w:rsidP="000E47A9">
      <w:pPr>
        <w:spacing w:after="0" w:line="240" w:lineRule="auto"/>
        <w:jc w:val="left"/>
      </w:pPr>
    </w:p>
    <w:p w14:paraId="580C464D" w14:textId="512D9932" w:rsidR="000E47A9" w:rsidRPr="009D4CD4" w:rsidRDefault="009012B3" w:rsidP="000E47A9">
      <w:pPr>
        <w:spacing w:after="0" w:line="240" w:lineRule="auto"/>
        <w:jc w:val="left"/>
      </w:pPr>
      <w:r w:rsidRPr="009D4CD4">
        <w:rPr>
          <w:shd w:val="clear" w:color="auto" w:fill="FFFFFF"/>
        </w:rPr>
        <w:t xml:space="preserve">Pour renforcer la prise en compte de la lutte anti-corruption par les salariés, </w:t>
      </w:r>
      <w:r w:rsidR="000E47A9" w:rsidRPr="009D4CD4">
        <w:rPr>
          <w:shd w:val="clear" w:color="auto" w:fill="FFFFFF"/>
        </w:rPr>
        <w:t>le Règlement intérieur a été complété par une annexe consacrée à</w:t>
      </w:r>
      <w:r w:rsidRPr="009D4CD4">
        <w:rPr>
          <w:shd w:val="clear" w:color="auto" w:fill="FFFFFF"/>
        </w:rPr>
        <w:t xml:space="preserve"> ce sujet</w:t>
      </w:r>
      <w:r w:rsidR="000E47A9" w:rsidRPr="009D4CD4">
        <w:rPr>
          <w:shd w:val="clear" w:color="auto" w:fill="FFFFFF"/>
        </w:rPr>
        <w:t xml:space="preserve">. </w:t>
      </w:r>
      <w:r w:rsidRPr="009D4CD4">
        <w:rPr>
          <w:shd w:val="clear" w:color="auto" w:fill="FFFFFF"/>
        </w:rPr>
        <w:t xml:space="preserve">Ce document s’appuie sur </w:t>
      </w:r>
      <w:r w:rsidR="000E47A9" w:rsidRPr="009D4CD4">
        <w:rPr>
          <w:shd w:val="clear" w:color="auto" w:fill="FFFFFF"/>
        </w:rPr>
        <w:t xml:space="preserve">: </w:t>
      </w:r>
    </w:p>
    <w:p w14:paraId="69F1E750" w14:textId="4A0CFC8F" w:rsidR="000E47A9" w:rsidRPr="009D4CD4" w:rsidRDefault="009012B3" w:rsidP="000E47A9">
      <w:pPr>
        <w:spacing w:after="0" w:line="240" w:lineRule="auto"/>
        <w:jc w:val="left"/>
        <w:rPr>
          <w:shd w:val="clear" w:color="auto" w:fill="FFFFFF"/>
        </w:rPr>
      </w:pPr>
      <w:r w:rsidRPr="009D4CD4">
        <w:rPr>
          <w:shd w:val="clear" w:color="auto" w:fill="FFFFFF"/>
        </w:rPr>
        <w:t xml:space="preserve">&gt; </w:t>
      </w:r>
      <w:r w:rsidR="000E47A9" w:rsidRPr="009D4CD4">
        <w:rPr>
          <w:shd w:val="clear" w:color="auto" w:fill="FFFFFF"/>
        </w:rPr>
        <w:t>des définitions utiles à l’identificat</w:t>
      </w:r>
      <w:r w:rsidRPr="009D4CD4">
        <w:rPr>
          <w:shd w:val="clear" w:color="auto" w:fill="FFFFFF"/>
        </w:rPr>
        <w:t>ion des cas de corruption,</w:t>
      </w:r>
      <w:r w:rsidRPr="009D4CD4">
        <w:rPr>
          <w:shd w:val="clear" w:color="auto" w:fill="FFFFFF"/>
        </w:rPr>
        <w:br/>
        <w:t>&gt; les</w:t>
      </w:r>
      <w:r w:rsidR="000E47A9" w:rsidRPr="009D4CD4">
        <w:rPr>
          <w:shd w:val="clear" w:color="auto" w:fill="FFFFFF"/>
        </w:rPr>
        <w:t xml:space="preserve"> engagements de la </w:t>
      </w:r>
      <w:r w:rsidR="00A7717F">
        <w:rPr>
          <w:shd w:val="clear" w:color="auto" w:fill="FFFFFF"/>
        </w:rPr>
        <w:t>Caisse Régionale</w:t>
      </w:r>
      <w:r w:rsidR="000E47A9" w:rsidRPr="009D4CD4">
        <w:rPr>
          <w:shd w:val="clear" w:color="auto" w:fill="FFFFFF"/>
        </w:rPr>
        <w:t xml:space="preserve"> en matière de corruptio</w:t>
      </w:r>
      <w:r w:rsidRPr="009D4CD4">
        <w:rPr>
          <w:shd w:val="clear" w:color="auto" w:fill="FFFFFF"/>
        </w:rPr>
        <w:t>n et de trafic d’influence,</w:t>
      </w:r>
      <w:r w:rsidRPr="009D4CD4">
        <w:rPr>
          <w:shd w:val="clear" w:color="auto" w:fill="FFFFFF"/>
        </w:rPr>
        <w:br/>
        <w:t xml:space="preserve">&gt; </w:t>
      </w:r>
      <w:r w:rsidR="000E47A9" w:rsidRPr="009D4CD4">
        <w:rPr>
          <w:shd w:val="clear" w:color="auto" w:fill="FFFFFF"/>
        </w:rPr>
        <w:t>des précisions, ainsi qu’un résumé de l’ensemble du dispositif et des procédures de lutte contre la corruption disponible</w:t>
      </w:r>
      <w:r w:rsidRPr="009D4CD4">
        <w:rPr>
          <w:shd w:val="clear" w:color="auto" w:fill="FFFFFF"/>
        </w:rPr>
        <w:t>s</w:t>
      </w:r>
      <w:r w:rsidR="000E47A9" w:rsidRPr="009D4CD4">
        <w:rPr>
          <w:shd w:val="clear" w:color="auto" w:fill="FFFFFF"/>
        </w:rPr>
        <w:t xml:space="preserve"> dans l’intranet.</w:t>
      </w:r>
    </w:p>
    <w:p w14:paraId="0043E51F" w14:textId="77777777" w:rsidR="000E47A9" w:rsidRPr="009D4CD4" w:rsidRDefault="000E47A9" w:rsidP="000E47A9">
      <w:pPr>
        <w:spacing w:after="0" w:line="240" w:lineRule="auto"/>
        <w:jc w:val="left"/>
      </w:pPr>
    </w:p>
    <w:p w14:paraId="47B98FCE" w14:textId="717BDC40" w:rsidR="00B72A61" w:rsidRPr="009D4CD4" w:rsidRDefault="00B72A61" w:rsidP="00DC2D70">
      <w:pPr>
        <w:pStyle w:val="Titre4"/>
        <w:rPr>
          <w:rFonts w:eastAsiaTheme="minorHAnsi"/>
        </w:rPr>
      </w:pPr>
      <w:bookmarkStart w:id="21" w:name="_Toc96697966"/>
      <w:r w:rsidRPr="009D4CD4">
        <w:t>La protection des clients et de leurs données</w:t>
      </w:r>
      <w:bookmarkEnd w:id="21"/>
      <w:r w:rsidRPr="009D4CD4">
        <w:t xml:space="preserve"> </w:t>
      </w:r>
    </w:p>
    <w:p w14:paraId="510DD273" w14:textId="237243EB" w:rsidR="00A5518B" w:rsidRPr="009D4CD4" w:rsidRDefault="00A5518B" w:rsidP="00A5518B">
      <w:pPr>
        <w:spacing w:after="0" w:line="240" w:lineRule="auto"/>
        <w:jc w:val="left"/>
      </w:pPr>
      <w:r w:rsidRPr="009D4CD4">
        <w:t>En ligne avec la réglementation bancaire, le processus de Connaissance du client (Know Your Customer) du CANMP permet l’identification et la vérification de l’identité des clients dès l’entrée en relation et tout au long de la relation. Ce processus répond aux exigences, notamment, de lutte contre la corruption, le blanchiment d’argent, la fraude fiscale et le financement du terrorisme.</w:t>
      </w:r>
    </w:p>
    <w:p w14:paraId="1A4F6996" w14:textId="7E29983A" w:rsidR="00A5518B" w:rsidRPr="009D4CD4" w:rsidRDefault="00A5518B" w:rsidP="00A5518B">
      <w:pPr>
        <w:spacing w:after="0" w:line="240" w:lineRule="auto"/>
        <w:jc w:val="left"/>
      </w:pPr>
      <w:r w:rsidRPr="009D4CD4">
        <w:t>Le processus KYC repose sur la révision régulière des personnes physiques ou morales entretenant une relation d’affaires avec le CANMP, c’est-à-dire détentrice d’au moins un contrat. Les données mises à jour pour les personnes physiques portent sur les revenus, le patrimoine et l’activité professionnelle. Pour les entreprises individuelles, les données complémentaires concernent le chiffre d’affaires et le secteur d’activité. Pour les personnes morales, les informations comportent, en plus, d’autres données comme celles des parties liées (dirigeants, associés, bénéficiaires effectifs etc.), l’activité à l’international, les différentes adresses, la forme légale ou la raison sociale de l’entreprise.</w:t>
      </w:r>
    </w:p>
    <w:p w14:paraId="1CC1E35B" w14:textId="77777777" w:rsidR="00A5518B" w:rsidRPr="009D4CD4" w:rsidRDefault="00A5518B" w:rsidP="00A5518B">
      <w:pPr>
        <w:spacing w:after="0" w:line="240" w:lineRule="auto"/>
        <w:jc w:val="left"/>
      </w:pPr>
    </w:p>
    <w:p w14:paraId="7A7CCACC" w14:textId="500BA425" w:rsidR="00B72A61" w:rsidRPr="009D4CD4" w:rsidRDefault="00B72A61" w:rsidP="00B72A61">
      <w:pPr>
        <w:spacing w:after="0" w:line="240" w:lineRule="auto"/>
        <w:jc w:val="left"/>
      </w:pPr>
      <w:r w:rsidRPr="009D4CD4">
        <w:t xml:space="preserve">La </w:t>
      </w:r>
      <w:r w:rsidR="00A7717F">
        <w:t>Caisse Régionale</w:t>
      </w:r>
      <w:r w:rsidRPr="009D4CD4">
        <w:t xml:space="preserve"> passe en revue périodiquement la totalité des lois et règlements liés à la protection des consommateurs. Les résultats des contrôles sont consignés dans le questionnaire annuel sur l’application des règles de protection de la clientèle destiné à l’Autorité de Contrôle Prudentiel et de Résolution.</w:t>
      </w:r>
    </w:p>
    <w:p w14:paraId="207CDBE3" w14:textId="77777777" w:rsidR="003C2B9C" w:rsidRPr="009D4CD4" w:rsidRDefault="003C2B9C" w:rsidP="00B72A61">
      <w:pPr>
        <w:spacing w:after="0" w:line="240" w:lineRule="auto"/>
        <w:jc w:val="left"/>
      </w:pPr>
    </w:p>
    <w:p w14:paraId="710C5CF8" w14:textId="56EF4F12" w:rsidR="00B72A61" w:rsidRPr="009D4CD4" w:rsidRDefault="00B72A61" w:rsidP="00B72A61">
      <w:pPr>
        <w:pStyle w:val="textedocumentaire0"/>
        <w:rPr>
          <w:rFonts w:ascii="Calibri" w:hAnsi="Calibri"/>
          <w:sz w:val="22"/>
          <w:szCs w:val="22"/>
        </w:rPr>
      </w:pPr>
      <w:r w:rsidRPr="009D4CD4">
        <w:rPr>
          <w:rFonts w:ascii="Calibri" w:hAnsi="Calibri"/>
          <w:sz w:val="22"/>
          <w:szCs w:val="22"/>
        </w:rPr>
        <w:t>La prévention et la gestion de la fraude externe ainsi que la lutte contre la fraude inter</w:t>
      </w:r>
      <w:r w:rsidR="002A1A57" w:rsidRPr="009D4CD4">
        <w:rPr>
          <w:rFonts w:ascii="Calibri" w:hAnsi="Calibri"/>
          <w:sz w:val="22"/>
          <w:szCs w:val="22"/>
        </w:rPr>
        <w:t>ne font l’objet d’un dispositif</w:t>
      </w:r>
      <w:r w:rsidRPr="009D4CD4">
        <w:rPr>
          <w:rFonts w:ascii="Calibri" w:hAnsi="Calibri"/>
          <w:sz w:val="22"/>
          <w:szCs w:val="22"/>
        </w:rPr>
        <w:t xml:space="preserve"> majeur de la politique de protection de la clientèle. Ce dispositif est décrit dans une procédure accessible dans l’intranet par tous les salariés. Il est intégré dans la formation des nouveaux embauchés. Un collaborateur est spécialement désigné pour : coordonner tous les acteurs du dispositif, notamment les correspondants nommés dans les unités gestionnaires ; centraliser les alertes à la fraude ; assister les unités au niveau de leurs actions de traitement ; conduire les actions de prévention et de </w:t>
      </w:r>
      <w:r w:rsidRPr="009D4CD4">
        <w:rPr>
          <w:rFonts w:ascii="Calibri" w:hAnsi="Calibri"/>
          <w:i/>
          <w:iCs/>
          <w:sz w:val="22"/>
          <w:szCs w:val="22"/>
        </w:rPr>
        <w:t>reporting</w:t>
      </w:r>
      <w:r w:rsidRPr="009D4CD4">
        <w:rPr>
          <w:rFonts w:ascii="Calibri" w:hAnsi="Calibri"/>
          <w:sz w:val="22"/>
          <w:szCs w:val="22"/>
        </w:rPr>
        <w:t xml:space="preserve">. Une boîte aux lettres générique </w:t>
      </w:r>
      <w:r w:rsidR="007413FC" w:rsidRPr="009D4CD4">
        <w:t xml:space="preserve">et un workflow opérationnel inter-services </w:t>
      </w:r>
      <w:r w:rsidRPr="009D4CD4">
        <w:rPr>
          <w:rFonts w:ascii="Calibri" w:hAnsi="Calibri"/>
          <w:sz w:val="22"/>
          <w:szCs w:val="22"/>
        </w:rPr>
        <w:t>permet</w:t>
      </w:r>
      <w:r w:rsidR="007413FC" w:rsidRPr="009D4CD4">
        <w:rPr>
          <w:rFonts w:ascii="Calibri" w:hAnsi="Calibri"/>
          <w:sz w:val="22"/>
          <w:szCs w:val="22"/>
        </w:rPr>
        <w:t>tent</w:t>
      </w:r>
      <w:r w:rsidRPr="009D4CD4">
        <w:rPr>
          <w:rFonts w:ascii="Calibri" w:hAnsi="Calibri"/>
          <w:sz w:val="22"/>
          <w:szCs w:val="22"/>
        </w:rPr>
        <w:t xml:space="preserve"> la bonne circulation des informations.  Des alertes à la fraud</w:t>
      </w:r>
      <w:r w:rsidR="002A1A57" w:rsidRPr="009D4CD4">
        <w:rPr>
          <w:rFonts w:ascii="Calibri" w:hAnsi="Calibri"/>
          <w:sz w:val="22"/>
          <w:szCs w:val="22"/>
        </w:rPr>
        <w:t xml:space="preserve">e sont régulièrement diffusées </w:t>
      </w:r>
      <w:r w:rsidRPr="009D4CD4">
        <w:rPr>
          <w:rFonts w:ascii="Calibri" w:hAnsi="Calibri"/>
          <w:sz w:val="22"/>
          <w:szCs w:val="22"/>
        </w:rPr>
        <w:t xml:space="preserve">en interne via l’intranet, de façon à maintenir un niveau élevé de vigilance. </w:t>
      </w:r>
    </w:p>
    <w:p w14:paraId="02577734" w14:textId="77777777" w:rsidR="009012B3" w:rsidRPr="009D4CD4" w:rsidRDefault="009012B3" w:rsidP="004F45E2">
      <w:pPr>
        <w:pStyle w:val="textedocumentaire0"/>
        <w:rPr>
          <w:rFonts w:ascii="Calibri" w:hAnsi="Calibri"/>
          <w:sz w:val="22"/>
          <w:szCs w:val="22"/>
        </w:rPr>
      </w:pPr>
    </w:p>
    <w:p w14:paraId="4F01DE9D" w14:textId="79CA3EB7" w:rsidR="00B26790" w:rsidRPr="009D4CD4" w:rsidRDefault="007413FC" w:rsidP="004F45E2">
      <w:pPr>
        <w:spacing w:after="0" w:line="240" w:lineRule="auto"/>
        <w:jc w:val="left"/>
        <w:rPr>
          <w:rFonts w:eastAsiaTheme="minorHAnsi" w:cs="Arial"/>
          <w:lang w:eastAsia="fr-FR"/>
        </w:rPr>
      </w:pPr>
      <w:r w:rsidRPr="009D4CD4">
        <w:rPr>
          <w:rFonts w:eastAsiaTheme="minorHAnsi" w:cs="Arial"/>
          <w:lang w:eastAsia="fr-FR"/>
        </w:rPr>
        <w:t>Des alertes sont diffusées sur l’intranet. En complément, des messages sont adressés par messagerie interne (29 messages en 2021 au total).</w:t>
      </w:r>
    </w:p>
    <w:p w14:paraId="311E01ED" w14:textId="77777777" w:rsidR="009012B3" w:rsidRPr="009D4CD4" w:rsidRDefault="009012B3" w:rsidP="009012B3">
      <w:pPr>
        <w:pStyle w:val="textedocumentaire0"/>
        <w:rPr>
          <w:rFonts w:ascii="Calibri" w:hAnsi="Calibri"/>
          <w:sz w:val="22"/>
          <w:szCs w:val="22"/>
        </w:rPr>
      </w:pPr>
    </w:p>
    <w:tbl>
      <w:tblPr>
        <w:tblW w:w="9642" w:type="dxa"/>
        <w:tblCellMar>
          <w:left w:w="0" w:type="dxa"/>
          <w:right w:w="0" w:type="dxa"/>
        </w:tblCellMar>
        <w:tblLook w:val="04A0" w:firstRow="1" w:lastRow="0" w:firstColumn="1" w:lastColumn="0" w:noHBand="0" w:noVBand="1"/>
      </w:tblPr>
      <w:tblGrid>
        <w:gridCol w:w="6380"/>
        <w:gridCol w:w="1134"/>
        <w:gridCol w:w="1120"/>
        <w:gridCol w:w="1008"/>
      </w:tblGrid>
      <w:tr w:rsidR="00B26790" w:rsidRPr="009D4CD4" w14:paraId="2F9AC034" w14:textId="77777777" w:rsidTr="00523615">
        <w:trPr>
          <w:trHeight w:val="284"/>
        </w:trPr>
        <w:tc>
          <w:tcPr>
            <w:tcW w:w="6380" w:type="dxa"/>
            <w:tcBorders>
              <w:top w:val="nil"/>
              <w:left w:val="nil"/>
              <w:bottom w:val="single" w:sz="8" w:space="0" w:color="auto"/>
              <w:right w:val="single" w:sz="8" w:space="0" w:color="auto"/>
            </w:tcBorders>
            <w:tcMar>
              <w:top w:w="0" w:type="dxa"/>
              <w:left w:w="108" w:type="dxa"/>
              <w:bottom w:w="0" w:type="dxa"/>
              <w:right w:w="108" w:type="dxa"/>
            </w:tcMar>
            <w:hideMark/>
          </w:tcPr>
          <w:p w14:paraId="673C9E03" w14:textId="77777777" w:rsidR="00B26790" w:rsidRPr="009D4CD4" w:rsidRDefault="00B26790" w:rsidP="00B26790">
            <w:pPr>
              <w:spacing w:after="0" w:line="240" w:lineRule="auto"/>
              <w:ind w:right="140"/>
              <w:jc w:val="left"/>
              <w:rPr>
                <w:rFonts w:eastAsiaTheme="minorHAnsi"/>
              </w:rPr>
            </w:pPr>
            <w:r w:rsidRPr="009D4CD4">
              <w:rPr>
                <w:b/>
                <w:bCs/>
                <w:i/>
                <w:iCs/>
                <w:sz w:val="20"/>
                <w:szCs w:val="20"/>
              </w:rPr>
              <w:t>Les chiffres – clé</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86CCC8" w14:textId="6BD96040" w:rsidR="00B26790" w:rsidRPr="009D4CD4" w:rsidRDefault="00B26790" w:rsidP="00B26790">
            <w:pPr>
              <w:spacing w:after="0" w:line="240" w:lineRule="auto"/>
              <w:ind w:right="140"/>
              <w:jc w:val="left"/>
              <w:rPr>
                <w:rFonts w:eastAsiaTheme="minorHAnsi"/>
              </w:rPr>
            </w:pPr>
            <w:r w:rsidRPr="009D4CD4">
              <w:rPr>
                <w:b/>
                <w:bCs/>
                <w:sz w:val="20"/>
                <w:szCs w:val="20"/>
              </w:rPr>
              <w:t>2021</w:t>
            </w:r>
          </w:p>
        </w:tc>
        <w:tc>
          <w:tcPr>
            <w:tcW w:w="112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D6AD985" w14:textId="7A1F03DA" w:rsidR="00B26790" w:rsidRPr="009D4CD4" w:rsidRDefault="00B26790" w:rsidP="00B26790">
            <w:pPr>
              <w:spacing w:after="0" w:line="240" w:lineRule="auto"/>
              <w:ind w:right="140"/>
              <w:jc w:val="left"/>
              <w:rPr>
                <w:rFonts w:eastAsiaTheme="minorHAnsi"/>
              </w:rPr>
            </w:pPr>
            <w:r w:rsidRPr="009D4CD4">
              <w:rPr>
                <w:b/>
                <w:bCs/>
                <w:sz w:val="20"/>
                <w:szCs w:val="20"/>
              </w:rPr>
              <w:t>2020</w:t>
            </w:r>
          </w:p>
        </w:tc>
        <w:tc>
          <w:tcPr>
            <w:tcW w:w="100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7277406" w14:textId="441BF207" w:rsidR="00B26790" w:rsidRPr="009D4CD4" w:rsidRDefault="00B26790" w:rsidP="00B26790">
            <w:pPr>
              <w:spacing w:after="0" w:line="240" w:lineRule="auto"/>
              <w:ind w:right="140"/>
              <w:jc w:val="left"/>
              <w:rPr>
                <w:rFonts w:eastAsiaTheme="minorHAnsi"/>
              </w:rPr>
            </w:pPr>
            <w:r w:rsidRPr="009D4CD4">
              <w:rPr>
                <w:b/>
                <w:bCs/>
                <w:sz w:val="20"/>
                <w:szCs w:val="20"/>
              </w:rPr>
              <w:t>2019</w:t>
            </w:r>
          </w:p>
        </w:tc>
      </w:tr>
      <w:tr w:rsidR="00B26790" w:rsidRPr="009D4CD4" w14:paraId="40A9CC5B" w14:textId="77777777" w:rsidTr="00523615">
        <w:trPr>
          <w:trHeight w:val="284"/>
        </w:trPr>
        <w:tc>
          <w:tcPr>
            <w:tcW w:w="63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CC634E" w14:textId="77777777" w:rsidR="00B26790" w:rsidRPr="009D4CD4" w:rsidRDefault="00B26790" w:rsidP="00B26790">
            <w:pPr>
              <w:spacing w:after="0" w:line="240" w:lineRule="auto"/>
              <w:ind w:right="140"/>
              <w:jc w:val="left"/>
              <w:rPr>
                <w:rFonts w:eastAsiaTheme="minorHAnsi"/>
              </w:rPr>
            </w:pPr>
            <w:r w:rsidRPr="009D4CD4">
              <w:rPr>
                <w:rFonts w:eastAsiaTheme="minorHAnsi" w:cs="Arial"/>
                <w:lang w:eastAsia="fr-FR"/>
              </w:rPr>
              <w:t>Alertes à la fraude diffusées via l’intranet</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620A8E10" w14:textId="390BF272" w:rsidR="00B26790" w:rsidRPr="009D4CD4" w:rsidRDefault="007413FC" w:rsidP="00B26790">
            <w:pPr>
              <w:spacing w:after="0" w:line="240" w:lineRule="auto"/>
              <w:ind w:right="140"/>
              <w:jc w:val="left"/>
              <w:rPr>
                <w:rFonts w:eastAsiaTheme="minorHAnsi" w:cs="Arial"/>
                <w:lang w:eastAsia="fr-FR"/>
              </w:rPr>
            </w:pPr>
            <w:r w:rsidRPr="009D4CD4">
              <w:rPr>
                <w:rFonts w:eastAsiaTheme="minorHAnsi" w:cs="Arial"/>
                <w:lang w:eastAsia="fr-FR"/>
              </w:rPr>
              <w:t>5</w:t>
            </w:r>
          </w:p>
        </w:tc>
        <w:tc>
          <w:tcPr>
            <w:tcW w:w="1120" w:type="dxa"/>
            <w:tcBorders>
              <w:top w:val="nil"/>
              <w:left w:val="nil"/>
              <w:bottom w:val="single" w:sz="8" w:space="0" w:color="auto"/>
              <w:right w:val="single" w:sz="8" w:space="0" w:color="auto"/>
            </w:tcBorders>
            <w:tcMar>
              <w:top w:w="0" w:type="dxa"/>
              <w:left w:w="108" w:type="dxa"/>
              <w:bottom w:w="0" w:type="dxa"/>
              <w:right w:w="108" w:type="dxa"/>
            </w:tcMar>
            <w:hideMark/>
          </w:tcPr>
          <w:p w14:paraId="49F8D6C6" w14:textId="2B7953A9" w:rsidR="00B26790" w:rsidRPr="009D4CD4" w:rsidRDefault="00B26790" w:rsidP="00B26790">
            <w:pPr>
              <w:spacing w:after="0" w:line="240" w:lineRule="auto"/>
              <w:ind w:right="140"/>
              <w:jc w:val="left"/>
              <w:rPr>
                <w:rFonts w:eastAsiaTheme="minorHAnsi" w:cs="Arial"/>
                <w:lang w:eastAsia="fr-FR"/>
              </w:rPr>
            </w:pPr>
            <w:r w:rsidRPr="009D4CD4">
              <w:rPr>
                <w:rFonts w:eastAsiaTheme="minorHAnsi" w:cs="Arial"/>
                <w:lang w:eastAsia="fr-FR"/>
              </w:rPr>
              <w:t>6</w:t>
            </w:r>
          </w:p>
        </w:tc>
        <w:tc>
          <w:tcPr>
            <w:tcW w:w="1008" w:type="dxa"/>
            <w:tcBorders>
              <w:top w:val="nil"/>
              <w:left w:val="nil"/>
              <w:bottom w:val="single" w:sz="8" w:space="0" w:color="auto"/>
              <w:right w:val="single" w:sz="8" w:space="0" w:color="auto"/>
            </w:tcBorders>
            <w:tcMar>
              <w:top w:w="0" w:type="dxa"/>
              <w:left w:w="108" w:type="dxa"/>
              <w:bottom w:w="0" w:type="dxa"/>
              <w:right w:w="108" w:type="dxa"/>
            </w:tcMar>
            <w:hideMark/>
          </w:tcPr>
          <w:p w14:paraId="6A545766" w14:textId="40AA7BD2" w:rsidR="00B26790" w:rsidRPr="009D4CD4" w:rsidRDefault="00B26790" w:rsidP="00B26790">
            <w:pPr>
              <w:spacing w:after="0" w:line="240" w:lineRule="auto"/>
              <w:ind w:right="140"/>
              <w:jc w:val="left"/>
              <w:rPr>
                <w:rFonts w:eastAsiaTheme="minorHAnsi" w:cs="Arial"/>
                <w:lang w:eastAsia="fr-FR"/>
              </w:rPr>
            </w:pPr>
            <w:r w:rsidRPr="009D4CD4">
              <w:rPr>
                <w:rFonts w:eastAsiaTheme="minorHAnsi" w:cs="Arial"/>
                <w:lang w:eastAsia="fr-FR"/>
              </w:rPr>
              <w:t>13</w:t>
            </w:r>
          </w:p>
        </w:tc>
      </w:tr>
    </w:tbl>
    <w:p w14:paraId="4D1192E7" w14:textId="7213D647" w:rsidR="00B72A61" w:rsidRPr="009D4CD4" w:rsidRDefault="00B72A61" w:rsidP="00B72A61">
      <w:pPr>
        <w:spacing w:after="0" w:line="240" w:lineRule="auto"/>
        <w:jc w:val="left"/>
      </w:pPr>
    </w:p>
    <w:p w14:paraId="06F094DE" w14:textId="77777777" w:rsidR="002D1920" w:rsidRPr="009D4CD4" w:rsidRDefault="002D1920" w:rsidP="002D1920">
      <w:pPr>
        <w:spacing w:after="0" w:line="240" w:lineRule="auto"/>
        <w:jc w:val="left"/>
      </w:pPr>
      <w:r w:rsidRPr="009D4CD4">
        <w:rPr>
          <w:shd w:val="clear" w:color="auto" w:fill="FFFFFF"/>
        </w:rPr>
        <w:t>Le règlement européen sur la protection des données (RGPD) entré en vigueur en 2018 constitue une réponse des autorités face aux enjeux de la protection des données : développement du commerce en ligne ; usage accru du numérique ; évolutions technologiques et réglementaires ; mondialisation des échanges commerciaux ; mais aussi scandales récents de fuites de données personnelles.</w:t>
      </w:r>
    </w:p>
    <w:p w14:paraId="568BBB99" w14:textId="77777777" w:rsidR="002D1920" w:rsidRPr="009D4CD4" w:rsidRDefault="002D1920" w:rsidP="002D1920">
      <w:pPr>
        <w:spacing w:after="0" w:line="240" w:lineRule="auto"/>
        <w:jc w:val="left"/>
        <w:rPr>
          <w:shd w:val="clear" w:color="auto" w:fill="FFFFFF"/>
        </w:rPr>
      </w:pPr>
      <w:r w:rsidRPr="009D4CD4">
        <w:rPr>
          <w:shd w:val="clear" w:color="auto" w:fill="FFFFFF"/>
        </w:rPr>
        <w:t>Le RGPD s’applique à toutes entreprises et organismes publics ou privés, de toutes tailles et de tous secteurs d’activité, hébergeant ou enregistrant des données de résidents européens au sein de l’UE où à l'extérieur.  Le règlement renforce et complète les droits existants des personnes physiques sur leurs données personnelles : droit d’information, d’accès, de rectification, d’opposition, à l’effacement, à la limitation et à la portabilité.</w:t>
      </w:r>
    </w:p>
    <w:p w14:paraId="49A8CA34" w14:textId="77777777" w:rsidR="002D1920" w:rsidRPr="009D4CD4" w:rsidRDefault="002D1920" w:rsidP="002D1920">
      <w:pPr>
        <w:spacing w:after="0" w:line="240" w:lineRule="auto"/>
        <w:jc w:val="left"/>
      </w:pPr>
    </w:p>
    <w:p w14:paraId="6B61FCC3" w14:textId="285AD7E9" w:rsidR="002D1920" w:rsidRPr="009D4CD4" w:rsidRDefault="002D1920" w:rsidP="002D1920">
      <w:pPr>
        <w:spacing w:after="0" w:line="240" w:lineRule="auto"/>
        <w:jc w:val="left"/>
      </w:pPr>
      <w:r w:rsidRPr="009D4CD4">
        <w:rPr>
          <w:shd w:val="clear" w:color="auto" w:fill="FFFFFF"/>
        </w:rPr>
        <w:t xml:space="preserve">L’application de la nouvelle réglementation a conduit les équipes de la </w:t>
      </w:r>
      <w:r w:rsidR="00A7717F">
        <w:rPr>
          <w:shd w:val="clear" w:color="auto" w:fill="FFFFFF"/>
        </w:rPr>
        <w:t>Caisse Régionale</w:t>
      </w:r>
      <w:r w:rsidRPr="009D4CD4">
        <w:rPr>
          <w:shd w:val="clear" w:color="auto" w:fill="FFFFFF"/>
        </w:rPr>
        <w:t xml:space="preserve"> à se mobiliser pour : </w:t>
      </w:r>
    </w:p>
    <w:p w14:paraId="292AB6CF" w14:textId="77777777" w:rsidR="002D1920" w:rsidRPr="009D4CD4" w:rsidRDefault="002D1920" w:rsidP="002D1920">
      <w:pPr>
        <w:spacing w:after="0" w:line="240" w:lineRule="auto"/>
      </w:pPr>
      <w:r w:rsidRPr="009D4CD4">
        <w:rPr>
          <w:shd w:val="clear" w:color="auto" w:fill="FFFFFF"/>
        </w:rPr>
        <w:t>&gt; Désigner un Délégué à la Protection des Données (DPO) dont la mission principale est de veiller à la bonne application du droit régissant la protection des données à caractère personnel,</w:t>
      </w:r>
    </w:p>
    <w:p w14:paraId="66B3E150" w14:textId="77777777" w:rsidR="002D1920" w:rsidRPr="009D4CD4" w:rsidRDefault="002D1920" w:rsidP="002D1920">
      <w:pPr>
        <w:spacing w:after="0" w:line="240" w:lineRule="auto"/>
      </w:pPr>
      <w:r w:rsidRPr="009D4CD4">
        <w:rPr>
          <w:shd w:val="clear" w:color="auto" w:fill="FFFFFF"/>
        </w:rPr>
        <w:t>&gt; Intégrer l’avis du DPO dans le processus de validation des nouveaux produits et nouvelles activités,</w:t>
      </w:r>
    </w:p>
    <w:p w14:paraId="1DD7AA28" w14:textId="14011C5A" w:rsidR="002D1920" w:rsidRPr="009D4CD4" w:rsidRDefault="002D1920" w:rsidP="002D1920">
      <w:pPr>
        <w:spacing w:after="0" w:line="240" w:lineRule="auto"/>
      </w:pPr>
      <w:r w:rsidRPr="009D4CD4">
        <w:rPr>
          <w:shd w:val="clear" w:color="auto" w:fill="FFFFFF"/>
        </w:rPr>
        <w:t xml:space="preserve">&gt; Former et informer les collaborateurs de la </w:t>
      </w:r>
      <w:r w:rsidR="00A7717F">
        <w:rPr>
          <w:shd w:val="clear" w:color="auto" w:fill="FFFFFF"/>
        </w:rPr>
        <w:t>Caisse Régionale</w:t>
      </w:r>
      <w:r w:rsidRPr="009D4CD4">
        <w:rPr>
          <w:shd w:val="clear" w:color="auto" w:fill="FFFFFF"/>
        </w:rPr>
        <w:t xml:space="preserve"> au RGPD à l’aide de vidéos pédagogiques ou de modules de e-learning,</w:t>
      </w:r>
    </w:p>
    <w:p w14:paraId="75A7902D" w14:textId="77777777" w:rsidR="002D1920" w:rsidRPr="009D4CD4" w:rsidRDefault="002D1920" w:rsidP="002D1920">
      <w:pPr>
        <w:spacing w:after="0" w:line="240" w:lineRule="auto"/>
      </w:pPr>
      <w:r w:rsidRPr="009D4CD4">
        <w:rPr>
          <w:shd w:val="clear" w:color="auto" w:fill="FFFFFF"/>
        </w:rPr>
        <w:t>&gt; Mettre en place les procédures relatives à l’exercice des droits des personnes et en informer les clients, qui bénéficient d’une adresse dédiée (dpo@ca-nmp.fr),</w:t>
      </w:r>
    </w:p>
    <w:p w14:paraId="385311C6" w14:textId="755C503D" w:rsidR="002D1920" w:rsidRPr="009D4CD4" w:rsidRDefault="002D1920" w:rsidP="002D1920">
      <w:pPr>
        <w:spacing w:after="0" w:line="240" w:lineRule="auto"/>
      </w:pPr>
      <w:r w:rsidRPr="009D4CD4">
        <w:rPr>
          <w:shd w:val="clear" w:color="auto" w:fill="FFFFFF"/>
        </w:rPr>
        <w:t xml:space="preserve">&gt; Mettre à jour le registre des traitements privatifs de la </w:t>
      </w:r>
      <w:r w:rsidR="00A7717F">
        <w:rPr>
          <w:shd w:val="clear" w:color="auto" w:fill="FFFFFF"/>
        </w:rPr>
        <w:t>Caisse Régionale</w:t>
      </w:r>
      <w:r w:rsidRPr="009D4CD4">
        <w:rPr>
          <w:shd w:val="clear" w:color="auto" w:fill="FFFFFF"/>
        </w:rPr>
        <w:t xml:space="preserve"> en complément du registre national des traitements fournis par le Groupe Crédit Agricole,</w:t>
      </w:r>
    </w:p>
    <w:p w14:paraId="65DDA37B" w14:textId="77777777" w:rsidR="002D1920" w:rsidRPr="009D4CD4" w:rsidRDefault="002D1920" w:rsidP="002D1920">
      <w:pPr>
        <w:spacing w:after="0" w:line="240" w:lineRule="auto"/>
      </w:pPr>
      <w:r w:rsidRPr="009D4CD4">
        <w:rPr>
          <w:shd w:val="clear" w:color="auto" w:fill="FFFFFF"/>
        </w:rPr>
        <w:t>&gt; Poursuivre les analyses d’impacts sur la vie privée pour les traitements les plus sensibles,</w:t>
      </w:r>
    </w:p>
    <w:p w14:paraId="02D59BA0" w14:textId="7FB1B4C9" w:rsidR="002D1920" w:rsidRPr="009D4CD4" w:rsidRDefault="002D1920" w:rsidP="002D1920">
      <w:pPr>
        <w:spacing w:after="0" w:line="240" w:lineRule="auto"/>
        <w:rPr>
          <w:shd w:val="clear" w:color="auto" w:fill="FFFFFF"/>
        </w:rPr>
      </w:pPr>
      <w:r w:rsidRPr="009D4CD4">
        <w:rPr>
          <w:shd w:val="clear" w:color="auto" w:fill="FFFFFF"/>
        </w:rPr>
        <w:t xml:space="preserve">&gt; Mettre en conformité des contrats avec les sous-traitants ou fournisseurs de la </w:t>
      </w:r>
      <w:r w:rsidR="00A7717F">
        <w:rPr>
          <w:shd w:val="clear" w:color="auto" w:fill="FFFFFF"/>
        </w:rPr>
        <w:t>Caisse Régionale</w:t>
      </w:r>
      <w:r w:rsidRPr="009D4CD4">
        <w:rPr>
          <w:shd w:val="clear" w:color="auto" w:fill="FFFFFF"/>
        </w:rPr>
        <w:t>.</w:t>
      </w:r>
    </w:p>
    <w:p w14:paraId="57BFF8DA" w14:textId="77777777" w:rsidR="002D1920" w:rsidRPr="009D4CD4" w:rsidRDefault="002D1920" w:rsidP="002D1920">
      <w:pPr>
        <w:spacing w:after="0" w:line="240" w:lineRule="auto"/>
        <w:jc w:val="left"/>
        <w:rPr>
          <w:rFonts w:eastAsiaTheme="minorHAnsi"/>
        </w:rPr>
      </w:pPr>
    </w:p>
    <w:p w14:paraId="7ABAB815" w14:textId="77777777" w:rsidR="002D1920" w:rsidRPr="009D4CD4" w:rsidRDefault="002D1920" w:rsidP="002D1920">
      <w:pPr>
        <w:spacing w:after="0" w:line="240" w:lineRule="auto"/>
        <w:jc w:val="left"/>
        <w:rPr>
          <w:rFonts w:eastAsiaTheme="minorHAnsi"/>
        </w:rPr>
      </w:pPr>
      <w:r w:rsidRPr="009D4CD4">
        <w:rPr>
          <w:rFonts w:eastAsiaTheme="minorHAnsi"/>
        </w:rPr>
        <w:t xml:space="preserve">Les dispositifs relatifs à la sécurité des systèmes d’information sont confiés à une cellule animée par le Chief Information Security Officer (CISO). L’accès aux données des systèmes d’information est géré de façon centralisée par une entité opérationnelle dédiée à cette fonction. La politique d’accès aux données respecte le principe du « moindre privilège », reposant sur l’adéquation des habilitations aux stricts besoins, et pour les données sensibles, notamment les données clients, sur un dispositif de validation par le CISO et le Data Protection Officer (DPO), avec un contrôle opéré par la fonction de Management des Risques SI. La cellule animée par le CISO prend en charge les actions d’animation et de formation liées aux problématiques de sécurité des systèmes d’information, comme par exemple la mise en ligne dans l’intranet de vidéos de sensibilisation, la diffusion d’un passeport sécurité et de règles d’or. </w:t>
      </w:r>
    </w:p>
    <w:p w14:paraId="6834FC41" w14:textId="77777777" w:rsidR="002D1920" w:rsidRPr="009D4CD4" w:rsidRDefault="002D1920" w:rsidP="002D1920">
      <w:pPr>
        <w:spacing w:after="0" w:line="240" w:lineRule="auto"/>
        <w:jc w:val="left"/>
        <w:rPr>
          <w:rFonts w:eastAsiaTheme="minorHAnsi"/>
        </w:rPr>
      </w:pPr>
    </w:p>
    <w:p w14:paraId="53BE48EA" w14:textId="354790D1" w:rsidR="002D1920" w:rsidRPr="009D4CD4" w:rsidRDefault="002D1920" w:rsidP="002D1920">
      <w:pPr>
        <w:spacing w:after="0" w:line="240" w:lineRule="auto"/>
        <w:rPr>
          <w:rFonts w:cs="Calibri"/>
          <w:shd w:val="clear" w:color="auto" w:fill="FFFFFF"/>
        </w:rPr>
      </w:pPr>
      <w:r w:rsidRPr="009D4CD4">
        <w:rPr>
          <w:shd w:val="clear" w:color="auto" w:fill="FFFFFF"/>
        </w:rPr>
        <w:t xml:space="preserve">La </w:t>
      </w:r>
      <w:r w:rsidR="00A7717F">
        <w:rPr>
          <w:shd w:val="clear" w:color="auto" w:fill="FFFFFF"/>
        </w:rPr>
        <w:t>Caisse Régionale</w:t>
      </w:r>
      <w:r w:rsidRPr="009D4CD4">
        <w:rPr>
          <w:shd w:val="clear" w:color="auto" w:fill="FFFFFF"/>
        </w:rPr>
        <w:t xml:space="preserve"> a suivi le plan de renforcement de la sécurité informatique initié par le Groupe Crédit Agricole (programme CARS : Crédit Agricole Renfort Sécurité). En 2021 a été mis en place un plan de contrôles récurrent.</w:t>
      </w:r>
    </w:p>
    <w:p w14:paraId="1346C403" w14:textId="77777777" w:rsidR="002D1920" w:rsidRPr="009D4CD4" w:rsidRDefault="002D1920" w:rsidP="00B72A61">
      <w:pPr>
        <w:spacing w:after="0" w:line="240" w:lineRule="auto"/>
        <w:jc w:val="left"/>
        <w:rPr>
          <w:rFonts w:eastAsiaTheme="minorHAnsi"/>
        </w:rPr>
      </w:pPr>
    </w:p>
    <w:p w14:paraId="4D0A67C8" w14:textId="2ED038A8" w:rsidR="0057611E" w:rsidRPr="009D4CD4" w:rsidRDefault="00C073A8" w:rsidP="0057611E">
      <w:pPr>
        <w:spacing w:after="0" w:line="240" w:lineRule="auto"/>
        <w:jc w:val="left"/>
        <w:rPr>
          <w:color w:val="000000"/>
          <w:lang w:eastAsia="fr-FR"/>
        </w:rPr>
      </w:pPr>
      <w:r w:rsidRPr="009D4CD4">
        <w:rPr>
          <w:lang w:eastAsia="fr-FR"/>
        </w:rPr>
        <w:t>Afin de renforcer la protection et la sécurisation des données-clients, et également de répondre aux exigences RGPD règlementaires et de sécurité informatique,</w:t>
      </w:r>
      <w:r w:rsidRPr="009D4CD4">
        <w:rPr>
          <w:color w:val="000000"/>
          <w:lang w:eastAsia="fr-FR"/>
        </w:rPr>
        <w:t xml:space="preserve"> deux évolutions ont été conduites au niveau de la </w:t>
      </w:r>
      <w:r w:rsidR="00A7717F">
        <w:rPr>
          <w:color w:val="000000"/>
          <w:lang w:eastAsia="fr-FR"/>
        </w:rPr>
        <w:t>Caisse Régionale</w:t>
      </w:r>
      <w:r w:rsidRPr="009D4CD4">
        <w:rPr>
          <w:color w:val="000000"/>
          <w:lang w:eastAsia="fr-FR"/>
        </w:rPr>
        <w:t> : 1/ la mise en place</w:t>
      </w:r>
      <w:r w:rsidR="003110A5" w:rsidRPr="009D4CD4">
        <w:rPr>
          <w:color w:val="000000"/>
          <w:lang w:eastAsia="fr-FR"/>
        </w:rPr>
        <w:t xml:space="preserve"> </w:t>
      </w:r>
      <w:r w:rsidRPr="009D4CD4">
        <w:rPr>
          <w:color w:val="000000"/>
          <w:lang w:eastAsia="fr-FR"/>
        </w:rPr>
        <w:t xml:space="preserve">de la </w:t>
      </w:r>
      <w:r w:rsidRPr="009D4CD4">
        <w:rPr>
          <w:lang w:eastAsia="fr-FR"/>
        </w:rPr>
        <w:t>fonction CDO (</w:t>
      </w:r>
      <w:r w:rsidRPr="009D4CD4">
        <w:rPr>
          <w:i/>
          <w:iCs/>
          <w:lang w:eastAsia="fr-FR"/>
        </w:rPr>
        <w:t>Chief Data Officer</w:t>
      </w:r>
      <w:r w:rsidRPr="009D4CD4">
        <w:rPr>
          <w:lang w:eastAsia="fr-FR"/>
        </w:rPr>
        <w:t>)</w:t>
      </w:r>
      <w:r w:rsidRPr="009D4CD4">
        <w:rPr>
          <w:color w:val="000000"/>
          <w:lang w:eastAsia="fr-FR"/>
        </w:rPr>
        <w:t xml:space="preserve"> 2/ l’élaboration d’une politique relative aux données (politique Data).</w:t>
      </w:r>
    </w:p>
    <w:p w14:paraId="233C4AD6" w14:textId="77777777" w:rsidR="00C073A8" w:rsidRPr="009D4CD4" w:rsidRDefault="00C073A8" w:rsidP="0057611E">
      <w:pPr>
        <w:spacing w:after="0" w:line="240" w:lineRule="auto"/>
        <w:jc w:val="left"/>
        <w:rPr>
          <w:color w:val="000000"/>
          <w:lang w:eastAsia="fr-FR"/>
        </w:rPr>
      </w:pPr>
      <w:r w:rsidRPr="009D4CD4">
        <w:rPr>
          <w:color w:val="000000"/>
          <w:lang w:eastAsia="fr-FR"/>
        </w:rPr>
        <w:t>1 Les mission</w:t>
      </w:r>
      <w:r w:rsidR="003110A5" w:rsidRPr="009D4CD4">
        <w:rPr>
          <w:color w:val="000000"/>
          <w:lang w:eastAsia="fr-FR"/>
        </w:rPr>
        <w:t>s</w:t>
      </w:r>
      <w:r w:rsidRPr="009D4CD4">
        <w:rPr>
          <w:color w:val="000000"/>
          <w:lang w:eastAsia="fr-FR"/>
        </w:rPr>
        <w:t xml:space="preserve"> du CDO sont : </w:t>
      </w:r>
    </w:p>
    <w:p w14:paraId="5B0FABCA" w14:textId="7562143E" w:rsidR="00C073A8" w:rsidRPr="009D4CD4" w:rsidRDefault="00C073A8" w:rsidP="00C073A8">
      <w:pPr>
        <w:autoSpaceDE w:val="0"/>
        <w:autoSpaceDN w:val="0"/>
        <w:spacing w:after="0" w:line="240" w:lineRule="auto"/>
      </w:pPr>
      <w:r w:rsidRPr="009D4CD4">
        <w:t xml:space="preserve">&gt; être le référent des sujets liés à la donnée. A ce titre, il coordonne la vision transverse et les plans d’actions dans la </w:t>
      </w:r>
      <w:r w:rsidR="00A7717F">
        <w:t>Caisse Régionale</w:t>
      </w:r>
      <w:r w:rsidRPr="009D4CD4">
        <w:t>. Il est acteur de la montée en compétences sur les sujets Data par l’animation de réunions ad hoc et le partage des bonnes pratiques dans ce domaine.</w:t>
      </w:r>
    </w:p>
    <w:p w14:paraId="033E3921" w14:textId="4AF6A307" w:rsidR="00C073A8" w:rsidRPr="009D4CD4" w:rsidRDefault="00975D7E" w:rsidP="00C073A8">
      <w:pPr>
        <w:autoSpaceDE w:val="0"/>
        <w:autoSpaceDN w:val="0"/>
        <w:spacing w:after="0" w:line="240" w:lineRule="auto"/>
      </w:pPr>
      <w:r w:rsidRPr="009D4CD4">
        <w:t>&gt; p</w:t>
      </w:r>
      <w:r w:rsidR="00C073A8" w:rsidRPr="009D4CD4">
        <w:t xml:space="preserve">iloter la stratégie des données et des projets Gouvernance Data en fonction des priorités définies en ligne avec les orientations Groupe. </w:t>
      </w:r>
    </w:p>
    <w:p w14:paraId="05226B2D" w14:textId="0F1387C0" w:rsidR="00C073A8" w:rsidRPr="009D4CD4" w:rsidRDefault="00975D7E" w:rsidP="00C073A8">
      <w:pPr>
        <w:autoSpaceDE w:val="0"/>
        <w:autoSpaceDN w:val="0"/>
        <w:spacing w:after="0" w:line="240" w:lineRule="auto"/>
      </w:pPr>
      <w:r w:rsidRPr="009D4CD4">
        <w:t>&gt; f</w:t>
      </w:r>
      <w:r w:rsidR="00C073A8" w:rsidRPr="009D4CD4">
        <w:t xml:space="preserve">aciliter la mise en œuvre de la gouvernance relative aux données dans la </w:t>
      </w:r>
      <w:r w:rsidR="00A7717F">
        <w:t>Caisse Régionale</w:t>
      </w:r>
      <w:r w:rsidR="00C073A8" w:rsidRPr="009D4CD4">
        <w:t>.</w:t>
      </w:r>
    </w:p>
    <w:p w14:paraId="14765C11" w14:textId="6A733905" w:rsidR="00C073A8" w:rsidRPr="009D4CD4" w:rsidRDefault="00975D7E" w:rsidP="00C073A8">
      <w:pPr>
        <w:autoSpaceDE w:val="0"/>
        <w:autoSpaceDN w:val="0"/>
        <w:spacing w:after="0" w:line="240" w:lineRule="auto"/>
      </w:pPr>
      <w:r w:rsidRPr="009D4CD4">
        <w:t>&gt; p</w:t>
      </w:r>
      <w:r w:rsidR="00C073A8" w:rsidRPr="009D4CD4">
        <w:t xml:space="preserve">romouvoir l'amélioration de la qualité et faciliter l'accessibilité aux données dans la </w:t>
      </w:r>
      <w:r w:rsidR="00A7717F">
        <w:t>Caisse Régionale</w:t>
      </w:r>
      <w:r w:rsidR="00C073A8" w:rsidRPr="009D4CD4">
        <w:t>, par la déclinaison des politiques, la définition et la mise en place des outils et l’accompagnement des équipes dans l'élaboration et le déploiement de cas d'usage.</w:t>
      </w:r>
    </w:p>
    <w:p w14:paraId="6933AC0C" w14:textId="77777777" w:rsidR="007457EB" w:rsidRPr="009D4CD4" w:rsidRDefault="007457EB" w:rsidP="00C073A8">
      <w:pPr>
        <w:autoSpaceDE w:val="0"/>
        <w:autoSpaceDN w:val="0"/>
        <w:spacing w:after="0" w:line="240" w:lineRule="auto"/>
      </w:pPr>
    </w:p>
    <w:p w14:paraId="4D86F177" w14:textId="77777777" w:rsidR="00C073A8" w:rsidRPr="009D4CD4" w:rsidRDefault="00C073A8" w:rsidP="0057611E">
      <w:pPr>
        <w:spacing w:after="0" w:line="240" w:lineRule="auto"/>
        <w:jc w:val="left"/>
        <w:rPr>
          <w:color w:val="000000"/>
          <w:lang w:eastAsia="fr-FR"/>
        </w:rPr>
      </w:pPr>
      <w:r w:rsidRPr="009D4CD4">
        <w:rPr>
          <w:color w:val="000000"/>
          <w:lang w:eastAsia="fr-FR"/>
        </w:rPr>
        <w:t>2/ La politique Data</w:t>
      </w:r>
      <w:r w:rsidRPr="009D4CD4">
        <w:rPr>
          <w:lang w:eastAsia="fr-FR"/>
        </w:rPr>
        <w:t xml:space="preserve"> </w:t>
      </w:r>
      <w:r w:rsidR="003110A5" w:rsidRPr="009D4CD4">
        <w:rPr>
          <w:lang w:eastAsia="fr-FR"/>
        </w:rPr>
        <w:t xml:space="preserve">structure l’organisation du domaine (gouvernance, rôles, principes-clé, règles) et </w:t>
      </w:r>
      <w:r w:rsidRPr="009D4CD4">
        <w:rPr>
          <w:color w:val="000000"/>
          <w:lang w:eastAsia="fr-FR"/>
        </w:rPr>
        <w:t xml:space="preserve">régit </w:t>
      </w:r>
      <w:r w:rsidR="003110A5" w:rsidRPr="009D4CD4">
        <w:rPr>
          <w:color w:val="000000"/>
          <w:lang w:eastAsia="fr-FR"/>
        </w:rPr>
        <w:t xml:space="preserve">à ce titre </w:t>
      </w:r>
      <w:r w:rsidRPr="009D4CD4">
        <w:rPr>
          <w:lang w:eastAsia="fr-FR"/>
        </w:rPr>
        <w:t>les transferts de données aux</w:t>
      </w:r>
      <w:r w:rsidRPr="009D4CD4">
        <w:rPr>
          <w:color w:val="000000"/>
          <w:lang w:eastAsia="fr-FR"/>
        </w:rPr>
        <w:t xml:space="preserve"> tiers externes (notaires, avocats, prestataires, entité</w:t>
      </w:r>
      <w:r w:rsidR="003110A5" w:rsidRPr="009D4CD4">
        <w:rPr>
          <w:color w:val="000000"/>
          <w:lang w:eastAsia="fr-FR"/>
        </w:rPr>
        <w:t xml:space="preserve">s du Groupe Crédit Agricole …). </w:t>
      </w:r>
      <w:r w:rsidRPr="009D4CD4">
        <w:rPr>
          <w:color w:val="000000"/>
          <w:lang w:eastAsia="fr-FR"/>
        </w:rPr>
        <w:t xml:space="preserve"> Cette politique </w:t>
      </w:r>
      <w:r w:rsidRPr="009D4CD4">
        <w:rPr>
          <w:lang w:eastAsia="fr-FR"/>
        </w:rPr>
        <w:t>interdit par principe</w:t>
      </w:r>
      <w:r w:rsidRPr="009D4CD4">
        <w:rPr>
          <w:color w:val="000000"/>
          <w:lang w:eastAsia="fr-FR"/>
        </w:rPr>
        <w:t xml:space="preserve"> les transferts de données non soumis à un process de validation et de traçabilité</w:t>
      </w:r>
      <w:r w:rsidRPr="009D4CD4">
        <w:rPr>
          <w:lang w:eastAsia="fr-FR"/>
        </w:rPr>
        <w:t xml:space="preserve">. </w:t>
      </w:r>
    </w:p>
    <w:p w14:paraId="4CEA3151" w14:textId="1FAFEA62" w:rsidR="00C073A8" w:rsidRPr="009D4CD4" w:rsidRDefault="00574799" w:rsidP="0057611E">
      <w:pPr>
        <w:spacing w:after="0" w:line="240" w:lineRule="auto"/>
        <w:jc w:val="left"/>
        <w:rPr>
          <w:lang w:eastAsia="fr-FR"/>
        </w:rPr>
      </w:pPr>
      <w:r w:rsidRPr="009D4CD4">
        <w:rPr>
          <w:rFonts w:cs="Calibri"/>
          <w:color w:val="000000"/>
        </w:rPr>
        <w:t>Ce</w:t>
      </w:r>
      <w:r w:rsidR="00C073A8" w:rsidRPr="009D4CD4">
        <w:rPr>
          <w:rFonts w:cs="Calibri"/>
          <w:color w:val="000000"/>
        </w:rPr>
        <w:t xml:space="preserve"> process s’appuie sur un workflow </w:t>
      </w:r>
      <w:r w:rsidR="0057611E" w:rsidRPr="009D4CD4">
        <w:rPr>
          <w:rFonts w:cs="Calibri"/>
          <w:color w:val="000000"/>
        </w:rPr>
        <w:t>répondant aux</w:t>
      </w:r>
      <w:r w:rsidR="00C073A8" w:rsidRPr="009D4CD4">
        <w:rPr>
          <w:rFonts w:cs="Calibri"/>
        </w:rPr>
        <w:t xml:space="preserve"> exigences de sécurité élevées concernant la Disponibilité, l’Intégrité, la Confidentialité et la notion de </w:t>
      </w:r>
      <w:r w:rsidR="00C073A8" w:rsidRPr="009D4CD4">
        <w:rPr>
          <w:lang w:eastAsia="fr-FR"/>
        </w:rPr>
        <w:t>Preuve de la donnée échangée (DICP). Le DICP permet de mesurer le niveau de risque et d’adapter en fonction les dispositifs de sécurité.</w:t>
      </w:r>
      <w:r w:rsidR="0057611E" w:rsidRPr="009D4CD4">
        <w:rPr>
          <w:lang w:eastAsia="fr-FR"/>
        </w:rPr>
        <w:t xml:space="preserve"> </w:t>
      </w:r>
      <w:r w:rsidR="00C073A8" w:rsidRPr="009D4CD4">
        <w:rPr>
          <w:lang w:eastAsia="fr-FR"/>
        </w:rPr>
        <w:t xml:space="preserve">Le </w:t>
      </w:r>
      <w:r w:rsidR="0057611E" w:rsidRPr="009D4CD4">
        <w:rPr>
          <w:lang w:eastAsia="fr-FR"/>
        </w:rPr>
        <w:t>workflow permet</w:t>
      </w:r>
      <w:r w:rsidR="00C073A8" w:rsidRPr="009D4CD4">
        <w:rPr>
          <w:lang w:eastAsia="fr-FR"/>
        </w:rPr>
        <w:t xml:space="preserve"> au CDO de valider la conformité des transferts de données vers des tiers en recueillant les avis argumentés des différents acteurs impliqués : responsable d’unité initiateur de la demande de transfert, directeur, Ciso, Dpo. Ainsi, la </w:t>
      </w:r>
      <w:r w:rsidR="00A7717F">
        <w:rPr>
          <w:lang w:eastAsia="fr-FR"/>
        </w:rPr>
        <w:t>Caisse Régionale</w:t>
      </w:r>
      <w:r w:rsidR="00C073A8" w:rsidRPr="009D4CD4">
        <w:rPr>
          <w:lang w:eastAsia="fr-FR"/>
        </w:rPr>
        <w:t xml:space="preserve"> s’assure de la parfaite sécurité des données transférée</w:t>
      </w:r>
      <w:r w:rsidR="0057611E" w:rsidRPr="009D4CD4">
        <w:rPr>
          <w:lang w:eastAsia="fr-FR"/>
        </w:rPr>
        <w:t>s</w:t>
      </w:r>
      <w:r w:rsidR="00C073A8" w:rsidRPr="009D4CD4">
        <w:rPr>
          <w:lang w:eastAsia="fr-FR"/>
        </w:rPr>
        <w:t xml:space="preserve"> et de l’encadrement dans le temps de leur utilisation.</w:t>
      </w:r>
    </w:p>
    <w:p w14:paraId="4F72D2BB" w14:textId="77777777" w:rsidR="0001745C" w:rsidRPr="009D4CD4" w:rsidRDefault="0001745C" w:rsidP="0001745C">
      <w:pPr>
        <w:pStyle w:val="textedocumentaire0"/>
        <w:rPr>
          <w:rFonts w:ascii="Calibri" w:hAnsi="Calibri"/>
          <w:sz w:val="22"/>
          <w:szCs w:val="22"/>
          <w:shd w:val="clear" w:color="auto" w:fill="FFFFFF"/>
        </w:rPr>
      </w:pPr>
    </w:p>
    <w:tbl>
      <w:tblPr>
        <w:tblW w:w="9642" w:type="dxa"/>
        <w:tblCellMar>
          <w:left w:w="0" w:type="dxa"/>
          <w:right w:w="0" w:type="dxa"/>
        </w:tblCellMar>
        <w:tblLook w:val="04A0" w:firstRow="1" w:lastRow="0" w:firstColumn="1" w:lastColumn="0" w:noHBand="0" w:noVBand="1"/>
      </w:tblPr>
      <w:tblGrid>
        <w:gridCol w:w="6380"/>
        <w:gridCol w:w="1134"/>
        <w:gridCol w:w="1120"/>
        <w:gridCol w:w="1008"/>
      </w:tblGrid>
      <w:tr w:rsidR="00B26790" w:rsidRPr="009D4CD4" w14:paraId="6DF926C1" w14:textId="77777777" w:rsidTr="00645941">
        <w:trPr>
          <w:trHeight w:val="284"/>
        </w:trPr>
        <w:tc>
          <w:tcPr>
            <w:tcW w:w="6380" w:type="dxa"/>
            <w:tcBorders>
              <w:top w:val="nil"/>
              <w:left w:val="nil"/>
              <w:bottom w:val="single" w:sz="8" w:space="0" w:color="auto"/>
              <w:right w:val="single" w:sz="8" w:space="0" w:color="auto"/>
            </w:tcBorders>
            <w:tcMar>
              <w:top w:w="0" w:type="dxa"/>
              <w:left w:w="108" w:type="dxa"/>
              <w:bottom w:w="0" w:type="dxa"/>
              <w:right w:w="108" w:type="dxa"/>
            </w:tcMar>
            <w:hideMark/>
          </w:tcPr>
          <w:p w14:paraId="030B35C4" w14:textId="77777777" w:rsidR="00B26790" w:rsidRPr="009D4CD4" w:rsidRDefault="00B26790" w:rsidP="00B26790">
            <w:pPr>
              <w:spacing w:after="0" w:line="240" w:lineRule="auto"/>
              <w:ind w:right="140"/>
              <w:jc w:val="left"/>
              <w:rPr>
                <w:rFonts w:eastAsiaTheme="minorHAnsi"/>
              </w:rPr>
            </w:pPr>
            <w:r w:rsidRPr="009D4CD4">
              <w:rPr>
                <w:b/>
                <w:bCs/>
                <w:i/>
                <w:iCs/>
                <w:sz w:val="20"/>
                <w:szCs w:val="20"/>
              </w:rPr>
              <w:t>Les chiffres – clé</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01A4DE8" w14:textId="7089BFA7" w:rsidR="00B26790" w:rsidRPr="009D4CD4" w:rsidRDefault="00B26790" w:rsidP="00B26790">
            <w:pPr>
              <w:spacing w:after="0" w:line="240" w:lineRule="auto"/>
              <w:ind w:right="140"/>
              <w:jc w:val="left"/>
              <w:rPr>
                <w:rFonts w:eastAsiaTheme="minorHAnsi"/>
              </w:rPr>
            </w:pPr>
            <w:r w:rsidRPr="009D4CD4">
              <w:rPr>
                <w:b/>
                <w:bCs/>
                <w:sz w:val="20"/>
                <w:szCs w:val="20"/>
              </w:rPr>
              <w:t>2021</w:t>
            </w:r>
          </w:p>
        </w:tc>
        <w:tc>
          <w:tcPr>
            <w:tcW w:w="112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C2BB5D7" w14:textId="435DE58F" w:rsidR="00B26790" w:rsidRPr="009D4CD4" w:rsidRDefault="00B26790" w:rsidP="00B26790">
            <w:pPr>
              <w:spacing w:after="0" w:line="240" w:lineRule="auto"/>
              <w:ind w:right="140"/>
              <w:jc w:val="left"/>
              <w:rPr>
                <w:rFonts w:eastAsiaTheme="minorHAnsi"/>
              </w:rPr>
            </w:pPr>
            <w:r w:rsidRPr="009D4CD4">
              <w:rPr>
                <w:b/>
                <w:bCs/>
                <w:sz w:val="20"/>
                <w:szCs w:val="20"/>
              </w:rPr>
              <w:t>2020</w:t>
            </w:r>
          </w:p>
        </w:tc>
        <w:tc>
          <w:tcPr>
            <w:tcW w:w="100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3EBF3E9" w14:textId="20EC984C" w:rsidR="00B26790" w:rsidRPr="009D4CD4" w:rsidRDefault="00B26790" w:rsidP="00B26790">
            <w:pPr>
              <w:spacing w:after="0" w:line="240" w:lineRule="auto"/>
              <w:ind w:right="140"/>
              <w:jc w:val="left"/>
              <w:rPr>
                <w:rFonts w:eastAsiaTheme="minorHAnsi"/>
              </w:rPr>
            </w:pPr>
            <w:r w:rsidRPr="009D4CD4">
              <w:rPr>
                <w:b/>
                <w:bCs/>
                <w:sz w:val="20"/>
                <w:szCs w:val="20"/>
              </w:rPr>
              <w:t>2019</w:t>
            </w:r>
          </w:p>
        </w:tc>
      </w:tr>
      <w:tr w:rsidR="00B26790" w:rsidRPr="009D4CD4" w14:paraId="53A26927" w14:textId="77777777" w:rsidTr="00645941">
        <w:trPr>
          <w:trHeight w:val="284"/>
        </w:trPr>
        <w:tc>
          <w:tcPr>
            <w:tcW w:w="638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50B6A6" w14:textId="77777777" w:rsidR="00B26790" w:rsidRPr="009D4CD4" w:rsidRDefault="00B26790" w:rsidP="00B26790">
            <w:pPr>
              <w:spacing w:after="0" w:line="240" w:lineRule="auto"/>
              <w:ind w:right="140"/>
              <w:jc w:val="left"/>
              <w:rPr>
                <w:rFonts w:eastAsiaTheme="minorHAnsi"/>
              </w:rPr>
            </w:pPr>
            <w:r w:rsidRPr="009D4CD4">
              <w:rPr>
                <w:rFonts w:eastAsiaTheme="minorHAnsi" w:cs="Arial"/>
                <w:lang w:eastAsia="fr-FR"/>
              </w:rPr>
              <w:t>Nombre de demandes de transfert de données à des tiers externes</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557BAD95" w14:textId="4035054D" w:rsidR="00B26790" w:rsidRPr="009D4CD4" w:rsidRDefault="007B1662" w:rsidP="00B26790">
            <w:pPr>
              <w:spacing w:after="0" w:line="240" w:lineRule="auto"/>
              <w:ind w:right="140"/>
              <w:jc w:val="left"/>
              <w:rPr>
                <w:rFonts w:eastAsiaTheme="minorHAnsi" w:cs="Arial"/>
                <w:lang w:eastAsia="fr-FR"/>
              </w:rPr>
            </w:pPr>
            <w:r w:rsidRPr="009D4CD4">
              <w:rPr>
                <w:rFonts w:eastAsiaTheme="minorHAnsi" w:cs="Arial"/>
                <w:lang w:eastAsia="fr-FR"/>
              </w:rPr>
              <w:t>79</w:t>
            </w:r>
          </w:p>
        </w:tc>
        <w:tc>
          <w:tcPr>
            <w:tcW w:w="1120" w:type="dxa"/>
            <w:tcBorders>
              <w:top w:val="nil"/>
              <w:left w:val="nil"/>
              <w:bottom w:val="single" w:sz="8" w:space="0" w:color="auto"/>
              <w:right w:val="single" w:sz="8" w:space="0" w:color="auto"/>
            </w:tcBorders>
            <w:tcMar>
              <w:top w:w="0" w:type="dxa"/>
              <w:left w:w="108" w:type="dxa"/>
              <w:bottom w:w="0" w:type="dxa"/>
              <w:right w:w="108" w:type="dxa"/>
            </w:tcMar>
            <w:hideMark/>
          </w:tcPr>
          <w:p w14:paraId="04BF1E93" w14:textId="74AE8B3B" w:rsidR="00B26790" w:rsidRPr="009D4CD4" w:rsidRDefault="00B26790" w:rsidP="00B26790">
            <w:pPr>
              <w:spacing w:after="0" w:line="240" w:lineRule="auto"/>
              <w:ind w:right="140"/>
              <w:jc w:val="left"/>
              <w:rPr>
                <w:rFonts w:eastAsiaTheme="minorHAnsi" w:cs="Arial"/>
                <w:lang w:eastAsia="fr-FR"/>
              </w:rPr>
            </w:pPr>
            <w:r w:rsidRPr="009D4CD4">
              <w:rPr>
                <w:rFonts w:eastAsiaTheme="minorHAnsi" w:cs="Arial"/>
                <w:lang w:eastAsia="fr-FR"/>
              </w:rPr>
              <w:t>45</w:t>
            </w:r>
          </w:p>
        </w:tc>
        <w:tc>
          <w:tcPr>
            <w:tcW w:w="1008" w:type="dxa"/>
            <w:tcBorders>
              <w:top w:val="nil"/>
              <w:left w:val="nil"/>
              <w:bottom w:val="single" w:sz="8" w:space="0" w:color="auto"/>
              <w:right w:val="single" w:sz="8" w:space="0" w:color="auto"/>
            </w:tcBorders>
            <w:tcMar>
              <w:top w:w="0" w:type="dxa"/>
              <w:left w:w="108" w:type="dxa"/>
              <w:bottom w:w="0" w:type="dxa"/>
              <w:right w:w="108" w:type="dxa"/>
            </w:tcMar>
            <w:hideMark/>
          </w:tcPr>
          <w:p w14:paraId="3304A107" w14:textId="5BA61F9F" w:rsidR="00B26790" w:rsidRPr="009D4CD4" w:rsidRDefault="00B26790" w:rsidP="00B26790">
            <w:pPr>
              <w:spacing w:after="0" w:line="240" w:lineRule="auto"/>
              <w:ind w:right="140"/>
              <w:jc w:val="left"/>
              <w:rPr>
                <w:rFonts w:eastAsiaTheme="minorHAnsi" w:cs="Arial"/>
                <w:lang w:eastAsia="fr-FR"/>
              </w:rPr>
            </w:pPr>
            <w:r w:rsidRPr="009D4CD4">
              <w:rPr>
                <w:rFonts w:eastAsiaTheme="minorHAnsi" w:cs="Arial"/>
                <w:lang w:eastAsia="fr-FR"/>
              </w:rPr>
              <w:t>ND</w:t>
            </w:r>
          </w:p>
        </w:tc>
      </w:tr>
    </w:tbl>
    <w:p w14:paraId="18FA77E7" w14:textId="77777777" w:rsidR="00B26790" w:rsidRPr="009D4CD4" w:rsidRDefault="00B26790" w:rsidP="00B26790">
      <w:pPr>
        <w:pStyle w:val="textedocumentaire0"/>
        <w:rPr>
          <w:rFonts w:ascii="Calibri" w:hAnsi="Calibri"/>
          <w:color w:val="FF0000"/>
          <w:sz w:val="22"/>
          <w:szCs w:val="22"/>
        </w:rPr>
      </w:pPr>
    </w:p>
    <w:p w14:paraId="58F98196" w14:textId="7162A52F" w:rsidR="00D7714F" w:rsidRPr="009D4CD4" w:rsidRDefault="00976C5B" w:rsidP="00B72A61">
      <w:pPr>
        <w:pStyle w:val="textedocumentaire0"/>
        <w:rPr>
          <w:rFonts w:ascii="Calibri" w:hAnsi="Calibri"/>
          <w:sz w:val="22"/>
          <w:szCs w:val="22"/>
        </w:rPr>
      </w:pPr>
      <w:r w:rsidRPr="009D4CD4">
        <w:rPr>
          <w:rFonts w:ascii="Calibri" w:hAnsi="Calibri"/>
          <w:sz w:val="22"/>
          <w:szCs w:val="22"/>
        </w:rPr>
        <w:t>En 2021</w:t>
      </w:r>
      <w:r w:rsidR="00574799" w:rsidRPr="009D4CD4">
        <w:rPr>
          <w:rFonts w:ascii="Calibri" w:hAnsi="Calibri"/>
          <w:sz w:val="22"/>
          <w:szCs w:val="22"/>
        </w:rPr>
        <w:t xml:space="preserve">, un dispositif de </w:t>
      </w:r>
      <w:r w:rsidR="00F80644">
        <w:rPr>
          <w:rFonts w:ascii="Calibri" w:hAnsi="Calibri"/>
          <w:sz w:val="22"/>
          <w:szCs w:val="22"/>
        </w:rPr>
        <w:t>sensibilisation à</w:t>
      </w:r>
      <w:r w:rsidRPr="009D4CD4">
        <w:rPr>
          <w:rFonts w:ascii="Calibri" w:hAnsi="Calibri"/>
          <w:sz w:val="22"/>
          <w:szCs w:val="22"/>
        </w:rPr>
        <w:t xml:space="preserve"> la fuite de données et </w:t>
      </w:r>
      <w:r w:rsidR="007B1662" w:rsidRPr="009D4CD4">
        <w:rPr>
          <w:rFonts w:ascii="Calibri" w:hAnsi="Calibri"/>
          <w:sz w:val="22"/>
          <w:szCs w:val="22"/>
        </w:rPr>
        <w:t xml:space="preserve">à </w:t>
      </w:r>
      <w:r w:rsidR="00574799" w:rsidRPr="009D4CD4">
        <w:rPr>
          <w:rFonts w:ascii="Calibri" w:hAnsi="Calibri"/>
          <w:sz w:val="22"/>
          <w:szCs w:val="22"/>
        </w:rPr>
        <w:t>l</w:t>
      </w:r>
      <w:r w:rsidR="00D7714F" w:rsidRPr="009D4CD4">
        <w:rPr>
          <w:rFonts w:ascii="Calibri" w:hAnsi="Calibri"/>
          <w:sz w:val="22"/>
          <w:szCs w:val="22"/>
        </w:rPr>
        <w:t>a prévention de l</w:t>
      </w:r>
      <w:r w:rsidR="00574799" w:rsidRPr="009D4CD4">
        <w:rPr>
          <w:rFonts w:ascii="Calibri" w:hAnsi="Calibri"/>
          <w:sz w:val="22"/>
          <w:szCs w:val="22"/>
        </w:rPr>
        <w:t>’</w:t>
      </w:r>
      <w:r w:rsidRPr="009D4CD4">
        <w:rPr>
          <w:rFonts w:ascii="Calibri" w:hAnsi="Calibri"/>
          <w:sz w:val="22"/>
          <w:szCs w:val="22"/>
        </w:rPr>
        <w:t>utilisation non éthique</w:t>
      </w:r>
      <w:r w:rsidR="007B1662" w:rsidRPr="009D4CD4">
        <w:rPr>
          <w:rFonts w:ascii="Calibri" w:hAnsi="Calibri"/>
          <w:sz w:val="22"/>
          <w:szCs w:val="22"/>
        </w:rPr>
        <w:t xml:space="preserve"> </w:t>
      </w:r>
      <w:r w:rsidR="00D7714F" w:rsidRPr="009D4CD4">
        <w:rPr>
          <w:rFonts w:ascii="Calibri" w:hAnsi="Calibri"/>
          <w:sz w:val="22"/>
          <w:szCs w:val="22"/>
        </w:rPr>
        <w:t xml:space="preserve">des données </w:t>
      </w:r>
      <w:r w:rsidR="007B1662" w:rsidRPr="009D4CD4">
        <w:rPr>
          <w:rFonts w:ascii="Calibri" w:hAnsi="Calibri"/>
          <w:sz w:val="22"/>
          <w:szCs w:val="22"/>
        </w:rPr>
        <w:t>a été mis en œuvre auprès des gestionnaires des outils informatiques de gestion des données, en concertation avec le responsable de la déontologie</w:t>
      </w:r>
      <w:r w:rsidR="00D7714F" w:rsidRPr="009D4CD4">
        <w:rPr>
          <w:rFonts w:ascii="Calibri" w:hAnsi="Calibri"/>
          <w:sz w:val="22"/>
          <w:szCs w:val="22"/>
        </w:rPr>
        <w:t>. L’objectif du dispositif est d’assurer un double regard avant tout développement informatique, afin de garantir la conformité des demandes de requêtage aux lois et exigences déontologiques.</w:t>
      </w:r>
    </w:p>
    <w:p w14:paraId="39B36338" w14:textId="27452401" w:rsidR="00976C5B" w:rsidRPr="009D4CD4" w:rsidRDefault="007B1662" w:rsidP="00B72A61">
      <w:pPr>
        <w:pStyle w:val="textedocumentaire0"/>
        <w:rPr>
          <w:rFonts w:ascii="Calibri" w:hAnsi="Calibri"/>
          <w:color w:val="FF0000"/>
          <w:sz w:val="22"/>
          <w:szCs w:val="22"/>
        </w:rPr>
      </w:pPr>
      <w:r w:rsidRPr="009D4CD4">
        <w:rPr>
          <w:rFonts w:ascii="Calibri" w:hAnsi="Calibri"/>
          <w:sz w:val="22"/>
          <w:szCs w:val="22"/>
        </w:rPr>
        <w:t xml:space="preserve"> </w:t>
      </w:r>
    </w:p>
    <w:p w14:paraId="55B7DC20" w14:textId="77777777" w:rsidR="000E47A9" w:rsidRPr="009D4CD4" w:rsidRDefault="00003054" w:rsidP="00B72A61">
      <w:pPr>
        <w:pStyle w:val="textedocumentaire0"/>
        <w:rPr>
          <w:rFonts w:ascii="Calibri" w:hAnsi="Calibri"/>
          <w:sz w:val="22"/>
          <w:szCs w:val="22"/>
        </w:rPr>
      </w:pPr>
      <w:r w:rsidRPr="009D4CD4">
        <w:rPr>
          <w:rFonts w:ascii="Calibri" w:hAnsi="Calibri"/>
          <w:sz w:val="22"/>
          <w:szCs w:val="22"/>
        </w:rPr>
        <w:t xml:space="preserve">Différents outils et informations sont à la disposition des clients, notamment : </w:t>
      </w:r>
    </w:p>
    <w:p w14:paraId="0984A71F" w14:textId="77777777" w:rsidR="000E47A9" w:rsidRPr="009D4CD4" w:rsidRDefault="000E47A9" w:rsidP="00B72A61">
      <w:pPr>
        <w:pStyle w:val="textedocumentaire0"/>
        <w:rPr>
          <w:rFonts w:ascii="Calibri" w:hAnsi="Calibri"/>
          <w:sz w:val="22"/>
          <w:szCs w:val="22"/>
        </w:rPr>
      </w:pPr>
    </w:p>
    <w:p w14:paraId="410C0E87" w14:textId="67BB9302" w:rsidR="000E47A9" w:rsidRPr="009D4CD4" w:rsidRDefault="000E47A9" w:rsidP="000E47A9">
      <w:pPr>
        <w:spacing w:after="0" w:line="240" w:lineRule="auto"/>
        <w:jc w:val="left"/>
      </w:pPr>
      <w:r w:rsidRPr="009D4CD4">
        <w:rPr>
          <w:shd w:val="clear" w:color="auto" w:fill="FFFFFF"/>
        </w:rPr>
        <w:t xml:space="preserve">1. </w:t>
      </w:r>
      <w:r w:rsidR="00003054" w:rsidRPr="009D4CD4">
        <w:rPr>
          <w:shd w:val="clear" w:color="auto" w:fill="FFFFFF"/>
        </w:rPr>
        <w:t xml:space="preserve">La </w:t>
      </w:r>
      <w:r w:rsidRPr="009D4CD4">
        <w:rPr>
          <w:shd w:val="clear" w:color="auto" w:fill="FFFFFF"/>
        </w:rPr>
        <w:t xml:space="preserve">Charte des Données Personnelles en ligne sur ca-nmp.fr engage la </w:t>
      </w:r>
      <w:r w:rsidR="00A7717F">
        <w:rPr>
          <w:shd w:val="clear" w:color="auto" w:fill="FFFFFF"/>
        </w:rPr>
        <w:t>Caisse Régionale</w:t>
      </w:r>
      <w:r w:rsidRPr="009D4CD4">
        <w:rPr>
          <w:shd w:val="clear" w:color="auto" w:fill="FFFFFF"/>
        </w:rPr>
        <w:t xml:space="preserve"> sur 4 points : sécurité des données ; utilité et loyauté ; éthique ; transparence ; maîtrise et contrôle par les clients. Les engagements suivants sont notamment pris :</w:t>
      </w:r>
    </w:p>
    <w:p w14:paraId="069628B7" w14:textId="77777777" w:rsidR="000E47A9" w:rsidRPr="009D4CD4" w:rsidRDefault="000E47A9" w:rsidP="000E47A9">
      <w:pPr>
        <w:spacing w:after="0" w:line="240" w:lineRule="auto"/>
        <w:jc w:val="left"/>
      </w:pPr>
      <w:r w:rsidRPr="009D4CD4">
        <w:rPr>
          <w:i/>
          <w:iCs/>
          <w:shd w:val="clear" w:color="auto" w:fill="FFFFFF"/>
        </w:rPr>
        <w:t>&gt; Nous ne vendons pas les données personnelles de nos clients,</w:t>
      </w:r>
      <w:r w:rsidRPr="009D4CD4">
        <w:rPr>
          <w:i/>
          <w:iCs/>
          <w:shd w:val="clear" w:color="auto" w:fill="FFFFFF"/>
        </w:rPr>
        <w:br/>
        <w:t>&gt; Nous utilisons les données que vous nous confiez dans votre intérêt,</w:t>
      </w:r>
    </w:p>
    <w:p w14:paraId="49A49586" w14:textId="77777777" w:rsidR="000E47A9" w:rsidRPr="009D4CD4" w:rsidRDefault="000E47A9" w:rsidP="000E47A9">
      <w:pPr>
        <w:spacing w:after="0" w:line="240" w:lineRule="auto"/>
        <w:jc w:val="left"/>
      </w:pPr>
      <w:r w:rsidRPr="009D4CD4">
        <w:rPr>
          <w:i/>
          <w:iCs/>
          <w:shd w:val="clear" w:color="auto" w:fill="FFFFFF"/>
        </w:rPr>
        <w:t>&gt; Nous sommes totalement transparents avec vous sur l’utilisation de vos données personnelles,</w:t>
      </w:r>
    </w:p>
    <w:p w14:paraId="4A09137D" w14:textId="77777777" w:rsidR="000E47A9" w:rsidRPr="009D4CD4" w:rsidRDefault="000E47A9" w:rsidP="000E47A9">
      <w:pPr>
        <w:spacing w:after="0" w:line="240" w:lineRule="auto"/>
        <w:jc w:val="left"/>
      </w:pPr>
      <w:r w:rsidRPr="009D4CD4">
        <w:rPr>
          <w:i/>
          <w:iCs/>
          <w:shd w:val="clear" w:color="auto" w:fill="FFFFFF"/>
        </w:rPr>
        <w:t>&gt; Nous vous laissons la maîtrise sur vos données et l’utilisation qui en est faite,</w:t>
      </w:r>
    </w:p>
    <w:p w14:paraId="593D8C22" w14:textId="77777777" w:rsidR="000E47A9" w:rsidRPr="009D4CD4" w:rsidRDefault="000E47A9" w:rsidP="000E47A9">
      <w:pPr>
        <w:spacing w:after="0" w:line="240" w:lineRule="auto"/>
        <w:jc w:val="left"/>
      </w:pPr>
      <w:r w:rsidRPr="009D4CD4">
        <w:rPr>
          <w:i/>
          <w:iCs/>
          <w:shd w:val="clear" w:color="auto" w:fill="FFFFFF"/>
        </w:rPr>
        <w:t>&gt; Nous donnons toujours la priorité à la sécurisation des données personnelles que vous nous confiez.</w:t>
      </w:r>
    </w:p>
    <w:p w14:paraId="2935D982" w14:textId="77777777" w:rsidR="000E47A9" w:rsidRPr="009D4CD4" w:rsidRDefault="000E47A9" w:rsidP="000E47A9">
      <w:pPr>
        <w:pStyle w:val="textedocumentaire0"/>
      </w:pPr>
    </w:p>
    <w:p w14:paraId="11E60BF3" w14:textId="77777777" w:rsidR="000E47A9" w:rsidRPr="009D4CD4" w:rsidRDefault="000E47A9" w:rsidP="000E47A9">
      <w:pPr>
        <w:pStyle w:val="textedocumentaire00"/>
      </w:pPr>
      <w:r w:rsidRPr="009D4CD4">
        <w:rPr>
          <w:rFonts w:ascii="Calibri" w:hAnsi="Calibri"/>
          <w:sz w:val="22"/>
          <w:szCs w:val="22"/>
        </w:rPr>
        <w:t xml:space="preserve">2. </w:t>
      </w:r>
      <w:r w:rsidR="00003054" w:rsidRPr="009D4CD4">
        <w:rPr>
          <w:rFonts w:ascii="Calibri" w:hAnsi="Calibri"/>
          <w:sz w:val="22"/>
          <w:szCs w:val="22"/>
        </w:rPr>
        <w:t>L</w:t>
      </w:r>
      <w:r w:rsidRPr="009D4CD4">
        <w:rPr>
          <w:rFonts w:ascii="Calibri" w:hAnsi="Calibri"/>
          <w:sz w:val="22"/>
          <w:szCs w:val="22"/>
        </w:rPr>
        <w:t>a mise à disposition d’un numéro d’appel non surtaxé disponible 24h sur 24, 7 jours sur 7, permet aux clients de signaler toute opération de virement sur leurs comptes dont ils ne sont pas à l’origine, de déclarer toute suspicion ou tentative de virements frauduleux suite à un piratage et d’être conseillé pour la mise en place des premières mesures de sécurité. Le traitement des fraudes a été dématérialisé, permettant de gagner en rapidité et sécurité dans les échanges entre les agences et les fonctions support.</w:t>
      </w:r>
    </w:p>
    <w:p w14:paraId="416513D6" w14:textId="77777777" w:rsidR="004060DC" w:rsidRPr="009D4CD4" w:rsidRDefault="004060DC" w:rsidP="004060DC">
      <w:pPr>
        <w:pStyle w:val="textedocumentaire0"/>
        <w:rPr>
          <w:rFonts w:ascii="Calibri" w:hAnsi="Calibri"/>
          <w:sz w:val="22"/>
          <w:szCs w:val="22"/>
          <w:shd w:val="clear" w:color="auto" w:fill="FFFFFF"/>
        </w:rPr>
      </w:pPr>
    </w:p>
    <w:p w14:paraId="5DB6D92C" w14:textId="31C5DA11" w:rsidR="00B276ED" w:rsidRPr="009D4CD4" w:rsidRDefault="004060DC" w:rsidP="00B276ED">
      <w:pPr>
        <w:pStyle w:val="textedocumentaire0"/>
        <w:rPr>
          <w:rFonts w:ascii="Calibri" w:hAnsi="Calibri" w:cs="Calibri"/>
          <w:sz w:val="22"/>
          <w:szCs w:val="22"/>
          <w:shd w:val="clear" w:color="auto" w:fill="FFFFFF"/>
          <w:lang w:eastAsia="en-US"/>
        </w:rPr>
      </w:pPr>
      <w:r w:rsidRPr="009D4CD4">
        <w:rPr>
          <w:rFonts w:ascii="Calibri" w:hAnsi="Calibri"/>
          <w:sz w:val="22"/>
          <w:szCs w:val="22"/>
          <w:shd w:val="clear" w:color="auto" w:fill="FFFFFF"/>
        </w:rPr>
        <w:t xml:space="preserve">3.  </w:t>
      </w:r>
      <w:r w:rsidR="002D1920" w:rsidRPr="009D4CD4">
        <w:rPr>
          <w:rFonts w:ascii="Calibri" w:hAnsi="Calibri" w:cs="Calibri"/>
          <w:sz w:val="22"/>
          <w:szCs w:val="22"/>
          <w:shd w:val="clear" w:color="auto" w:fill="FFFFFF"/>
          <w:lang w:eastAsia="en-US"/>
        </w:rPr>
        <w:t>En 2021</w:t>
      </w:r>
      <w:r w:rsidR="00B276ED" w:rsidRPr="009D4CD4">
        <w:rPr>
          <w:rFonts w:ascii="Calibri" w:hAnsi="Calibri" w:cs="Calibri"/>
          <w:sz w:val="22"/>
          <w:szCs w:val="22"/>
          <w:shd w:val="clear" w:color="auto" w:fill="FFFFFF"/>
          <w:lang w:eastAsia="en-US"/>
        </w:rPr>
        <w:t>, l’espace cybersécurité du nouveau site internet a été actualisé. Celui-ci fournit aux clients toutes les informations nécessaires pour se protéger contre les risques informatiques, comme par exemple les actions à réaliser en cas de suspicion de fraude. L’espace cybersécurité présente des chiffres relatifs à la cybercriminalité, des conseils pour les particuli</w:t>
      </w:r>
      <w:r w:rsidR="00B44E51" w:rsidRPr="009D4CD4">
        <w:rPr>
          <w:rFonts w:ascii="Calibri" w:hAnsi="Calibri" w:cs="Calibri"/>
          <w:sz w:val="22"/>
          <w:szCs w:val="22"/>
          <w:shd w:val="clear" w:color="auto" w:fill="FFFFFF"/>
          <w:lang w:eastAsia="en-US"/>
        </w:rPr>
        <w:t>ers et les professionnels, des modules de formation</w:t>
      </w:r>
      <w:r w:rsidR="00B276ED" w:rsidRPr="009D4CD4">
        <w:rPr>
          <w:rFonts w:ascii="Calibri" w:hAnsi="Calibri" w:cs="Calibri"/>
          <w:sz w:val="22"/>
          <w:szCs w:val="22"/>
          <w:shd w:val="clear" w:color="auto" w:fill="FFFFFF"/>
          <w:lang w:eastAsia="en-US"/>
        </w:rPr>
        <w:t xml:space="preserve"> de base.</w:t>
      </w:r>
    </w:p>
    <w:p w14:paraId="52374B3D" w14:textId="79501D9C" w:rsidR="00B72A61" w:rsidRPr="009D4CD4" w:rsidRDefault="00B72A61" w:rsidP="00244F61">
      <w:pPr>
        <w:pStyle w:val="Titre4"/>
      </w:pPr>
      <w:bookmarkStart w:id="22" w:name="_Toc96095068"/>
      <w:bookmarkStart w:id="23" w:name="_Toc96095246"/>
      <w:bookmarkStart w:id="24" w:name="_Toc96697967"/>
      <w:bookmarkEnd w:id="22"/>
      <w:bookmarkEnd w:id="23"/>
      <w:r w:rsidRPr="009D4CD4">
        <w:t>Le lancement de nouveaux produits et activités</w:t>
      </w:r>
      <w:bookmarkEnd w:id="24"/>
    </w:p>
    <w:p w14:paraId="0DBA35D1" w14:textId="582A346B" w:rsidR="00B72A61" w:rsidRPr="009D4CD4" w:rsidRDefault="00B72A61" w:rsidP="00B72A61">
      <w:pPr>
        <w:spacing w:after="0" w:line="240" w:lineRule="auto"/>
        <w:jc w:val="left"/>
        <w:rPr>
          <w:shd w:val="clear" w:color="auto" w:fill="FFFFFF"/>
        </w:rPr>
      </w:pPr>
      <w:r w:rsidRPr="009D4CD4">
        <w:t>A chaque lancement d’un nouveau produit, service, processus ou canal de distribution, le comité NAP (Nouvelles Activités, nouveaux Produits) en valide la conformité afin de s’assurer que les risques liés au lancement ont bien été intégrés. Les nouveaux produits sont proposés principalement par Crédit Agricole S.A., qui possède son propre comite NAP, et par les filiales du Groupe.</w:t>
      </w:r>
      <w:r w:rsidRPr="009D4CD4">
        <w:rPr>
          <w:shd w:val="clear" w:color="auto" w:fill="FFFFFF"/>
        </w:rPr>
        <w:t xml:space="preserve"> Le Groupe Crédit Agricole a mis en place un process dit « circuit court » permettant la mise en marché locale des nouveaux produits sous couvert de l’accord du Comité NAP distributeur national et sous réserve que les conditions de distribution restent inchangées.</w:t>
      </w:r>
    </w:p>
    <w:p w14:paraId="3BAF54B7" w14:textId="77777777" w:rsidR="00B72A61" w:rsidRPr="009D4CD4" w:rsidRDefault="00B72A61" w:rsidP="00B72A61">
      <w:pPr>
        <w:spacing w:after="0" w:line="240" w:lineRule="auto"/>
        <w:jc w:val="left"/>
      </w:pPr>
    </w:p>
    <w:tbl>
      <w:tblPr>
        <w:tblW w:w="9747" w:type="dxa"/>
        <w:tblCellMar>
          <w:left w:w="0" w:type="dxa"/>
          <w:right w:w="0" w:type="dxa"/>
        </w:tblCellMar>
        <w:tblLook w:val="04A0" w:firstRow="1" w:lastRow="0" w:firstColumn="1" w:lastColumn="0" w:noHBand="0" w:noVBand="1"/>
      </w:tblPr>
      <w:tblGrid>
        <w:gridCol w:w="6487"/>
        <w:gridCol w:w="1134"/>
        <w:gridCol w:w="1134"/>
        <w:gridCol w:w="992"/>
      </w:tblGrid>
      <w:tr w:rsidR="00B26790" w:rsidRPr="009D4CD4" w14:paraId="5BA1B17D" w14:textId="77777777" w:rsidTr="00523615">
        <w:trPr>
          <w:trHeight w:val="284"/>
        </w:trPr>
        <w:tc>
          <w:tcPr>
            <w:tcW w:w="6487" w:type="dxa"/>
            <w:tcBorders>
              <w:top w:val="nil"/>
              <w:left w:val="nil"/>
              <w:bottom w:val="single" w:sz="8" w:space="0" w:color="auto"/>
              <w:right w:val="single" w:sz="8" w:space="0" w:color="auto"/>
            </w:tcBorders>
            <w:tcMar>
              <w:top w:w="0" w:type="dxa"/>
              <w:left w:w="108" w:type="dxa"/>
              <w:bottom w:w="0" w:type="dxa"/>
              <w:right w:w="108" w:type="dxa"/>
            </w:tcMar>
            <w:hideMark/>
          </w:tcPr>
          <w:p w14:paraId="5051B663" w14:textId="77777777" w:rsidR="00B26790" w:rsidRPr="009D4CD4" w:rsidRDefault="00B26790" w:rsidP="00B26790">
            <w:pPr>
              <w:spacing w:after="0" w:line="240" w:lineRule="auto"/>
              <w:ind w:right="140"/>
              <w:jc w:val="left"/>
              <w:rPr>
                <w:rFonts w:eastAsiaTheme="minorHAnsi"/>
              </w:rPr>
            </w:pPr>
            <w:r w:rsidRPr="009D4CD4">
              <w:rPr>
                <w:b/>
                <w:bCs/>
                <w:i/>
                <w:iCs/>
                <w:sz w:val="20"/>
                <w:szCs w:val="20"/>
                <w:shd w:val="clear" w:color="auto" w:fill="FFFFFF"/>
              </w:rPr>
              <w:t>Les chiffres – clé</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9CEDFDC" w14:textId="6AF72D0D" w:rsidR="00B26790" w:rsidRPr="009D4CD4" w:rsidRDefault="00B26790" w:rsidP="00B26790">
            <w:pPr>
              <w:spacing w:after="0" w:line="240" w:lineRule="auto"/>
              <w:ind w:right="140"/>
              <w:jc w:val="left"/>
              <w:rPr>
                <w:rFonts w:eastAsiaTheme="minorHAnsi"/>
              </w:rPr>
            </w:pPr>
            <w:r w:rsidRPr="009D4CD4">
              <w:rPr>
                <w:b/>
                <w:bCs/>
                <w:shd w:val="clear" w:color="auto" w:fill="FFFFFF"/>
              </w:rPr>
              <w:t>2021</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06EEA57" w14:textId="148C3BE7" w:rsidR="00B26790" w:rsidRPr="009D4CD4" w:rsidRDefault="00B26790" w:rsidP="00B26790">
            <w:pPr>
              <w:spacing w:after="0" w:line="240" w:lineRule="auto"/>
              <w:ind w:right="140"/>
              <w:jc w:val="left"/>
              <w:rPr>
                <w:rFonts w:eastAsiaTheme="minorHAnsi"/>
              </w:rPr>
            </w:pPr>
            <w:r w:rsidRPr="009D4CD4">
              <w:rPr>
                <w:b/>
                <w:bCs/>
                <w:shd w:val="clear" w:color="auto" w:fill="FFFFFF"/>
              </w:rPr>
              <w:t>2020</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A20E943" w14:textId="3054D05B" w:rsidR="00B26790" w:rsidRPr="009D4CD4" w:rsidRDefault="00B26790" w:rsidP="00B26790">
            <w:pPr>
              <w:spacing w:after="0" w:line="240" w:lineRule="auto"/>
              <w:ind w:right="140"/>
              <w:jc w:val="left"/>
              <w:rPr>
                <w:rFonts w:eastAsiaTheme="minorHAnsi"/>
              </w:rPr>
            </w:pPr>
            <w:r w:rsidRPr="009D4CD4">
              <w:rPr>
                <w:b/>
                <w:bCs/>
                <w:shd w:val="clear" w:color="auto" w:fill="FFFFFF"/>
              </w:rPr>
              <w:t>2019</w:t>
            </w:r>
          </w:p>
        </w:tc>
      </w:tr>
      <w:tr w:rsidR="00B26790" w:rsidRPr="009D4CD4" w14:paraId="6B732F9F" w14:textId="77777777" w:rsidTr="00B26790">
        <w:trPr>
          <w:trHeight w:val="284"/>
        </w:trPr>
        <w:tc>
          <w:tcPr>
            <w:tcW w:w="648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22F5E1" w14:textId="77777777" w:rsidR="00B26790" w:rsidRPr="009D4CD4" w:rsidRDefault="00B26790" w:rsidP="00B26790">
            <w:pPr>
              <w:spacing w:after="0" w:line="240" w:lineRule="auto"/>
              <w:jc w:val="left"/>
              <w:rPr>
                <w:shd w:val="clear" w:color="auto" w:fill="FFFFFF"/>
              </w:rPr>
            </w:pPr>
            <w:r w:rsidRPr="009D4CD4">
              <w:rPr>
                <w:shd w:val="clear" w:color="auto" w:fill="FFFFFF"/>
              </w:rPr>
              <w:t xml:space="preserve">Réunions du comité Nouvelles Activités Nouveaux Produits (NAP) </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093FA10B" w14:textId="4C41D54A" w:rsidR="00B26790" w:rsidRPr="009D4CD4" w:rsidRDefault="008A46B0" w:rsidP="00B26790">
            <w:pPr>
              <w:autoSpaceDE w:val="0"/>
              <w:autoSpaceDN w:val="0"/>
              <w:spacing w:after="0" w:line="240" w:lineRule="auto"/>
              <w:jc w:val="left"/>
              <w:rPr>
                <w:shd w:val="clear" w:color="auto" w:fill="FFFFFF"/>
              </w:rPr>
            </w:pPr>
            <w:r w:rsidRPr="009D4CD4">
              <w:rPr>
                <w:shd w:val="clear" w:color="auto" w:fill="FFFFFF"/>
              </w:rPr>
              <w:t>20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6911D07A" w14:textId="20669BDC" w:rsidR="00B26790" w:rsidRPr="009D4CD4" w:rsidRDefault="00B26790" w:rsidP="00B26790">
            <w:pPr>
              <w:autoSpaceDE w:val="0"/>
              <w:autoSpaceDN w:val="0"/>
              <w:spacing w:after="0" w:line="240" w:lineRule="auto"/>
              <w:jc w:val="left"/>
              <w:rPr>
                <w:shd w:val="clear" w:color="auto" w:fill="FFFFFF"/>
              </w:rPr>
            </w:pPr>
            <w:r w:rsidRPr="009D4CD4">
              <w:rPr>
                <w:shd w:val="clear" w:color="auto" w:fill="FFFFFF"/>
              </w:rPr>
              <w:t>24</w:t>
            </w:r>
          </w:p>
        </w:tc>
        <w:tc>
          <w:tcPr>
            <w:tcW w:w="992" w:type="dxa"/>
            <w:tcBorders>
              <w:top w:val="nil"/>
              <w:left w:val="nil"/>
              <w:bottom w:val="single" w:sz="8" w:space="0" w:color="auto"/>
              <w:right w:val="single" w:sz="8" w:space="0" w:color="auto"/>
            </w:tcBorders>
            <w:tcMar>
              <w:top w:w="0" w:type="dxa"/>
              <w:left w:w="108" w:type="dxa"/>
              <w:bottom w:w="0" w:type="dxa"/>
              <w:right w:w="108" w:type="dxa"/>
            </w:tcMar>
            <w:hideMark/>
          </w:tcPr>
          <w:p w14:paraId="6B77BBF9" w14:textId="1C9A589C" w:rsidR="00B26790" w:rsidRPr="009D4CD4" w:rsidRDefault="00B26790" w:rsidP="00B26790">
            <w:pPr>
              <w:autoSpaceDE w:val="0"/>
              <w:autoSpaceDN w:val="0"/>
              <w:spacing w:after="0" w:line="240" w:lineRule="auto"/>
              <w:jc w:val="left"/>
              <w:rPr>
                <w:shd w:val="clear" w:color="auto" w:fill="FFFFFF"/>
              </w:rPr>
            </w:pPr>
            <w:r w:rsidRPr="009D4CD4">
              <w:rPr>
                <w:shd w:val="clear" w:color="auto" w:fill="FFFFFF"/>
              </w:rPr>
              <w:t>22</w:t>
            </w:r>
          </w:p>
        </w:tc>
      </w:tr>
      <w:tr w:rsidR="00B26790" w:rsidRPr="009D4CD4" w14:paraId="2C1D3A0F" w14:textId="77777777" w:rsidTr="00B26790">
        <w:trPr>
          <w:trHeight w:val="284"/>
        </w:trPr>
        <w:tc>
          <w:tcPr>
            <w:tcW w:w="648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F6E3D1" w14:textId="77777777" w:rsidR="00B26790" w:rsidRPr="009D4CD4" w:rsidRDefault="00B26790" w:rsidP="00B26790">
            <w:pPr>
              <w:spacing w:after="0" w:line="240" w:lineRule="auto"/>
              <w:jc w:val="left"/>
              <w:rPr>
                <w:shd w:val="clear" w:color="auto" w:fill="FFFFFF"/>
              </w:rPr>
            </w:pPr>
            <w:r w:rsidRPr="009D4CD4">
              <w:rPr>
                <w:shd w:val="clear" w:color="auto" w:fill="FFFFFF"/>
              </w:rPr>
              <w:t>Projets examinés en Comité NAP</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668EA8E8" w14:textId="05EA6F34" w:rsidR="00B26790" w:rsidRPr="009D4CD4" w:rsidRDefault="008A46B0" w:rsidP="00B26790">
            <w:pPr>
              <w:autoSpaceDE w:val="0"/>
              <w:autoSpaceDN w:val="0"/>
              <w:spacing w:after="0" w:line="240" w:lineRule="auto"/>
              <w:jc w:val="left"/>
              <w:rPr>
                <w:shd w:val="clear" w:color="auto" w:fill="FFFFFF"/>
              </w:rPr>
            </w:pPr>
            <w:r w:rsidRPr="009D4CD4">
              <w:rPr>
                <w:shd w:val="clear" w:color="auto" w:fill="FFFFFF"/>
              </w:rPr>
              <w:t>63</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09F2C046" w14:textId="664F114E" w:rsidR="00B26790" w:rsidRPr="009D4CD4" w:rsidRDefault="00B26790" w:rsidP="00B26790">
            <w:pPr>
              <w:autoSpaceDE w:val="0"/>
              <w:autoSpaceDN w:val="0"/>
              <w:spacing w:after="0" w:line="240" w:lineRule="auto"/>
              <w:jc w:val="left"/>
              <w:rPr>
                <w:shd w:val="clear" w:color="auto" w:fill="FFFFFF"/>
              </w:rPr>
            </w:pPr>
            <w:r w:rsidRPr="009D4CD4">
              <w:rPr>
                <w:shd w:val="clear" w:color="auto" w:fill="FFFFFF"/>
              </w:rPr>
              <w:t>67</w:t>
            </w:r>
          </w:p>
        </w:tc>
        <w:tc>
          <w:tcPr>
            <w:tcW w:w="992" w:type="dxa"/>
            <w:tcBorders>
              <w:top w:val="nil"/>
              <w:left w:val="nil"/>
              <w:bottom w:val="single" w:sz="8" w:space="0" w:color="auto"/>
              <w:right w:val="single" w:sz="8" w:space="0" w:color="auto"/>
            </w:tcBorders>
            <w:tcMar>
              <w:top w:w="0" w:type="dxa"/>
              <w:left w:w="108" w:type="dxa"/>
              <w:bottom w:w="0" w:type="dxa"/>
              <w:right w:w="108" w:type="dxa"/>
            </w:tcMar>
            <w:hideMark/>
          </w:tcPr>
          <w:p w14:paraId="40C6F7CD" w14:textId="7DC700BA" w:rsidR="00B26790" w:rsidRPr="009D4CD4" w:rsidRDefault="00B26790" w:rsidP="00B26790">
            <w:pPr>
              <w:autoSpaceDE w:val="0"/>
              <w:autoSpaceDN w:val="0"/>
              <w:spacing w:after="0" w:line="240" w:lineRule="auto"/>
              <w:jc w:val="left"/>
              <w:rPr>
                <w:shd w:val="clear" w:color="auto" w:fill="FFFFFF"/>
              </w:rPr>
            </w:pPr>
            <w:r w:rsidRPr="009D4CD4">
              <w:rPr>
                <w:shd w:val="clear" w:color="auto" w:fill="FFFFFF"/>
              </w:rPr>
              <w:t>67</w:t>
            </w:r>
          </w:p>
        </w:tc>
      </w:tr>
    </w:tbl>
    <w:p w14:paraId="4079BA0D" w14:textId="59692D64" w:rsidR="004A6837" w:rsidRPr="009D4CD4" w:rsidRDefault="00B72A61" w:rsidP="008A46B0">
      <w:pPr>
        <w:pStyle w:val="Titre4"/>
      </w:pPr>
      <w:bookmarkStart w:id="25" w:name="_Toc96095070"/>
      <w:bookmarkStart w:id="26" w:name="_Toc96095248"/>
      <w:bookmarkStart w:id="27" w:name="_Toc96697968"/>
      <w:bookmarkEnd w:id="25"/>
      <w:bookmarkEnd w:id="26"/>
      <w:r w:rsidRPr="009D4CD4">
        <w:t>La lutte contre l’évasion fiscale</w:t>
      </w:r>
      <w:bookmarkEnd w:id="27"/>
    </w:p>
    <w:p w14:paraId="18E3672E" w14:textId="10E8C989" w:rsidR="00B72A61" w:rsidRPr="009D4CD4" w:rsidRDefault="00B72A61" w:rsidP="00B72A61">
      <w:pPr>
        <w:spacing w:after="0" w:line="240" w:lineRule="auto"/>
        <w:rPr>
          <w:rFonts w:eastAsia="Times New Roman"/>
          <w:lang w:eastAsia="fr-FR"/>
        </w:rPr>
      </w:pPr>
      <w:r w:rsidRPr="009D4CD4">
        <w:rPr>
          <w:rFonts w:eastAsia="Times New Roman"/>
          <w:lang w:eastAsia="fr-FR"/>
        </w:rPr>
        <w:t xml:space="preserve">La </w:t>
      </w:r>
      <w:r w:rsidR="00A7717F">
        <w:rPr>
          <w:rFonts w:eastAsia="Times New Roman"/>
          <w:lang w:eastAsia="fr-FR"/>
        </w:rPr>
        <w:t>Caisse Régionale</w:t>
      </w:r>
      <w:r w:rsidRPr="009D4CD4">
        <w:rPr>
          <w:rFonts w:eastAsia="Times New Roman"/>
          <w:lang w:eastAsia="fr-FR"/>
        </w:rPr>
        <w:t xml:space="preserve"> se conforme au dispositif fiscal FATCA visant à renforcer la lutte contre l’évasion fiscal</w:t>
      </w:r>
      <w:r w:rsidR="003E346E">
        <w:rPr>
          <w:rFonts w:eastAsia="Times New Roman"/>
          <w:lang w:eastAsia="fr-FR"/>
        </w:rPr>
        <w:t xml:space="preserve">e des contribuables américains, ainsi </w:t>
      </w:r>
      <w:r w:rsidR="003E346E">
        <w:t>qu’à</w:t>
      </w:r>
      <w:r w:rsidR="003E346E" w:rsidRPr="008E7D42">
        <w:t xml:space="preserve"> la directive DAC 6 (déclaration aux autorités fiscales </w:t>
      </w:r>
      <w:r w:rsidR="003E346E">
        <w:t>des</w:t>
      </w:r>
      <w:r w:rsidR="003E346E" w:rsidRPr="008E7D42">
        <w:t xml:space="preserve"> transactions internationales présentant un caractère potentiellement agressif sur le plan fiscal)</w:t>
      </w:r>
      <w:r w:rsidR="003E346E">
        <w:t>.</w:t>
      </w:r>
    </w:p>
    <w:p w14:paraId="66FA1D1C" w14:textId="77777777" w:rsidR="00B72A61" w:rsidRPr="009D4CD4" w:rsidRDefault="00B72A61" w:rsidP="00975D7E">
      <w:pPr>
        <w:spacing w:after="0" w:line="240" w:lineRule="auto"/>
        <w:jc w:val="left"/>
        <w:rPr>
          <w:rFonts w:eastAsia="Times New Roman"/>
          <w:lang w:eastAsia="fr-FR"/>
        </w:rPr>
      </w:pPr>
      <w:r w:rsidRPr="009D4CD4">
        <w:rPr>
          <w:rFonts w:eastAsia="Times New Roman"/>
          <w:lang w:eastAsia="fr-FR"/>
        </w:rPr>
        <w:t>Un compte est considéré comme un compte américain si il est détenu par une personne physique qualifiée de personne américaine spécifiée (citoyen américain ou résident des Etats-Unis à des fins fiscales) ; une entité qualifiée de personne américaine spécifiée (entité américaine autre que celles exemptées : sociétés cotées ou filiales de sociétés cotées, banques…) ; une entité non-financière dite passive (NFFE Passive) avec des personnes contrôlantes qualifiées de personnes américaines spécifiées (citoyen américain ou résident des Etats-Unis à des fins fiscales).  Le dispositif FATCA oblige les institutions financières non-américaines à identifier et communiquer des informations concernant leurs titulaires de comptes américains.</w:t>
      </w:r>
    </w:p>
    <w:p w14:paraId="243BAD5D" w14:textId="77777777" w:rsidR="00B72A61" w:rsidRPr="009D4CD4" w:rsidRDefault="00B72A61" w:rsidP="00975D7E">
      <w:pPr>
        <w:spacing w:after="0" w:line="240" w:lineRule="auto"/>
        <w:jc w:val="left"/>
        <w:rPr>
          <w:rFonts w:eastAsia="Times New Roman"/>
          <w:lang w:eastAsia="fr-FR"/>
        </w:rPr>
      </w:pPr>
    </w:p>
    <w:p w14:paraId="20769BBC" w14:textId="3B228B2D" w:rsidR="00B72A61" w:rsidRPr="009D4CD4" w:rsidRDefault="00B72A61" w:rsidP="00975D7E">
      <w:pPr>
        <w:spacing w:after="0" w:line="240" w:lineRule="auto"/>
        <w:jc w:val="left"/>
        <w:rPr>
          <w:rFonts w:eastAsia="Times New Roman"/>
          <w:lang w:eastAsia="fr-FR"/>
        </w:rPr>
      </w:pPr>
      <w:r w:rsidRPr="009D4CD4">
        <w:rPr>
          <w:rFonts w:eastAsia="Times New Roman"/>
          <w:lang w:eastAsia="fr-FR"/>
        </w:rPr>
        <w:t xml:space="preserve">Par ailleurs, la </w:t>
      </w:r>
      <w:r w:rsidR="00A7717F">
        <w:rPr>
          <w:rFonts w:eastAsia="Times New Roman"/>
          <w:lang w:eastAsia="fr-FR"/>
        </w:rPr>
        <w:t>Caisse Régionale</w:t>
      </w:r>
      <w:r w:rsidRPr="009D4CD4">
        <w:rPr>
          <w:rFonts w:eastAsia="Times New Roman"/>
          <w:lang w:eastAsia="fr-FR"/>
        </w:rPr>
        <w:t xml:space="preserve"> se conforme à la réglementation relative à l’Echange Automatique d’Informations (EAI) visant à lutter contre l’évasion fiscale des titulaires de comptes résidents de pays ayant signé les accords OCDE sur l’EAI et s’étant engagés à les mettre en œuvre via des accords bilatéraux avec chacun des pays signataires. Les institutions financières domiciliées dans un pays signataire des accords ODCE sur l’EAI ont l’obligation d’identifier les titulaires de comptes résidents fiscaux dans les autres pays signataires, et de transmettre annuellement à leur administration fiscale les informations sur ces titulaires. </w:t>
      </w:r>
    </w:p>
    <w:p w14:paraId="014131B3" w14:textId="77777777" w:rsidR="00B72A61" w:rsidRPr="009D4CD4" w:rsidRDefault="00B72A61" w:rsidP="00975D7E">
      <w:pPr>
        <w:spacing w:after="0" w:line="240" w:lineRule="auto"/>
        <w:jc w:val="left"/>
        <w:rPr>
          <w:rFonts w:eastAsia="Times New Roman"/>
          <w:lang w:eastAsia="fr-FR"/>
        </w:rPr>
      </w:pPr>
      <w:r w:rsidRPr="009D4CD4">
        <w:rPr>
          <w:rFonts w:eastAsia="Times New Roman"/>
          <w:lang w:eastAsia="fr-FR"/>
        </w:rPr>
        <w:t xml:space="preserve">Lors de l’entrée en relation avec un client, le conseiller collecte l’auto-certification de résidence fiscale et le numéro </w:t>
      </w:r>
      <w:r w:rsidR="00B92C27" w:rsidRPr="009D4CD4">
        <w:rPr>
          <w:rFonts w:eastAsia="Times New Roman"/>
          <w:lang w:eastAsia="fr-FR"/>
        </w:rPr>
        <w:t xml:space="preserve">d’identification fiscal (NIF), </w:t>
      </w:r>
      <w:r w:rsidRPr="009D4CD4">
        <w:rPr>
          <w:rFonts w:eastAsia="Times New Roman"/>
          <w:lang w:eastAsia="fr-FR"/>
        </w:rPr>
        <w:t xml:space="preserve">et vérifie la vraisemblance de cette auto-certification par rapport à d’autres informations contenues dans le dossier du client. </w:t>
      </w:r>
    </w:p>
    <w:p w14:paraId="3D1C4E8F" w14:textId="5BAE2870" w:rsidR="00B72A61" w:rsidRPr="009D4CD4" w:rsidRDefault="00B72A61" w:rsidP="00975D7E">
      <w:pPr>
        <w:spacing w:after="0" w:line="240" w:lineRule="auto"/>
        <w:jc w:val="left"/>
        <w:rPr>
          <w:rFonts w:eastAsia="Times New Roman"/>
          <w:lang w:eastAsia="fr-FR"/>
        </w:rPr>
      </w:pPr>
      <w:r w:rsidRPr="009D4CD4">
        <w:rPr>
          <w:rFonts w:eastAsia="Times New Roman"/>
          <w:lang w:eastAsia="fr-FR"/>
        </w:rPr>
        <w:t xml:space="preserve">Dans le cadre de la relation avec le client, le conseiller suit les changements de circonstance i.e. tout changement de résidence fiscale, d’activité (financière, non financière) qui impactent son statut au regard de la règlementation EAI. Les clients ne fournissant pas l’auto certification ni la NIF, doivent être déclarés à l’administration fiscale </w:t>
      </w:r>
      <w:r w:rsidR="00F80644">
        <w:rPr>
          <w:rFonts w:eastAsia="Times New Roman"/>
          <w:lang w:eastAsia="fr-FR"/>
        </w:rPr>
        <w:t>.</w:t>
      </w:r>
    </w:p>
    <w:p w14:paraId="01FE9613" w14:textId="77777777" w:rsidR="00B72A61" w:rsidRPr="009D4CD4" w:rsidRDefault="00B72A61" w:rsidP="00B72A61">
      <w:pPr>
        <w:spacing w:after="0" w:line="240" w:lineRule="auto"/>
        <w:rPr>
          <w:rFonts w:eastAsia="Times New Roman"/>
          <w:lang w:eastAsia="fr-FR"/>
        </w:rPr>
      </w:pPr>
    </w:p>
    <w:p w14:paraId="1ED018D7" w14:textId="35A879B5" w:rsidR="00B72A61" w:rsidRPr="009D4CD4" w:rsidRDefault="00B72A61" w:rsidP="00B72A61">
      <w:pPr>
        <w:spacing w:after="0" w:line="240" w:lineRule="auto"/>
        <w:rPr>
          <w:rFonts w:eastAsia="Times New Roman"/>
          <w:lang w:eastAsia="fr-FR"/>
        </w:rPr>
      </w:pPr>
      <w:r w:rsidRPr="009D4CD4">
        <w:rPr>
          <w:rFonts w:eastAsia="Times New Roman"/>
          <w:lang w:eastAsia="fr-FR"/>
        </w:rPr>
        <w:t xml:space="preserve">Suite à la mise en place intégrale du plan de contrôles FATCA EAI, pour la </w:t>
      </w:r>
      <w:r w:rsidR="00A7717F">
        <w:rPr>
          <w:rFonts w:eastAsia="Times New Roman"/>
          <w:lang w:eastAsia="fr-FR"/>
        </w:rPr>
        <w:t>Caisse Régionale</w:t>
      </w:r>
      <w:r w:rsidRPr="009D4CD4">
        <w:rPr>
          <w:rFonts w:eastAsia="Times New Roman"/>
          <w:lang w:eastAsia="fr-FR"/>
        </w:rPr>
        <w:t>, une action a été engagée relative à l’auto-certification des clients n’ayant pas transmis leurs documents. En complément l’intégration du dispositif EAI applicable à la clientèle Banque Privée a été réalisée.</w:t>
      </w:r>
    </w:p>
    <w:p w14:paraId="3055C3F4" w14:textId="77777777" w:rsidR="007E2554" w:rsidRPr="009D4CD4" w:rsidRDefault="007E2554" w:rsidP="00B72A61">
      <w:pPr>
        <w:autoSpaceDE w:val="0"/>
        <w:autoSpaceDN w:val="0"/>
        <w:adjustRightInd w:val="0"/>
        <w:spacing w:after="0" w:line="240" w:lineRule="auto"/>
        <w:jc w:val="left"/>
        <w:rPr>
          <w:rFonts w:cs="Arial"/>
        </w:rPr>
      </w:pPr>
    </w:p>
    <w:p w14:paraId="654B3BEF" w14:textId="77777777" w:rsidR="000E6BC1" w:rsidRPr="009D4CD4" w:rsidRDefault="000E6BC1" w:rsidP="00B72A61">
      <w:pPr>
        <w:autoSpaceDE w:val="0"/>
        <w:autoSpaceDN w:val="0"/>
        <w:adjustRightInd w:val="0"/>
        <w:spacing w:after="0" w:line="240" w:lineRule="auto"/>
        <w:jc w:val="left"/>
        <w:rPr>
          <w:rFonts w:cs="Arial"/>
        </w:rPr>
      </w:pPr>
    </w:p>
    <w:p w14:paraId="6A2EC296" w14:textId="087CE97F" w:rsidR="00477C7C" w:rsidRPr="009D4CD4" w:rsidRDefault="00477C7C" w:rsidP="00477C7C">
      <w:pPr>
        <w:numPr>
          <w:ilvl w:val="0"/>
          <w:numId w:val="4"/>
        </w:numPr>
        <w:spacing w:after="0" w:line="240" w:lineRule="auto"/>
        <w:jc w:val="left"/>
        <w:rPr>
          <w:rFonts w:cs="Arial"/>
        </w:rPr>
      </w:pPr>
      <w:r w:rsidRPr="009D4CD4">
        <w:rPr>
          <w:rFonts w:cs="Arial"/>
        </w:rPr>
        <w:t>Les filiales Edokial et Inforsud Technologie</w:t>
      </w:r>
      <w:r w:rsidR="00F80644">
        <w:rPr>
          <w:rFonts w:cs="Arial"/>
        </w:rPr>
        <w:t>s</w:t>
      </w:r>
    </w:p>
    <w:p w14:paraId="2B8756EE" w14:textId="615A98AD" w:rsidR="003B6D4D" w:rsidRPr="009D4CD4" w:rsidRDefault="003B6D4D" w:rsidP="00846B0B">
      <w:pPr>
        <w:spacing w:after="0" w:line="240" w:lineRule="auto"/>
        <w:jc w:val="left"/>
        <w:rPr>
          <w:rFonts w:cs="Arial"/>
        </w:rPr>
      </w:pPr>
    </w:p>
    <w:p w14:paraId="6BA01098" w14:textId="19360754" w:rsidR="00D9385B" w:rsidRDefault="00D9385B" w:rsidP="00846B0B">
      <w:pPr>
        <w:spacing w:after="0" w:line="240" w:lineRule="auto"/>
        <w:jc w:val="left"/>
        <w:rPr>
          <w:rFonts w:cs="Arial"/>
        </w:rPr>
      </w:pPr>
      <w:r w:rsidRPr="009D4CD4">
        <w:rPr>
          <w:rFonts w:cs="Arial"/>
        </w:rPr>
        <w:t>Edokial</w:t>
      </w:r>
    </w:p>
    <w:p w14:paraId="48C3ECAB" w14:textId="77777777" w:rsidR="00F80644" w:rsidRPr="009D4CD4" w:rsidRDefault="00F80644" w:rsidP="00846B0B">
      <w:pPr>
        <w:spacing w:after="0" w:line="240" w:lineRule="auto"/>
        <w:jc w:val="left"/>
        <w:rPr>
          <w:rFonts w:cs="Arial"/>
        </w:rPr>
      </w:pPr>
    </w:p>
    <w:p w14:paraId="144CECF9" w14:textId="00079281" w:rsidR="00D9385B" w:rsidRPr="009D4CD4" w:rsidRDefault="00D9385B" w:rsidP="00F80644">
      <w:pPr>
        <w:spacing w:after="0" w:line="240" w:lineRule="auto"/>
        <w:jc w:val="left"/>
      </w:pPr>
      <w:r w:rsidRPr="009D4CD4">
        <w:rPr>
          <w:rFonts w:cs="Arial"/>
          <w:i/>
        </w:rPr>
        <w:t>Protection des données personnelles.</w:t>
      </w:r>
      <w:r w:rsidRPr="009D4CD4">
        <w:rPr>
          <w:rFonts w:cs="Arial"/>
          <w:i/>
        </w:rPr>
        <w:br/>
      </w:r>
      <w:r w:rsidRPr="009D4CD4">
        <w:t>La démarche est de satisfaire aux exigences générales de protection des données à caractère personnel, et, plus spécialement, de se conformer à la mise en application du RGPD.</w:t>
      </w:r>
    </w:p>
    <w:p w14:paraId="662BC494" w14:textId="77777777" w:rsidR="00D9385B" w:rsidRPr="009D4CD4" w:rsidRDefault="00D9385B" w:rsidP="00D9385B">
      <w:pPr>
        <w:tabs>
          <w:tab w:val="left" w:pos="4860"/>
          <w:tab w:val="left" w:pos="6840"/>
          <w:tab w:val="right" w:pos="9000"/>
        </w:tabs>
        <w:spacing w:after="0" w:line="240" w:lineRule="auto"/>
        <w:jc w:val="left"/>
      </w:pPr>
      <w:r w:rsidRPr="009D4CD4">
        <w:t xml:space="preserve">Les recommandations de la CNIL sont suivies pour cette mise en application : </w:t>
      </w:r>
    </w:p>
    <w:p w14:paraId="38213D7B" w14:textId="77777777" w:rsidR="00D9385B" w:rsidRPr="009D4CD4" w:rsidRDefault="00D9385B" w:rsidP="00D9385B">
      <w:pPr>
        <w:pStyle w:val="Paragraphedeliste"/>
        <w:tabs>
          <w:tab w:val="left" w:pos="4860"/>
          <w:tab w:val="left" w:pos="6840"/>
          <w:tab w:val="right" w:pos="9000"/>
        </w:tabs>
        <w:ind w:left="0"/>
        <w:rPr>
          <w:rFonts w:asciiTheme="minorHAnsi" w:hAnsiTheme="minorHAnsi" w:cstheme="minorHAnsi"/>
          <w:sz w:val="22"/>
          <w:szCs w:val="22"/>
        </w:rPr>
      </w:pPr>
      <w:r w:rsidRPr="009D4CD4">
        <w:rPr>
          <w:rFonts w:asciiTheme="minorHAnsi" w:hAnsiTheme="minorHAnsi" w:cstheme="minorHAnsi"/>
          <w:sz w:val="22"/>
          <w:szCs w:val="22"/>
        </w:rPr>
        <w:t xml:space="preserve">&gt; Mise en place d’un pilote DPO qui veille au respect du RGPD et aux obligations qui en découlent </w:t>
      </w:r>
    </w:p>
    <w:p w14:paraId="6E4057BF" w14:textId="1F9BB723" w:rsidR="00D9385B" w:rsidRPr="009D4CD4" w:rsidRDefault="00D9385B" w:rsidP="00D9385B">
      <w:pPr>
        <w:pStyle w:val="Paragraphedeliste"/>
        <w:tabs>
          <w:tab w:val="left" w:pos="4860"/>
          <w:tab w:val="left" w:pos="6840"/>
          <w:tab w:val="right" w:pos="9000"/>
        </w:tabs>
        <w:ind w:left="0"/>
        <w:rPr>
          <w:rFonts w:asciiTheme="minorHAnsi" w:hAnsiTheme="minorHAnsi" w:cstheme="minorHAnsi"/>
          <w:sz w:val="22"/>
          <w:szCs w:val="22"/>
        </w:rPr>
      </w:pPr>
      <w:r w:rsidRPr="009D4CD4">
        <w:rPr>
          <w:rFonts w:asciiTheme="minorHAnsi" w:hAnsiTheme="minorHAnsi" w:cstheme="minorHAnsi"/>
          <w:sz w:val="22"/>
          <w:szCs w:val="22"/>
        </w:rPr>
        <w:t>&gt; Renforcement du recensement des traitements de données à caractère personnel, par des actions de cartographie en lien étroit avec les services et les entités qui traitent des données personnelles,</w:t>
      </w:r>
      <w:r w:rsidRPr="009D4CD4">
        <w:rPr>
          <w:rFonts w:ascii="Calibri" w:eastAsia="Calibri" w:hAnsi="Calibri"/>
          <w:sz w:val="22"/>
          <w:szCs w:val="22"/>
          <w:lang w:eastAsia="en-US"/>
        </w:rPr>
        <w:t xml:space="preserve"> à ce titre des </w:t>
      </w:r>
      <w:r w:rsidRPr="009D4CD4">
        <w:rPr>
          <w:rFonts w:ascii="Calibri" w:eastAsia="Calibri" w:hAnsi="Calibri"/>
          <w:sz w:val="22"/>
          <w:szCs w:val="22"/>
          <w:lang w:eastAsia="en-US"/>
        </w:rPr>
        <w:br/>
        <w:t xml:space="preserve">&gt; Désignation </w:t>
      </w:r>
      <w:r w:rsidRPr="00F80644">
        <w:rPr>
          <w:rFonts w:asciiTheme="minorHAnsi" w:hAnsiTheme="minorHAnsi" w:cstheme="minorHAnsi"/>
          <w:sz w:val="22"/>
          <w:szCs w:val="22"/>
        </w:rPr>
        <w:t>de correspondants SI&amp;RGPD dans chaque Direction</w:t>
      </w:r>
      <w:r w:rsidRPr="00F80644">
        <w:rPr>
          <w:rFonts w:asciiTheme="minorHAnsi" w:hAnsiTheme="minorHAnsi" w:cstheme="minorHAnsi"/>
          <w:sz w:val="22"/>
          <w:szCs w:val="22"/>
        </w:rPr>
        <w:br/>
        <w:t>&gt; Revue annuelle des registres</w:t>
      </w:r>
    </w:p>
    <w:p w14:paraId="1C9952D9" w14:textId="6793C137" w:rsidR="00D9385B" w:rsidRPr="00F80644" w:rsidRDefault="00D9385B" w:rsidP="00D9385B">
      <w:pPr>
        <w:pStyle w:val="Paragraphedeliste"/>
        <w:tabs>
          <w:tab w:val="left" w:pos="4860"/>
          <w:tab w:val="left" w:pos="6840"/>
          <w:tab w:val="right" w:pos="9000"/>
        </w:tabs>
        <w:ind w:left="0"/>
        <w:rPr>
          <w:rFonts w:asciiTheme="minorHAnsi" w:hAnsiTheme="minorHAnsi" w:cstheme="minorHAnsi"/>
          <w:sz w:val="22"/>
          <w:szCs w:val="22"/>
        </w:rPr>
      </w:pPr>
      <w:r w:rsidRPr="009D4CD4">
        <w:rPr>
          <w:rFonts w:asciiTheme="minorHAnsi" w:hAnsiTheme="minorHAnsi" w:cstheme="minorHAnsi"/>
          <w:sz w:val="22"/>
          <w:szCs w:val="22"/>
        </w:rPr>
        <w:t>&gt; Gestion des risques pour les données personnelles et mise en place d’analyses d’impact,</w:t>
      </w:r>
      <w:r w:rsidRPr="00F80644">
        <w:rPr>
          <w:rFonts w:asciiTheme="minorHAnsi" w:hAnsiTheme="minorHAnsi" w:cstheme="minorHAnsi"/>
          <w:sz w:val="22"/>
          <w:szCs w:val="22"/>
        </w:rPr>
        <w:t xml:space="preserve"> </w:t>
      </w:r>
    </w:p>
    <w:p w14:paraId="410C1D35" w14:textId="2F4C1AD6" w:rsidR="00D9385B" w:rsidRPr="00F80644" w:rsidRDefault="00D9385B" w:rsidP="00D9385B">
      <w:pPr>
        <w:pStyle w:val="Paragraphedeliste"/>
        <w:ind w:left="0"/>
        <w:rPr>
          <w:rFonts w:asciiTheme="minorHAnsi" w:hAnsiTheme="minorHAnsi" w:cstheme="minorHAnsi"/>
          <w:sz w:val="22"/>
          <w:szCs w:val="22"/>
        </w:rPr>
      </w:pPr>
      <w:r w:rsidRPr="009D4CD4">
        <w:rPr>
          <w:rFonts w:asciiTheme="minorHAnsi" w:hAnsiTheme="minorHAnsi" w:cstheme="minorHAnsi"/>
          <w:sz w:val="22"/>
          <w:szCs w:val="22"/>
        </w:rPr>
        <w:t xml:space="preserve">&gt; </w:t>
      </w:r>
      <w:r w:rsidRPr="00F80644">
        <w:rPr>
          <w:rFonts w:asciiTheme="minorHAnsi" w:hAnsiTheme="minorHAnsi" w:cstheme="minorHAnsi"/>
          <w:sz w:val="22"/>
          <w:szCs w:val="22"/>
        </w:rPr>
        <w:t>Politique de Protection des Données Personnelles PPDP validée et diffusée en 2021, associée à des procédures</w:t>
      </w:r>
      <w:r w:rsidRPr="009D4CD4">
        <w:rPr>
          <w:rFonts w:asciiTheme="minorHAnsi" w:hAnsiTheme="minorHAnsi" w:cstheme="minorHAnsi"/>
          <w:sz w:val="22"/>
          <w:szCs w:val="22"/>
        </w:rPr>
        <w:t xml:space="preserve"> pour assurer un haut niveau de protection par la sensibilisation de l’ensemble des s</w:t>
      </w:r>
      <w:r w:rsidR="00F80644">
        <w:rPr>
          <w:rFonts w:asciiTheme="minorHAnsi" w:hAnsiTheme="minorHAnsi" w:cstheme="minorHAnsi"/>
          <w:sz w:val="22"/>
          <w:szCs w:val="22"/>
        </w:rPr>
        <w:t>ervices aux enjeux du Règlement</w:t>
      </w:r>
    </w:p>
    <w:p w14:paraId="08C953F2" w14:textId="77777777" w:rsidR="00D9385B" w:rsidRPr="009D4CD4" w:rsidRDefault="00D9385B" w:rsidP="00D9385B">
      <w:pPr>
        <w:pStyle w:val="Paragraphedeliste"/>
        <w:ind w:left="0"/>
        <w:rPr>
          <w:rFonts w:asciiTheme="minorHAnsi" w:hAnsiTheme="minorHAnsi" w:cstheme="minorHAnsi"/>
          <w:sz w:val="22"/>
          <w:szCs w:val="22"/>
        </w:rPr>
      </w:pPr>
      <w:r w:rsidRPr="009D4CD4">
        <w:rPr>
          <w:rFonts w:asciiTheme="minorHAnsi" w:hAnsiTheme="minorHAnsi" w:cstheme="minorHAnsi"/>
          <w:sz w:val="22"/>
          <w:szCs w:val="22"/>
        </w:rPr>
        <w:t>&gt; Consolidation et regroupement de la documentation nécessaire pour prouver la conformité au Règlement.</w:t>
      </w:r>
    </w:p>
    <w:p w14:paraId="2EA62EA7" w14:textId="77777777" w:rsidR="00D9385B" w:rsidRPr="00F80644" w:rsidRDefault="00D9385B" w:rsidP="00D9385B">
      <w:pPr>
        <w:pStyle w:val="Paragraphedeliste"/>
        <w:ind w:left="0"/>
        <w:rPr>
          <w:rFonts w:asciiTheme="minorHAnsi" w:hAnsiTheme="minorHAnsi" w:cstheme="minorHAnsi"/>
          <w:sz w:val="22"/>
          <w:szCs w:val="22"/>
        </w:rPr>
      </w:pPr>
      <w:r w:rsidRPr="009D4CD4">
        <w:rPr>
          <w:rFonts w:asciiTheme="minorHAnsi" w:hAnsiTheme="minorHAnsi" w:cstheme="minorHAnsi"/>
          <w:sz w:val="22"/>
          <w:szCs w:val="22"/>
        </w:rPr>
        <w:t xml:space="preserve">&gt; </w:t>
      </w:r>
      <w:r w:rsidRPr="00F80644">
        <w:rPr>
          <w:rFonts w:asciiTheme="minorHAnsi" w:hAnsiTheme="minorHAnsi" w:cstheme="minorHAnsi"/>
          <w:sz w:val="22"/>
          <w:szCs w:val="22"/>
        </w:rPr>
        <w:t xml:space="preserve">Note d’information à destination des salariés pour les informer sur l’application du RGPD quant à leurs données personnelles </w:t>
      </w:r>
    </w:p>
    <w:p w14:paraId="385877F0" w14:textId="77777777" w:rsidR="00D9385B" w:rsidRPr="00F80644" w:rsidRDefault="00D9385B" w:rsidP="00D9385B">
      <w:pPr>
        <w:pStyle w:val="Paragraphedeliste"/>
        <w:ind w:left="0"/>
        <w:rPr>
          <w:rFonts w:asciiTheme="minorHAnsi" w:hAnsiTheme="minorHAnsi" w:cstheme="minorHAnsi"/>
          <w:sz w:val="22"/>
          <w:szCs w:val="22"/>
        </w:rPr>
      </w:pPr>
      <w:r w:rsidRPr="00F80644">
        <w:rPr>
          <w:rFonts w:asciiTheme="minorHAnsi" w:hAnsiTheme="minorHAnsi" w:cstheme="minorHAnsi"/>
          <w:sz w:val="22"/>
          <w:szCs w:val="22"/>
        </w:rPr>
        <w:t xml:space="preserve">&gt; Participation aux ateliers DPO du Groupe Crédit Agricole </w:t>
      </w:r>
    </w:p>
    <w:p w14:paraId="34FDFFAA" w14:textId="77777777" w:rsidR="00D9385B" w:rsidRPr="00F80644" w:rsidRDefault="00D9385B" w:rsidP="00D9385B">
      <w:pPr>
        <w:pStyle w:val="Paragraphedeliste"/>
        <w:ind w:left="0"/>
        <w:rPr>
          <w:rFonts w:asciiTheme="minorHAnsi" w:hAnsiTheme="minorHAnsi" w:cstheme="minorHAnsi"/>
          <w:sz w:val="22"/>
          <w:szCs w:val="22"/>
        </w:rPr>
      </w:pPr>
      <w:r w:rsidRPr="00F80644">
        <w:rPr>
          <w:rFonts w:asciiTheme="minorHAnsi" w:hAnsiTheme="minorHAnsi" w:cstheme="minorHAnsi"/>
          <w:sz w:val="22"/>
          <w:szCs w:val="22"/>
        </w:rPr>
        <w:t>&gt; Participation aux remédiations intra-groupe des contrats sur le thème « conformité au RGPD » (pilotage FNCA)</w:t>
      </w:r>
    </w:p>
    <w:p w14:paraId="0F45EF8F" w14:textId="77777777" w:rsidR="00D9385B" w:rsidRPr="00F80644" w:rsidRDefault="00D9385B" w:rsidP="00D9385B">
      <w:pPr>
        <w:pStyle w:val="Paragraphedeliste"/>
        <w:ind w:left="0"/>
        <w:rPr>
          <w:rFonts w:asciiTheme="minorHAnsi" w:hAnsiTheme="minorHAnsi" w:cstheme="minorHAnsi"/>
          <w:sz w:val="22"/>
          <w:szCs w:val="22"/>
        </w:rPr>
      </w:pPr>
      <w:r w:rsidRPr="00F80644">
        <w:rPr>
          <w:rFonts w:asciiTheme="minorHAnsi" w:hAnsiTheme="minorHAnsi" w:cstheme="minorHAnsi"/>
          <w:sz w:val="22"/>
          <w:szCs w:val="22"/>
        </w:rPr>
        <w:t xml:space="preserve">&gt; Participation à un Groupe de travail Crédit Agricole S.A. sur la formalisation d’annexes types pour les prestations réalisées par les « routeurs » </w:t>
      </w:r>
    </w:p>
    <w:p w14:paraId="761E3E47" w14:textId="0A262843" w:rsidR="00D9385B" w:rsidRPr="00F80644" w:rsidRDefault="00D9385B" w:rsidP="00D9385B">
      <w:pPr>
        <w:spacing w:after="0" w:line="240" w:lineRule="auto"/>
        <w:jc w:val="left"/>
        <w:rPr>
          <w:rFonts w:asciiTheme="minorHAnsi" w:eastAsia="Times New Roman" w:hAnsiTheme="minorHAnsi" w:cstheme="minorHAnsi"/>
          <w:lang w:eastAsia="fr-FR"/>
        </w:rPr>
      </w:pPr>
      <w:r w:rsidRPr="00F80644">
        <w:rPr>
          <w:rFonts w:asciiTheme="minorHAnsi" w:eastAsia="Times New Roman" w:hAnsiTheme="minorHAnsi" w:cstheme="minorHAnsi"/>
          <w:lang w:eastAsia="fr-FR"/>
        </w:rPr>
        <w:t>&gt; Formation au risque OFAC « Sanctions internationales »</w:t>
      </w:r>
    </w:p>
    <w:p w14:paraId="01482188" w14:textId="77777777" w:rsidR="00D9385B" w:rsidRPr="009D4CD4" w:rsidRDefault="00D9385B" w:rsidP="00D9385B">
      <w:pPr>
        <w:autoSpaceDE w:val="0"/>
        <w:autoSpaceDN w:val="0"/>
        <w:adjustRightInd w:val="0"/>
        <w:spacing w:after="0" w:line="240" w:lineRule="auto"/>
        <w:jc w:val="left"/>
        <w:rPr>
          <w:rFonts w:cs="Arial"/>
        </w:rPr>
      </w:pPr>
    </w:p>
    <w:p w14:paraId="473B1C12" w14:textId="77777777" w:rsidR="00D9385B" w:rsidRPr="009D4CD4" w:rsidRDefault="00D9385B" w:rsidP="00D9385B">
      <w:pPr>
        <w:autoSpaceDE w:val="0"/>
        <w:autoSpaceDN w:val="0"/>
        <w:adjustRightInd w:val="0"/>
        <w:spacing w:after="0" w:line="240" w:lineRule="auto"/>
        <w:jc w:val="left"/>
        <w:rPr>
          <w:i/>
        </w:rPr>
      </w:pPr>
      <w:r w:rsidRPr="009D4CD4">
        <w:rPr>
          <w:i/>
        </w:rPr>
        <w:t>Lutte contre la corruption.</w:t>
      </w:r>
      <w:r w:rsidRPr="009D4CD4">
        <w:rPr>
          <w:i/>
        </w:rPr>
        <w:br/>
      </w:r>
    </w:p>
    <w:p w14:paraId="41B0CB30" w14:textId="0E22AD28" w:rsidR="00D9385B" w:rsidRPr="009D4CD4" w:rsidRDefault="00D9385B" w:rsidP="00D9385B">
      <w:pPr>
        <w:autoSpaceDE w:val="0"/>
        <w:autoSpaceDN w:val="0"/>
        <w:adjustRightInd w:val="0"/>
        <w:spacing w:after="0" w:line="240" w:lineRule="auto"/>
        <w:jc w:val="left"/>
      </w:pPr>
      <w:r w:rsidRPr="009D4CD4">
        <w:rPr>
          <w:rFonts w:asciiTheme="minorHAnsi" w:hAnsiTheme="minorHAnsi"/>
        </w:rPr>
        <w:t xml:space="preserve">Edokial </w:t>
      </w:r>
      <w:r w:rsidR="00F80644">
        <w:t>vise</w:t>
      </w:r>
      <w:r w:rsidRPr="009D4CD4">
        <w:t xml:space="preserve"> une tolérance zéro dans le domaine de la corruption. Par exemple la distribution de cadeaux d’affaires ne fait pas partie de ses pratiques commerciales.</w:t>
      </w:r>
    </w:p>
    <w:p w14:paraId="4D537D9A" w14:textId="77777777" w:rsidR="00D9385B" w:rsidRPr="009D4CD4" w:rsidRDefault="00D9385B" w:rsidP="00846B0B">
      <w:pPr>
        <w:spacing w:after="0" w:line="240" w:lineRule="auto"/>
        <w:jc w:val="left"/>
        <w:rPr>
          <w:rFonts w:cs="Arial"/>
        </w:rPr>
      </w:pPr>
    </w:p>
    <w:p w14:paraId="21AB31E0" w14:textId="77777777" w:rsidR="00D9385B" w:rsidRPr="009D4CD4" w:rsidRDefault="00D9385B" w:rsidP="00846B0B">
      <w:pPr>
        <w:spacing w:after="0" w:line="240" w:lineRule="auto"/>
        <w:jc w:val="left"/>
        <w:rPr>
          <w:rFonts w:cs="Arial"/>
        </w:rPr>
      </w:pPr>
    </w:p>
    <w:p w14:paraId="615D04B5" w14:textId="0940BD16" w:rsidR="003B6D4D" w:rsidRPr="009D4CD4" w:rsidRDefault="003940C7" w:rsidP="003B6D4D">
      <w:pPr>
        <w:spacing w:after="0" w:line="240" w:lineRule="auto"/>
        <w:jc w:val="left"/>
        <w:rPr>
          <w:rFonts w:cs="Arial"/>
        </w:rPr>
      </w:pPr>
      <w:r w:rsidRPr="009D4CD4">
        <w:rPr>
          <w:rFonts w:cs="Arial"/>
        </w:rPr>
        <w:t>IST</w:t>
      </w:r>
    </w:p>
    <w:p w14:paraId="5CA7E2B8" w14:textId="74C6FF50" w:rsidR="003B6D4D" w:rsidRPr="009D4CD4" w:rsidRDefault="003B6D4D" w:rsidP="00F80644">
      <w:pPr>
        <w:spacing w:after="0" w:line="240" w:lineRule="auto"/>
        <w:jc w:val="left"/>
      </w:pPr>
      <w:r w:rsidRPr="009D4CD4">
        <w:rPr>
          <w:rFonts w:cs="Arial"/>
          <w:i/>
        </w:rPr>
        <w:t>Protection des données personnelles.</w:t>
      </w:r>
      <w:r w:rsidRPr="009D4CD4">
        <w:rPr>
          <w:rFonts w:cs="Arial"/>
          <w:i/>
        </w:rPr>
        <w:br/>
      </w:r>
      <w:r w:rsidRPr="009D4CD4">
        <w:t>La démarche est de satisfaire aux exigences générales de protection des données à caractère personnel, et, plus spécialement, de se conformer à la mise en application du RGPD.</w:t>
      </w:r>
    </w:p>
    <w:p w14:paraId="2FB19093" w14:textId="77777777" w:rsidR="003B6D4D" w:rsidRPr="009D4CD4" w:rsidRDefault="003B6D4D" w:rsidP="003B6D4D">
      <w:pPr>
        <w:tabs>
          <w:tab w:val="left" w:pos="4860"/>
          <w:tab w:val="left" w:pos="6840"/>
          <w:tab w:val="right" w:pos="9000"/>
        </w:tabs>
        <w:spacing w:after="0" w:line="240" w:lineRule="auto"/>
        <w:jc w:val="left"/>
      </w:pPr>
      <w:r w:rsidRPr="009D4CD4">
        <w:t xml:space="preserve">Les recommandations de la CNIL sont suivies pour cette mise en application : </w:t>
      </w:r>
    </w:p>
    <w:p w14:paraId="4A04282D" w14:textId="71D5BB5D" w:rsidR="003B6D4D" w:rsidRPr="009D4CD4" w:rsidRDefault="004B2452" w:rsidP="003B6D4D">
      <w:pPr>
        <w:tabs>
          <w:tab w:val="left" w:pos="4860"/>
          <w:tab w:val="left" w:pos="6840"/>
          <w:tab w:val="right" w:pos="9000"/>
        </w:tabs>
        <w:spacing w:after="0" w:line="240" w:lineRule="auto"/>
        <w:jc w:val="left"/>
      </w:pPr>
      <w:r w:rsidRPr="009D4CD4">
        <w:t xml:space="preserve">&gt; </w:t>
      </w:r>
      <w:r w:rsidR="003B6D4D" w:rsidRPr="009D4CD4">
        <w:t>Sous traitan</w:t>
      </w:r>
      <w:r w:rsidR="00F80644">
        <w:t>ce de partie DPO et juridique à un</w:t>
      </w:r>
      <w:r w:rsidR="003B6D4D" w:rsidRPr="009D4CD4">
        <w:t xml:space="preserve"> cabinet d’avocat</w:t>
      </w:r>
      <w:r w:rsidR="00F80644">
        <w:t>,</w:t>
      </w:r>
    </w:p>
    <w:p w14:paraId="7DC2B946" w14:textId="77777777" w:rsidR="003B6D4D" w:rsidRPr="009D4CD4" w:rsidRDefault="003B6D4D" w:rsidP="003B6D4D">
      <w:pPr>
        <w:pStyle w:val="Paragraphedeliste"/>
        <w:tabs>
          <w:tab w:val="left" w:pos="4860"/>
          <w:tab w:val="left" w:pos="6840"/>
          <w:tab w:val="right" w:pos="9000"/>
        </w:tabs>
        <w:ind w:left="0"/>
        <w:rPr>
          <w:rFonts w:asciiTheme="minorHAnsi" w:hAnsiTheme="minorHAnsi" w:cstheme="minorHAnsi"/>
          <w:sz w:val="22"/>
          <w:szCs w:val="22"/>
        </w:rPr>
      </w:pPr>
      <w:r w:rsidRPr="009D4CD4">
        <w:rPr>
          <w:rFonts w:asciiTheme="minorHAnsi" w:hAnsiTheme="minorHAnsi" w:cstheme="minorHAnsi"/>
          <w:sz w:val="22"/>
          <w:szCs w:val="22"/>
        </w:rPr>
        <w:t>&gt; Priorisation des actions à mener pour se conformer aux obligations du RGPD,</w:t>
      </w:r>
    </w:p>
    <w:p w14:paraId="324AA8AB" w14:textId="77777777" w:rsidR="003B6D4D" w:rsidRPr="009D4CD4" w:rsidRDefault="003B6D4D" w:rsidP="003B6D4D">
      <w:pPr>
        <w:pStyle w:val="Paragraphedeliste"/>
        <w:ind w:left="0"/>
        <w:rPr>
          <w:rFonts w:ascii="Calibri" w:hAnsi="Calibri" w:cs="Calibri"/>
          <w:sz w:val="20"/>
          <w:szCs w:val="20"/>
        </w:rPr>
      </w:pPr>
      <w:r w:rsidRPr="009D4CD4">
        <w:rPr>
          <w:rFonts w:asciiTheme="minorHAnsi" w:hAnsiTheme="minorHAnsi" w:cstheme="minorHAnsi"/>
          <w:sz w:val="22"/>
          <w:szCs w:val="22"/>
        </w:rPr>
        <w:t>&gt; Gestion des risques pour les données personnelles et mise en place d’analyses d’impact,</w:t>
      </w:r>
      <w:r w:rsidRPr="009D4CD4">
        <w:rPr>
          <w:rFonts w:ascii="Calibri" w:eastAsia="Calibri" w:hAnsi="Calibri"/>
          <w:sz w:val="22"/>
          <w:szCs w:val="22"/>
          <w:lang w:eastAsia="en-US"/>
        </w:rPr>
        <w:t xml:space="preserve"> </w:t>
      </w:r>
    </w:p>
    <w:p w14:paraId="753573DF" w14:textId="4842DFAF" w:rsidR="003B6D4D" w:rsidRPr="009D4CD4" w:rsidRDefault="003B6D4D" w:rsidP="003B6D4D">
      <w:pPr>
        <w:pStyle w:val="Paragraphedeliste"/>
        <w:ind w:left="0"/>
        <w:rPr>
          <w:rFonts w:ascii="Calibri" w:hAnsi="Calibri" w:cs="Calibri"/>
          <w:sz w:val="20"/>
          <w:szCs w:val="20"/>
        </w:rPr>
      </w:pPr>
      <w:r w:rsidRPr="009D4CD4">
        <w:rPr>
          <w:rFonts w:asciiTheme="minorHAnsi" w:hAnsiTheme="minorHAnsi" w:cstheme="minorHAnsi"/>
          <w:sz w:val="22"/>
          <w:szCs w:val="22"/>
        </w:rPr>
        <w:t>&gt; Organisation de processus en interne pour assurer un haut niveau de protection par la sensibilisation de l’ensemble des services aux enjeux du Règlement,</w:t>
      </w:r>
      <w:r w:rsidRPr="009D4CD4">
        <w:rPr>
          <w:rFonts w:cs="Calibri"/>
        </w:rPr>
        <w:t xml:space="preserve"> </w:t>
      </w:r>
      <w:r w:rsidRPr="009D4CD4">
        <w:rPr>
          <w:rFonts w:ascii="Calibri" w:eastAsia="Calibri" w:hAnsi="Calibri"/>
          <w:sz w:val="22"/>
          <w:szCs w:val="22"/>
          <w:lang w:eastAsia="en-US"/>
        </w:rPr>
        <w:t>deux processus ont été finalisés sur l’année 2019 (gestion des données personnelles, violation des données personnelles)</w:t>
      </w:r>
      <w:r w:rsidR="00F80644">
        <w:rPr>
          <w:rFonts w:ascii="Calibri" w:eastAsia="Calibri" w:hAnsi="Calibri"/>
          <w:sz w:val="22"/>
          <w:szCs w:val="22"/>
          <w:lang w:eastAsia="en-US"/>
        </w:rPr>
        <w:t>,</w:t>
      </w:r>
    </w:p>
    <w:p w14:paraId="1EAB245B" w14:textId="50FF93C4" w:rsidR="003B6D4D" w:rsidRPr="009D4CD4" w:rsidRDefault="003B6D4D" w:rsidP="003B6D4D">
      <w:pPr>
        <w:pStyle w:val="Paragraphedeliste"/>
        <w:tabs>
          <w:tab w:val="left" w:pos="4860"/>
          <w:tab w:val="left" w:pos="6840"/>
          <w:tab w:val="right" w:pos="9000"/>
        </w:tabs>
        <w:ind w:left="0"/>
        <w:rPr>
          <w:rFonts w:asciiTheme="minorHAnsi" w:hAnsiTheme="minorHAnsi" w:cstheme="minorHAnsi"/>
          <w:sz w:val="22"/>
          <w:szCs w:val="22"/>
        </w:rPr>
      </w:pPr>
      <w:r w:rsidRPr="009D4CD4">
        <w:rPr>
          <w:rFonts w:asciiTheme="minorHAnsi" w:hAnsiTheme="minorHAnsi" w:cstheme="minorHAnsi"/>
          <w:sz w:val="22"/>
          <w:szCs w:val="22"/>
        </w:rPr>
        <w:t>&gt; Consolidation et regroupement de la documentation nécessaire pour pro</w:t>
      </w:r>
      <w:r w:rsidR="00F80644">
        <w:rPr>
          <w:rFonts w:asciiTheme="minorHAnsi" w:hAnsiTheme="minorHAnsi" w:cstheme="minorHAnsi"/>
          <w:sz w:val="22"/>
          <w:szCs w:val="22"/>
        </w:rPr>
        <w:t>uver la conformité au Règlement,</w:t>
      </w:r>
    </w:p>
    <w:p w14:paraId="269E71BB" w14:textId="0D998318" w:rsidR="003B6D4D" w:rsidRPr="009D4CD4" w:rsidRDefault="003B6D4D" w:rsidP="003B6D4D">
      <w:pPr>
        <w:pStyle w:val="Paragraphedeliste"/>
        <w:ind w:left="0"/>
        <w:rPr>
          <w:rFonts w:ascii="Calibri" w:eastAsia="Calibri" w:hAnsi="Calibri"/>
          <w:sz w:val="22"/>
          <w:szCs w:val="22"/>
          <w:lang w:eastAsia="en-US"/>
        </w:rPr>
      </w:pPr>
      <w:r w:rsidRPr="009D4CD4">
        <w:rPr>
          <w:rFonts w:asciiTheme="minorHAnsi" w:hAnsiTheme="minorHAnsi" w:cstheme="minorHAnsi"/>
          <w:sz w:val="22"/>
          <w:szCs w:val="22"/>
        </w:rPr>
        <w:t xml:space="preserve">&gt; </w:t>
      </w:r>
      <w:r w:rsidRPr="009D4CD4">
        <w:rPr>
          <w:rFonts w:ascii="Calibri" w:eastAsia="Calibri" w:hAnsi="Calibri"/>
          <w:sz w:val="22"/>
          <w:szCs w:val="22"/>
          <w:lang w:eastAsia="en-US"/>
        </w:rPr>
        <w:t>Note d’information à destination des salariés pour les informer sur l’application du RGPD qua</w:t>
      </w:r>
      <w:r w:rsidR="00F80644">
        <w:rPr>
          <w:rFonts w:ascii="Calibri" w:eastAsia="Calibri" w:hAnsi="Calibri"/>
          <w:sz w:val="22"/>
          <w:szCs w:val="22"/>
          <w:lang w:eastAsia="en-US"/>
        </w:rPr>
        <w:t>nt à leurs données personnelles.</w:t>
      </w:r>
    </w:p>
    <w:p w14:paraId="16917749" w14:textId="17F48BF3" w:rsidR="00D71243" w:rsidRPr="009D4CD4" w:rsidRDefault="00D71243" w:rsidP="003B6D4D">
      <w:pPr>
        <w:autoSpaceDE w:val="0"/>
        <w:autoSpaceDN w:val="0"/>
        <w:adjustRightInd w:val="0"/>
        <w:spacing w:after="0" w:line="240" w:lineRule="auto"/>
        <w:jc w:val="left"/>
      </w:pPr>
    </w:p>
    <w:p w14:paraId="1BA9A107" w14:textId="1BE4F25F" w:rsidR="00D9385B" w:rsidRPr="009D4CD4" w:rsidRDefault="00D9385B" w:rsidP="003B6D4D">
      <w:pPr>
        <w:autoSpaceDE w:val="0"/>
        <w:autoSpaceDN w:val="0"/>
        <w:adjustRightInd w:val="0"/>
        <w:spacing w:after="0" w:line="240" w:lineRule="auto"/>
        <w:jc w:val="left"/>
        <w:rPr>
          <w:i/>
        </w:rPr>
      </w:pPr>
      <w:r w:rsidRPr="009D4CD4">
        <w:rPr>
          <w:i/>
        </w:rPr>
        <w:t>Lutte contre la corruption</w:t>
      </w:r>
    </w:p>
    <w:p w14:paraId="3932DFC2" w14:textId="77777777" w:rsidR="00E909B6" w:rsidRPr="009D4CD4" w:rsidRDefault="00E909B6" w:rsidP="003B6D4D">
      <w:pPr>
        <w:autoSpaceDE w:val="0"/>
        <w:autoSpaceDN w:val="0"/>
        <w:adjustRightInd w:val="0"/>
        <w:spacing w:after="0" w:line="240" w:lineRule="auto"/>
        <w:jc w:val="left"/>
        <w:rPr>
          <w:i/>
        </w:rPr>
      </w:pPr>
    </w:p>
    <w:p w14:paraId="088091A5" w14:textId="73C6F5FF" w:rsidR="003B6D4D" w:rsidRPr="009D4CD4" w:rsidRDefault="000D2A50" w:rsidP="00D71243">
      <w:r w:rsidRPr="009D4CD4">
        <w:t>La lutte contre la corruption est traitée dans l</w:t>
      </w:r>
      <w:r w:rsidR="004B2452" w:rsidRPr="009D4CD4">
        <w:t xml:space="preserve">e </w:t>
      </w:r>
      <w:r w:rsidR="003B6D4D" w:rsidRPr="009D4CD4">
        <w:t xml:space="preserve">Code de conduite anticorruption, </w:t>
      </w:r>
      <w:r w:rsidR="00E909B6" w:rsidRPr="009D4CD4">
        <w:t xml:space="preserve">inclus dans le </w:t>
      </w:r>
      <w:r w:rsidRPr="009D4CD4">
        <w:t>Règlement Intérieur.</w:t>
      </w:r>
    </w:p>
    <w:p w14:paraId="47602103" w14:textId="77777777" w:rsidR="003B6D4D" w:rsidRPr="009D4CD4" w:rsidRDefault="003B6D4D" w:rsidP="003B6D4D">
      <w:pPr>
        <w:autoSpaceDE w:val="0"/>
        <w:autoSpaceDN w:val="0"/>
        <w:adjustRightInd w:val="0"/>
        <w:spacing w:after="0" w:line="240" w:lineRule="auto"/>
        <w:jc w:val="left"/>
        <w:rPr>
          <w:rFonts w:cs="Arial"/>
        </w:rPr>
      </w:pPr>
    </w:p>
    <w:p w14:paraId="13F5F4E8" w14:textId="3E9D15F2" w:rsidR="00B26790" w:rsidRPr="009D4CD4" w:rsidRDefault="00B26790" w:rsidP="00326D6D">
      <w:pPr>
        <w:pStyle w:val="Titre3"/>
      </w:pPr>
      <w:bookmarkStart w:id="28" w:name="_Toc96697969"/>
      <w:r w:rsidRPr="009D4CD4">
        <w:rPr>
          <w:shd w:val="clear" w:color="auto" w:fill="FFFFFF"/>
        </w:rPr>
        <w:t>Le droit d’alerte</w:t>
      </w:r>
      <w:bookmarkEnd w:id="28"/>
    </w:p>
    <w:p w14:paraId="2284221D" w14:textId="77777777" w:rsidR="00D71243" w:rsidRPr="009D4CD4" w:rsidRDefault="00D71243" w:rsidP="00B26790">
      <w:pPr>
        <w:spacing w:after="0" w:line="240" w:lineRule="auto"/>
        <w:jc w:val="left"/>
        <w:rPr>
          <w:color w:val="FF0000"/>
          <w:shd w:val="clear" w:color="auto" w:fill="FFFFFF"/>
        </w:rPr>
      </w:pPr>
    </w:p>
    <w:p w14:paraId="2C555CFD" w14:textId="41385D92" w:rsidR="00D71243" w:rsidRPr="009D4CD4" w:rsidRDefault="00D71243" w:rsidP="00FB07F3">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0350CA08" w14:textId="77777777" w:rsidR="00677357" w:rsidRDefault="00677357" w:rsidP="00B26790">
      <w:pPr>
        <w:spacing w:after="0" w:line="240" w:lineRule="auto"/>
        <w:jc w:val="left"/>
        <w:rPr>
          <w:color w:val="FF0000"/>
          <w:shd w:val="clear" w:color="auto" w:fill="FFFFFF"/>
        </w:rPr>
      </w:pPr>
    </w:p>
    <w:p w14:paraId="56581BDE" w14:textId="16D84EB9" w:rsidR="00B26790" w:rsidRPr="009D4CD4" w:rsidRDefault="00B26790" w:rsidP="00B26790">
      <w:pPr>
        <w:spacing w:after="0" w:line="240" w:lineRule="auto"/>
        <w:jc w:val="left"/>
      </w:pPr>
      <w:r w:rsidRPr="009D4CD4">
        <w:rPr>
          <w:shd w:val="clear" w:color="auto" w:fill="FFFFFF"/>
        </w:rPr>
        <w:t>En ligne avec les attendus de la loi dite Sapin II, le Groupe Crédit Agricole a renforcé le dispositif de droit d'alerte de ses collaborateurs. </w:t>
      </w:r>
    </w:p>
    <w:p w14:paraId="0D320684" w14:textId="77777777" w:rsidR="00B26790" w:rsidRPr="009D4CD4" w:rsidRDefault="00B26790" w:rsidP="00B26790">
      <w:pPr>
        <w:spacing w:after="0" w:line="240" w:lineRule="auto"/>
        <w:jc w:val="left"/>
      </w:pPr>
      <w:r w:rsidRPr="009D4CD4">
        <w:rPr>
          <w:shd w:val="clear" w:color="auto" w:fill="FFFFFF"/>
        </w:rPr>
        <w:t>Le principe de base est que les incidents ou anomalies pouvant apparaître dans la mise en œuvre effective des obligations de conformité doivent être signalés par le collaborateur à son responsable hiérarchique, dans le cadre de la remontée des dysfonctionnements. Toutefois, il peut arriver que le signalement d'un dysfonctionnement par la voie hiérarchique s'avère inopérant ou inadapté à la situation. Dans ce cas, le dispositif de droit d'alerte constitue une solution alternative. </w:t>
      </w:r>
    </w:p>
    <w:p w14:paraId="5330BAE3" w14:textId="77777777" w:rsidR="00B26790" w:rsidRPr="009D4CD4" w:rsidRDefault="00B26790" w:rsidP="00B26790">
      <w:pPr>
        <w:spacing w:after="0" w:line="240" w:lineRule="auto"/>
        <w:jc w:val="left"/>
      </w:pPr>
      <w:r w:rsidRPr="009D4CD4">
        <w:rPr>
          <w:shd w:val="clear" w:color="auto" w:fill="FFFFFF"/>
        </w:rPr>
        <w:t>En déployant une nouvelle plateforme informatique, qui s'inscrit dans le cadre du programme de prévention des comportements non éthiques, délictueux et criminels, Crédit Agricole Nord Midi-Pyrénées a souhaité accompagner tout collaborateur désireux d’exercer sa faculté d'alerte en toute sécurité.</w:t>
      </w:r>
    </w:p>
    <w:p w14:paraId="0F7E7481" w14:textId="77777777" w:rsidR="00B26790" w:rsidRPr="009D4CD4" w:rsidRDefault="00B26790" w:rsidP="00B26790">
      <w:pPr>
        <w:spacing w:after="0" w:line="240" w:lineRule="auto"/>
        <w:jc w:val="left"/>
      </w:pPr>
      <w:r w:rsidRPr="009D4CD4">
        <w:rPr>
          <w:shd w:val="clear" w:color="auto" w:fill="FFFFFF"/>
        </w:rPr>
        <w:t>Cet outil garantit la stricte confidentialité de l'auteur du signalement, des faits signalés, des personnes visées ainsi que des échanges entre le lanceur d'alerte et la personne en charge du traitement de cette alerte.</w:t>
      </w:r>
    </w:p>
    <w:p w14:paraId="01482AC5" w14:textId="77777777" w:rsidR="00B26790" w:rsidRPr="009D4CD4" w:rsidRDefault="00B26790" w:rsidP="00B26790">
      <w:pPr>
        <w:spacing w:after="0" w:line="240" w:lineRule="auto"/>
        <w:jc w:val="left"/>
        <w:rPr>
          <w:shd w:val="clear" w:color="auto" w:fill="FFFFFF"/>
        </w:rPr>
      </w:pPr>
      <w:r w:rsidRPr="009D4CD4">
        <w:rPr>
          <w:shd w:val="clear" w:color="auto" w:fill="FFFFFF"/>
        </w:rPr>
        <w:t>La plateforme est accessible via internet à tout moment et en tout lieu, et toutes les informations (y compris les informations personnelles) sont stockées dans un environnement sécurisé indépendant.</w:t>
      </w:r>
    </w:p>
    <w:p w14:paraId="489D79FE" w14:textId="63DBFCED" w:rsidR="00B26790" w:rsidRPr="009D4CD4" w:rsidRDefault="00B26790" w:rsidP="00B26790">
      <w:pPr>
        <w:spacing w:after="0" w:line="240" w:lineRule="auto"/>
        <w:jc w:val="left"/>
      </w:pPr>
      <w:r w:rsidRPr="009D4CD4">
        <w:rPr>
          <w:shd w:val="clear" w:color="auto" w:fill="FFFFFF"/>
        </w:rPr>
        <w:t xml:space="preserve">Toutes les alertes font l’objet d’un accusé </w:t>
      </w:r>
      <w:r w:rsidR="00F80644">
        <w:rPr>
          <w:shd w:val="clear" w:color="auto" w:fill="FFFFFF"/>
        </w:rPr>
        <w:t xml:space="preserve">de </w:t>
      </w:r>
      <w:r w:rsidRPr="009D4CD4">
        <w:rPr>
          <w:shd w:val="clear" w:color="auto" w:fill="FFFFFF"/>
        </w:rPr>
        <w:t xml:space="preserve">réception automatique, puis d’une analyse. Des échanges avec le lanceur </w:t>
      </w:r>
      <w:r w:rsidR="00F80644">
        <w:rPr>
          <w:shd w:val="clear" w:color="auto" w:fill="FFFFFF"/>
        </w:rPr>
        <w:t xml:space="preserve">d’alerte </w:t>
      </w:r>
      <w:r w:rsidRPr="009D4CD4">
        <w:rPr>
          <w:shd w:val="clear" w:color="auto" w:fill="FFFFFF"/>
        </w:rPr>
        <w:t xml:space="preserve">peuvent avoir lieu dans l’outil, de façon cryptée et anonyme. Un comité ad-hoc se réunit pour statuer sur l’alerte, qui pourra être transmise aux autorités compétentes ou classée sans suite. Dans tous les cas, le lanceur d’alerte est informé de la suite donnée. </w:t>
      </w:r>
    </w:p>
    <w:p w14:paraId="71129AA0" w14:textId="5FA5EE4E" w:rsidR="00B26790" w:rsidRPr="009D4CD4" w:rsidRDefault="00B26790" w:rsidP="00B72A61">
      <w:pPr>
        <w:autoSpaceDE w:val="0"/>
        <w:autoSpaceDN w:val="0"/>
        <w:adjustRightInd w:val="0"/>
        <w:spacing w:after="0" w:line="240" w:lineRule="auto"/>
        <w:jc w:val="left"/>
        <w:rPr>
          <w:rFonts w:cs="Arial"/>
        </w:rPr>
      </w:pPr>
    </w:p>
    <w:p w14:paraId="7BB4124E" w14:textId="60AC90B5" w:rsidR="00D71243" w:rsidRPr="009D4CD4" w:rsidRDefault="00D71243" w:rsidP="00FB07F3">
      <w:pPr>
        <w:numPr>
          <w:ilvl w:val="0"/>
          <w:numId w:val="4"/>
        </w:numPr>
        <w:spacing w:after="0" w:line="240" w:lineRule="auto"/>
        <w:jc w:val="left"/>
        <w:rPr>
          <w:rFonts w:cs="Arial"/>
        </w:rPr>
      </w:pPr>
      <w:r w:rsidRPr="009D4CD4">
        <w:rPr>
          <w:rFonts w:cs="Arial"/>
        </w:rPr>
        <w:t>Inforsud Technologies</w:t>
      </w:r>
    </w:p>
    <w:p w14:paraId="5738537B" w14:textId="77777777" w:rsidR="00D71243" w:rsidRPr="009D4CD4" w:rsidRDefault="00D71243" w:rsidP="00B72A61">
      <w:pPr>
        <w:autoSpaceDE w:val="0"/>
        <w:autoSpaceDN w:val="0"/>
        <w:adjustRightInd w:val="0"/>
        <w:spacing w:after="0" w:line="240" w:lineRule="auto"/>
        <w:jc w:val="left"/>
        <w:rPr>
          <w:rFonts w:cs="Arial"/>
        </w:rPr>
      </w:pPr>
    </w:p>
    <w:p w14:paraId="4FBFD7C9" w14:textId="71EE89E1" w:rsidR="00932142" w:rsidRDefault="00FB07F3" w:rsidP="00B72A61">
      <w:pPr>
        <w:autoSpaceDE w:val="0"/>
        <w:autoSpaceDN w:val="0"/>
        <w:adjustRightInd w:val="0"/>
        <w:spacing w:after="0" w:line="240" w:lineRule="auto"/>
        <w:jc w:val="left"/>
      </w:pPr>
      <w:r w:rsidRPr="009D4CD4">
        <w:t>Le droit d’al</w:t>
      </w:r>
      <w:r w:rsidR="00D71243" w:rsidRPr="009D4CD4">
        <w:t xml:space="preserve">erte s’effectue par une plateforme </w:t>
      </w:r>
      <w:r w:rsidR="003152F6" w:rsidRPr="009D4CD4">
        <w:t xml:space="preserve">en ligne </w:t>
      </w:r>
      <w:r w:rsidR="00D71243" w:rsidRPr="009D4CD4">
        <w:t>garantissant la confidentialité de l’auteur du signalement, des faits et des personnes visées. Les informations contenues y compris les informations personnelles sont cryptées et stockées dans un environnement sécurisé indépendant. La plateforme est accessible via l’intranet, à tout moment et en tout lieu. Un référent opérationnel a été mis en place en 2021.</w:t>
      </w:r>
    </w:p>
    <w:p w14:paraId="672C5EBE" w14:textId="77777777" w:rsidR="00932142" w:rsidRDefault="00932142">
      <w:pPr>
        <w:spacing w:after="0" w:line="240" w:lineRule="auto"/>
        <w:jc w:val="left"/>
      </w:pPr>
      <w:r>
        <w:br w:type="page"/>
      </w:r>
    </w:p>
    <w:p w14:paraId="33280182" w14:textId="14DC66CD" w:rsidR="00B72A61" w:rsidRPr="009D4CD4" w:rsidRDefault="0003746F" w:rsidP="00326D6D">
      <w:pPr>
        <w:pStyle w:val="Titre3"/>
      </w:pPr>
      <w:bookmarkStart w:id="29" w:name="_Toc96697970"/>
      <w:r w:rsidRPr="009D4CD4">
        <w:t>L</w:t>
      </w:r>
      <w:r w:rsidR="00B72A61" w:rsidRPr="009D4CD4">
        <w:t>’écoute</w:t>
      </w:r>
      <w:r w:rsidRPr="009D4CD4">
        <w:t>-clients</w:t>
      </w:r>
      <w:r w:rsidR="00B72A61" w:rsidRPr="009D4CD4">
        <w:t xml:space="preserve"> et le traitement des réclamations</w:t>
      </w:r>
      <w:bookmarkEnd w:id="29"/>
    </w:p>
    <w:p w14:paraId="20CE9632" w14:textId="77777777" w:rsidR="0003746F" w:rsidRPr="009D4CD4" w:rsidRDefault="0003746F" w:rsidP="0003746F"/>
    <w:p w14:paraId="3064B7F5" w14:textId="184FC5FE" w:rsidR="00B72A61" w:rsidRPr="009D4CD4" w:rsidRDefault="00B72A61" w:rsidP="00F41917">
      <w:pPr>
        <w:numPr>
          <w:ilvl w:val="0"/>
          <w:numId w:val="4"/>
        </w:numPr>
        <w:spacing w:after="0" w:line="240" w:lineRule="auto"/>
        <w:jc w:val="left"/>
      </w:pPr>
      <w:r w:rsidRPr="009D4CD4">
        <w:rPr>
          <w:rFonts w:cs="Arial"/>
        </w:rPr>
        <w:t xml:space="preserve">La </w:t>
      </w:r>
      <w:r w:rsidR="00A7717F">
        <w:rPr>
          <w:rFonts w:cs="Arial"/>
        </w:rPr>
        <w:t>Caisse Régionale</w:t>
      </w:r>
    </w:p>
    <w:p w14:paraId="0B88F957" w14:textId="77777777" w:rsidR="00677357" w:rsidRDefault="00677357" w:rsidP="00016CB1">
      <w:pPr>
        <w:spacing w:after="0" w:line="240" w:lineRule="auto"/>
        <w:jc w:val="left"/>
        <w:rPr>
          <w:color w:val="FF0000"/>
        </w:rPr>
      </w:pPr>
    </w:p>
    <w:p w14:paraId="24803A2A" w14:textId="34FAE99B" w:rsidR="00016CB1" w:rsidRPr="009D4CD4" w:rsidRDefault="00016CB1" w:rsidP="00016CB1">
      <w:pPr>
        <w:spacing w:after="0" w:line="240" w:lineRule="auto"/>
        <w:jc w:val="left"/>
        <w:rPr>
          <w:u w:val="single"/>
        </w:rPr>
      </w:pPr>
      <w:r w:rsidRPr="009D4CD4">
        <w:t xml:space="preserve">L’écoute - clients et le traitement des réclamations sont menés dans le cadre d’une démarche d’amélioration continue de la qualité. La </w:t>
      </w:r>
      <w:r w:rsidR="00A7717F">
        <w:t>Caisse Régionale</w:t>
      </w:r>
      <w:r w:rsidRPr="009D4CD4">
        <w:t xml:space="preserve"> s’attache à accroître l’efficacité de ses processus clients, avec comme objectifs, l’amélioration de</w:t>
      </w:r>
      <w:r w:rsidR="00932142">
        <w:t xml:space="preserve"> : </w:t>
      </w:r>
      <w:r w:rsidRPr="009D4CD4">
        <w:t>la satisfaction – client</w:t>
      </w:r>
      <w:r w:rsidR="00932142">
        <w:t> ;</w:t>
      </w:r>
      <w:r w:rsidRPr="009D4CD4">
        <w:t xml:space="preserve"> la productivité</w:t>
      </w:r>
      <w:r w:rsidR="00932142">
        <w:t> ;</w:t>
      </w:r>
      <w:r w:rsidRPr="009D4CD4">
        <w:t xml:space="preserve"> la sécurité</w:t>
      </w:r>
      <w:r w:rsidR="00932142">
        <w:t xml:space="preserve"> ; </w:t>
      </w:r>
      <w:r w:rsidRPr="009D4CD4">
        <w:t>la réductio</w:t>
      </w:r>
      <w:r w:rsidR="00932142">
        <w:t>n de la consommation de papier.</w:t>
      </w:r>
    </w:p>
    <w:p w14:paraId="2B70118C" w14:textId="77777777" w:rsidR="00B72A61" w:rsidRPr="009D4CD4" w:rsidRDefault="00B72A61" w:rsidP="00B72A61">
      <w:pPr>
        <w:spacing w:after="0" w:line="240" w:lineRule="auto"/>
        <w:jc w:val="left"/>
        <w:rPr>
          <w:u w:val="single"/>
        </w:rPr>
      </w:pPr>
    </w:p>
    <w:p w14:paraId="055E0274" w14:textId="77777777" w:rsidR="00B72A61" w:rsidRPr="009D4CD4" w:rsidRDefault="00106477" w:rsidP="00B72A61">
      <w:pPr>
        <w:spacing w:after="0" w:line="240" w:lineRule="auto"/>
        <w:jc w:val="left"/>
        <w:rPr>
          <w:u w:val="single"/>
        </w:rPr>
      </w:pPr>
      <w:r w:rsidRPr="009D4CD4">
        <w:rPr>
          <w:u w:val="single"/>
        </w:rPr>
        <w:t>L’écoute-clients</w:t>
      </w:r>
      <w:r w:rsidR="00B72A61" w:rsidRPr="009D4CD4">
        <w:rPr>
          <w:u w:val="single"/>
        </w:rPr>
        <w:t xml:space="preserve"> par les enquêtes de satisfaction</w:t>
      </w:r>
    </w:p>
    <w:p w14:paraId="0290C069" w14:textId="77777777" w:rsidR="00B72A61" w:rsidRPr="009D4CD4" w:rsidRDefault="00B72A61" w:rsidP="00B72A61">
      <w:pPr>
        <w:spacing w:after="0" w:line="240" w:lineRule="auto"/>
        <w:jc w:val="left"/>
        <w:rPr>
          <w:rFonts w:cs="Arial"/>
          <w:iCs/>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1039"/>
        <w:gridCol w:w="1040"/>
        <w:gridCol w:w="1040"/>
      </w:tblGrid>
      <w:tr w:rsidR="00E5452E" w:rsidRPr="009D4CD4" w14:paraId="18D83F98" w14:textId="77777777" w:rsidTr="00523615">
        <w:trPr>
          <w:trHeight w:hRule="exact" w:val="284"/>
        </w:trPr>
        <w:tc>
          <w:tcPr>
            <w:tcW w:w="7054" w:type="dxa"/>
            <w:tcBorders>
              <w:top w:val="nil"/>
              <w:left w:val="nil"/>
              <w:bottom w:val="single" w:sz="4" w:space="0" w:color="auto"/>
              <w:right w:val="single" w:sz="4" w:space="0" w:color="auto"/>
            </w:tcBorders>
            <w:shd w:val="clear" w:color="auto" w:fill="auto"/>
          </w:tcPr>
          <w:p w14:paraId="06322C54" w14:textId="77777777" w:rsidR="00E5452E" w:rsidRPr="009D4CD4" w:rsidRDefault="00E5452E" w:rsidP="00E5452E">
            <w:pPr>
              <w:spacing w:after="0" w:line="240" w:lineRule="auto"/>
              <w:ind w:right="140"/>
              <w:jc w:val="left"/>
              <w:rPr>
                <w:rFonts w:cs="Arial"/>
                <w:b/>
                <w:iCs/>
              </w:rPr>
            </w:pPr>
            <w:r w:rsidRPr="009D4CD4">
              <w:rPr>
                <w:rFonts w:cs="Arial"/>
                <w:b/>
                <w:iCs/>
              </w:rPr>
              <w:t>Les chiffres – clé</w:t>
            </w:r>
          </w:p>
        </w:tc>
        <w:tc>
          <w:tcPr>
            <w:tcW w:w="1039" w:type="dxa"/>
            <w:tcBorders>
              <w:left w:val="single" w:sz="4" w:space="0" w:color="auto"/>
            </w:tcBorders>
            <w:shd w:val="clear" w:color="auto" w:fill="auto"/>
          </w:tcPr>
          <w:p w14:paraId="4DDB3E20" w14:textId="72B6675A" w:rsidR="00E5452E" w:rsidRPr="009D4CD4" w:rsidRDefault="00E5452E" w:rsidP="00E5452E">
            <w:pPr>
              <w:spacing w:after="0" w:line="240" w:lineRule="auto"/>
              <w:ind w:right="140"/>
              <w:jc w:val="left"/>
              <w:rPr>
                <w:rFonts w:cs="Arial"/>
                <w:b/>
                <w:iCs/>
              </w:rPr>
            </w:pPr>
            <w:r w:rsidRPr="009D4CD4">
              <w:rPr>
                <w:rFonts w:cs="Arial"/>
                <w:b/>
                <w:iCs/>
              </w:rPr>
              <w:t>2021</w:t>
            </w:r>
          </w:p>
        </w:tc>
        <w:tc>
          <w:tcPr>
            <w:tcW w:w="1040" w:type="dxa"/>
          </w:tcPr>
          <w:p w14:paraId="6EEB3784" w14:textId="6B9F8CC4" w:rsidR="00E5452E" w:rsidRPr="009D4CD4" w:rsidRDefault="00E5452E" w:rsidP="00E5452E">
            <w:pPr>
              <w:spacing w:after="0" w:line="240" w:lineRule="auto"/>
              <w:ind w:right="140"/>
              <w:jc w:val="left"/>
              <w:rPr>
                <w:rFonts w:cs="Arial"/>
                <w:b/>
                <w:iCs/>
              </w:rPr>
            </w:pPr>
            <w:r w:rsidRPr="009D4CD4">
              <w:rPr>
                <w:rFonts w:cs="Arial"/>
                <w:b/>
                <w:iCs/>
              </w:rPr>
              <w:t>2020</w:t>
            </w:r>
          </w:p>
        </w:tc>
        <w:tc>
          <w:tcPr>
            <w:tcW w:w="1040" w:type="dxa"/>
          </w:tcPr>
          <w:p w14:paraId="50BDB511" w14:textId="0127E2F3" w:rsidR="00E5452E" w:rsidRPr="009D4CD4" w:rsidRDefault="00E5452E" w:rsidP="00E5452E">
            <w:pPr>
              <w:spacing w:after="0" w:line="240" w:lineRule="auto"/>
              <w:ind w:right="140"/>
              <w:jc w:val="left"/>
              <w:rPr>
                <w:rFonts w:cs="Arial"/>
                <w:b/>
                <w:iCs/>
              </w:rPr>
            </w:pPr>
            <w:r w:rsidRPr="009D4CD4">
              <w:rPr>
                <w:rFonts w:cs="Arial"/>
                <w:b/>
                <w:iCs/>
              </w:rPr>
              <w:t>2019</w:t>
            </w:r>
          </w:p>
        </w:tc>
      </w:tr>
      <w:tr w:rsidR="00E5452E" w:rsidRPr="009D4CD4" w14:paraId="604C4A4C" w14:textId="77777777" w:rsidTr="00523615">
        <w:trPr>
          <w:trHeight w:hRule="exact" w:val="284"/>
        </w:trPr>
        <w:tc>
          <w:tcPr>
            <w:tcW w:w="7054" w:type="dxa"/>
            <w:shd w:val="clear" w:color="auto" w:fill="auto"/>
          </w:tcPr>
          <w:p w14:paraId="3B0C6BB5" w14:textId="78BDB89A" w:rsidR="00E5452E" w:rsidRPr="009D4CD4" w:rsidRDefault="00E5452E" w:rsidP="00E5452E">
            <w:pPr>
              <w:spacing w:after="0" w:line="240" w:lineRule="auto"/>
              <w:ind w:right="140"/>
              <w:jc w:val="left"/>
              <w:rPr>
                <w:rFonts w:cs="Arial"/>
                <w:iCs/>
              </w:rPr>
            </w:pPr>
            <w:r w:rsidRPr="009D4CD4">
              <w:rPr>
                <w:rFonts w:cs="Arial"/>
                <w:iCs/>
              </w:rPr>
              <w:t>Indice de recommandation client *</w:t>
            </w:r>
          </w:p>
        </w:tc>
        <w:tc>
          <w:tcPr>
            <w:tcW w:w="1039" w:type="dxa"/>
            <w:shd w:val="clear" w:color="auto" w:fill="auto"/>
          </w:tcPr>
          <w:p w14:paraId="668CCF26" w14:textId="366AD364" w:rsidR="00E5452E" w:rsidRPr="009D4CD4" w:rsidRDefault="00016CB1" w:rsidP="00E5452E">
            <w:pPr>
              <w:autoSpaceDE w:val="0"/>
              <w:autoSpaceDN w:val="0"/>
              <w:adjustRightInd w:val="0"/>
              <w:spacing w:after="0" w:line="240" w:lineRule="auto"/>
              <w:jc w:val="left"/>
              <w:rPr>
                <w:rFonts w:cs="Arial"/>
                <w:iCs/>
              </w:rPr>
            </w:pPr>
            <w:r w:rsidRPr="009D4CD4">
              <w:rPr>
                <w:rFonts w:cs="Arial"/>
                <w:iCs/>
              </w:rPr>
              <w:t>42,7</w:t>
            </w:r>
          </w:p>
        </w:tc>
        <w:tc>
          <w:tcPr>
            <w:tcW w:w="1040" w:type="dxa"/>
          </w:tcPr>
          <w:p w14:paraId="42F3E130" w14:textId="3B7FFB0F" w:rsidR="00E5452E" w:rsidRPr="009D4CD4" w:rsidRDefault="00E5452E" w:rsidP="00E5452E">
            <w:pPr>
              <w:autoSpaceDE w:val="0"/>
              <w:autoSpaceDN w:val="0"/>
              <w:adjustRightInd w:val="0"/>
              <w:spacing w:after="0" w:line="240" w:lineRule="auto"/>
              <w:jc w:val="left"/>
              <w:rPr>
                <w:rFonts w:cs="Arial"/>
                <w:iCs/>
              </w:rPr>
            </w:pPr>
            <w:r w:rsidRPr="009D4CD4">
              <w:rPr>
                <w:rFonts w:cs="Arial"/>
                <w:iCs/>
              </w:rPr>
              <w:t>38,9</w:t>
            </w:r>
          </w:p>
        </w:tc>
        <w:tc>
          <w:tcPr>
            <w:tcW w:w="1040" w:type="dxa"/>
          </w:tcPr>
          <w:p w14:paraId="65DCBD05" w14:textId="37CF3EFF" w:rsidR="00E5452E" w:rsidRPr="009D4CD4" w:rsidRDefault="00E5452E" w:rsidP="00E5452E">
            <w:pPr>
              <w:autoSpaceDE w:val="0"/>
              <w:autoSpaceDN w:val="0"/>
              <w:adjustRightInd w:val="0"/>
              <w:spacing w:after="0" w:line="240" w:lineRule="auto"/>
              <w:jc w:val="left"/>
              <w:rPr>
                <w:rFonts w:cs="Arial"/>
                <w:iCs/>
              </w:rPr>
            </w:pPr>
            <w:r w:rsidRPr="009D4CD4">
              <w:rPr>
                <w:rFonts w:cs="Arial"/>
                <w:iCs/>
              </w:rPr>
              <w:t>28,8</w:t>
            </w:r>
          </w:p>
        </w:tc>
      </w:tr>
      <w:tr w:rsidR="00E5452E" w:rsidRPr="009D4CD4" w14:paraId="53D7B311" w14:textId="77777777" w:rsidTr="001A19B0">
        <w:trPr>
          <w:trHeight w:hRule="exact" w:val="517"/>
        </w:trPr>
        <w:tc>
          <w:tcPr>
            <w:tcW w:w="7054" w:type="dxa"/>
            <w:shd w:val="clear" w:color="auto" w:fill="auto"/>
          </w:tcPr>
          <w:p w14:paraId="69CB2B82" w14:textId="77777777" w:rsidR="00E5452E" w:rsidRPr="009D4CD4" w:rsidRDefault="00E5452E" w:rsidP="00E5452E">
            <w:pPr>
              <w:spacing w:after="0" w:line="240" w:lineRule="auto"/>
              <w:ind w:right="140"/>
              <w:jc w:val="left"/>
              <w:rPr>
                <w:rFonts w:cs="Arial"/>
                <w:iCs/>
              </w:rPr>
            </w:pPr>
            <w:r w:rsidRPr="009D4CD4">
              <w:rPr>
                <w:rFonts w:cs="Arial"/>
                <w:iCs/>
              </w:rPr>
              <w:t>Note sur 10 de satisfaction des clients concernant l’écoute de leur interlocuteur du Crédit Agricole</w:t>
            </w:r>
          </w:p>
        </w:tc>
        <w:tc>
          <w:tcPr>
            <w:tcW w:w="1039" w:type="dxa"/>
            <w:shd w:val="clear" w:color="auto" w:fill="auto"/>
          </w:tcPr>
          <w:p w14:paraId="32511BA1" w14:textId="17DA6BFB" w:rsidR="00E5452E" w:rsidRPr="009D4CD4" w:rsidRDefault="00025530" w:rsidP="00E5452E">
            <w:pPr>
              <w:autoSpaceDE w:val="0"/>
              <w:autoSpaceDN w:val="0"/>
              <w:adjustRightInd w:val="0"/>
              <w:spacing w:after="0" w:line="240" w:lineRule="auto"/>
              <w:jc w:val="left"/>
              <w:rPr>
                <w:rFonts w:cs="Arial"/>
                <w:iCs/>
              </w:rPr>
            </w:pPr>
            <w:r>
              <w:rPr>
                <w:rFonts w:cs="Arial"/>
                <w:iCs/>
              </w:rPr>
              <w:t>8,7</w:t>
            </w:r>
          </w:p>
        </w:tc>
        <w:tc>
          <w:tcPr>
            <w:tcW w:w="1040" w:type="dxa"/>
          </w:tcPr>
          <w:p w14:paraId="6C9DBD90" w14:textId="270DA689" w:rsidR="00E5452E" w:rsidRPr="009D4CD4" w:rsidRDefault="00E5452E" w:rsidP="00E5452E">
            <w:pPr>
              <w:autoSpaceDE w:val="0"/>
              <w:autoSpaceDN w:val="0"/>
              <w:adjustRightInd w:val="0"/>
              <w:spacing w:after="0" w:line="240" w:lineRule="auto"/>
              <w:jc w:val="left"/>
              <w:rPr>
                <w:rFonts w:cs="Arial"/>
                <w:iCs/>
              </w:rPr>
            </w:pPr>
            <w:r w:rsidRPr="009D4CD4">
              <w:rPr>
                <w:rFonts w:cs="Arial"/>
                <w:iCs/>
              </w:rPr>
              <w:t>8,6</w:t>
            </w:r>
          </w:p>
        </w:tc>
        <w:tc>
          <w:tcPr>
            <w:tcW w:w="1040" w:type="dxa"/>
          </w:tcPr>
          <w:p w14:paraId="7A7E217D" w14:textId="7EFBC75A" w:rsidR="00E5452E" w:rsidRPr="009D4CD4" w:rsidRDefault="00E5452E" w:rsidP="00E5452E">
            <w:pPr>
              <w:autoSpaceDE w:val="0"/>
              <w:autoSpaceDN w:val="0"/>
              <w:adjustRightInd w:val="0"/>
              <w:spacing w:after="0" w:line="240" w:lineRule="auto"/>
              <w:jc w:val="left"/>
              <w:rPr>
                <w:rFonts w:cs="Arial"/>
                <w:iCs/>
              </w:rPr>
            </w:pPr>
            <w:r w:rsidRPr="009D4CD4">
              <w:rPr>
                <w:rFonts w:cs="Arial"/>
                <w:iCs/>
              </w:rPr>
              <w:t>8,4</w:t>
            </w:r>
          </w:p>
        </w:tc>
      </w:tr>
    </w:tbl>
    <w:p w14:paraId="14FD7A5B" w14:textId="052ADCDF" w:rsidR="00B72A61" w:rsidRPr="009D4CD4" w:rsidRDefault="005F5BBF" w:rsidP="005F5BBF">
      <w:pPr>
        <w:ind w:left="360"/>
        <w:rPr>
          <w:i/>
          <w:sz w:val="18"/>
          <w:szCs w:val="18"/>
        </w:rPr>
      </w:pPr>
      <w:r w:rsidRPr="009D4CD4">
        <w:rPr>
          <w:i/>
          <w:sz w:val="18"/>
          <w:szCs w:val="18"/>
        </w:rPr>
        <w:t>*Définition ci-dessous</w:t>
      </w:r>
    </w:p>
    <w:p w14:paraId="18A73FA7" w14:textId="4D9A6EB0" w:rsidR="00E8539C" w:rsidRPr="009D4CD4" w:rsidRDefault="00E8539C" w:rsidP="00E8539C">
      <w:pPr>
        <w:spacing w:after="0" w:line="240" w:lineRule="auto"/>
        <w:jc w:val="left"/>
      </w:pPr>
      <w:r w:rsidRPr="009D4CD4">
        <w:t>Des enquêtes sont proposées aux clients pour appréhender leur niveau de satisfaction. Ainsi en 2021, une vague de questionnaires a été adressée par courriel aux clients. La réponse à la question « </w:t>
      </w:r>
      <w:r w:rsidRPr="009D4CD4">
        <w:rPr>
          <w:i/>
          <w:iCs/>
        </w:rPr>
        <w:t>Suite au dernier contact que vous avez eu avec le Crédit Agricole Nord Midi-Pyrénées, recommanderiez-vous le Crédit Agricole à votre famille, un ami ou un collègue</w:t>
      </w:r>
      <w:r w:rsidRPr="009D4CD4">
        <w:rPr>
          <w:rFonts w:ascii="Tahoma" w:hAnsi="Tahoma" w:cs="Tahoma"/>
          <w:i/>
          <w:iCs/>
          <w:sz w:val="20"/>
          <w:szCs w:val="20"/>
          <w:lang w:eastAsia="fr-FR"/>
        </w:rPr>
        <w:t xml:space="preserve"> </w:t>
      </w:r>
      <w:r w:rsidRPr="009D4CD4">
        <w:t>» permet de calculer l’Indice de Recommandation Client (IRC) par différence entre le pourcentage des clients ayant attribué une note de 9 à 10 (promoteurs) et le pourcentage des clients ayant attribué une note de 0 à 6 (détracteurs). Quand la note est comprise entre 0 et 4, il est prévu que les Directeurs d’agence contactent les clients pour partager avec eux les raisons de leur méc</w:t>
      </w:r>
      <w:r w:rsidR="00932142">
        <w:t xml:space="preserve">ontentement et, si possible, </w:t>
      </w:r>
      <w:r w:rsidRPr="009D4CD4">
        <w:t>mettre en place des actions correctives.  L’enquête, adressée en 2021 à 252 447 clients particuliers, professionnels et agriculteurs, a généré un taux de réponse de 6,3 %.</w:t>
      </w:r>
    </w:p>
    <w:p w14:paraId="586CAAA5" w14:textId="0A84DA6A" w:rsidR="00AA583C" w:rsidRPr="009D4CD4" w:rsidRDefault="00E8539C" w:rsidP="00E8539C">
      <w:pPr>
        <w:spacing w:after="0" w:line="240" w:lineRule="auto"/>
        <w:jc w:val="left"/>
      </w:pPr>
      <w:r w:rsidRPr="009D4CD4">
        <w:t>Les résultats de cette enquête permettent également de mesurer la satisfaction des clients, notamment au niveau de l’écoute lors d’un contact avec un interlocuteur du Crédit Agricole</w:t>
      </w:r>
      <w:r w:rsidR="00932142">
        <w:t>.</w:t>
      </w:r>
    </w:p>
    <w:p w14:paraId="5BDB628E" w14:textId="77777777" w:rsidR="00B72A61" w:rsidRPr="009D4CD4" w:rsidRDefault="00B72A61" w:rsidP="00B72A61">
      <w:pPr>
        <w:spacing w:after="0" w:line="240" w:lineRule="auto"/>
        <w:jc w:val="left"/>
      </w:pPr>
    </w:p>
    <w:p w14:paraId="0A60C53F" w14:textId="77777777" w:rsidR="00B72A61" w:rsidRPr="009D4CD4" w:rsidRDefault="00B72A61" w:rsidP="00B72A61">
      <w:pPr>
        <w:spacing w:after="0" w:line="240" w:lineRule="auto"/>
        <w:jc w:val="left"/>
        <w:rPr>
          <w:u w:val="single"/>
        </w:rPr>
      </w:pPr>
      <w:r w:rsidRPr="009D4CD4">
        <w:rPr>
          <w:u w:val="single"/>
        </w:rPr>
        <w:t>Le traitement des réclamations</w:t>
      </w:r>
    </w:p>
    <w:p w14:paraId="199D60EC" w14:textId="77777777" w:rsidR="00E8539C" w:rsidRPr="009D4CD4" w:rsidRDefault="00E8539C" w:rsidP="00B72A61">
      <w:pPr>
        <w:spacing w:after="0" w:line="240" w:lineRule="auto"/>
        <w:jc w:val="left"/>
        <w:rPr>
          <w:rFonts w:cs="Arial"/>
          <w:iCs/>
        </w:rPr>
      </w:pPr>
    </w:p>
    <w:tbl>
      <w:tblPr>
        <w:tblW w:w="10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1086"/>
        <w:gridCol w:w="945"/>
        <w:gridCol w:w="945"/>
      </w:tblGrid>
      <w:tr w:rsidR="00E5452E" w:rsidRPr="009D4CD4" w14:paraId="7ECD3A1F" w14:textId="77777777" w:rsidTr="00523615">
        <w:trPr>
          <w:trHeight w:hRule="exact" w:val="284"/>
          <w:jc w:val="center"/>
        </w:trPr>
        <w:tc>
          <w:tcPr>
            <w:tcW w:w="7338" w:type="dxa"/>
            <w:tcBorders>
              <w:top w:val="nil"/>
              <w:left w:val="nil"/>
              <w:bottom w:val="single" w:sz="4" w:space="0" w:color="auto"/>
              <w:right w:val="single" w:sz="4" w:space="0" w:color="auto"/>
            </w:tcBorders>
            <w:shd w:val="clear" w:color="auto" w:fill="auto"/>
          </w:tcPr>
          <w:p w14:paraId="4B825E22" w14:textId="77777777" w:rsidR="00E5452E" w:rsidRPr="009D4CD4" w:rsidRDefault="00E5452E" w:rsidP="00E5452E">
            <w:pPr>
              <w:spacing w:after="0" w:line="240" w:lineRule="auto"/>
              <w:ind w:right="140"/>
              <w:jc w:val="left"/>
              <w:rPr>
                <w:rFonts w:eastAsia="Times New Roman" w:cs="Arial"/>
              </w:rPr>
            </w:pPr>
            <w:r w:rsidRPr="009D4CD4">
              <w:rPr>
                <w:rFonts w:eastAsia="Times New Roman" w:cs="Arial"/>
                <w:b/>
                <w:i/>
              </w:rPr>
              <w:t>Les chiffres – clé</w:t>
            </w:r>
          </w:p>
        </w:tc>
        <w:tc>
          <w:tcPr>
            <w:tcW w:w="1086" w:type="dxa"/>
            <w:tcBorders>
              <w:left w:val="single" w:sz="4" w:space="0" w:color="auto"/>
            </w:tcBorders>
            <w:shd w:val="clear" w:color="auto" w:fill="auto"/>
          </w:tcPr>
          <w:p w14:paraId="6362174A" w14:textId="07A2BEDC" w:rsidR="00E5452E" w:rsidRPr="009D4CD4" w:rsidRDefault="00E5452E" w:rsidP="00E5452E">
            <w:pPr>
              <w:spacing w:after="0" w:line="240" w:lineRule="auto"/>
              <w:ind w:right="140"/>
              <w:jc w:val="left"/>
              <w:rPr>
                <w:rFonts w:eastAsia="Times New Roman" w:cs="Arial"/>
                <w:b/>
              </w:rPr>
            </w:pPr>
            <w:r w:rsidRPr="009D4CD4">
              <w:rPr>
                <w:rFonts w:eastAsia="Times New Roman" w:cs="Arial"/>
                <w:b/>
              </w:rPr>
              <w:t>2021</w:t>
            </w:r>
          </w:p>
        </w:tc>
        <w:tc>
          <w:tcPr>
            <w:tcW w:w="945" w:type="dxa"/>
          </w:tcPr>
          <w:p w14:paraId="45246306" w14:textId="43AB5CE2" w:rsidR="00E5452E" w:rsidRPr="009D4CD4" w:rsidRDefault="00E5452E" w:rsidP="00E5452E">
            <w:pPr>
              <w:spacing w:after="0" w:line="240" w:lineRule="auto"/>
              <w:ind w:right="140"/>
              <w:jc w:val="left"/>
              <w:rPr>
                <w:rFonts w:eastAsia="Times New Roman" w:cs="Arial"/>
                <w:b/>
              </w:rPr>
            </w:pPr>
            <w:r w:rsidRPr="009D4CD4">
              <w:rPr>
                <w:rFonts w:eastAsia="Times New Roman" w:cs="Arial"/>
                <w:b/>
              </w:rPr>
              <w:t>2020</w:t>
            </w:r>
          </w:p>
        </w:tc>
        <w:tc>
          <w:tcPr>
            <w:tcW w:w="945" w:type="dxa"/>
          </w:tcPr>
          <w:p w14:paraId="1FF7C1A9" w14:textId="31DEF0D4" w:rsidR="00E5452E" w:rsidRPr="009D4CD4" w:rsidRDefault="00E5452E" w:rsidP="00E5452E">
            <w:pPr>
              <w:spacing w:after="0" w:line="240" w:lineRule="auto"/>
              <w:ind w:right="140"/>
              <w:jc w:val="left"/>
              <w:rPr>
                <w:rFonts w:eastAsia="Times New Roman" w:cs="Arial"/>
                <w:b/>
              </w:rPr>
            </w:pPr>
            <w:r w:rsidRPr="009D4CD4">
              <w:rPr>
                <w:rFonts w:eastAsia="Times New Roman" w:cs="Arial"/>
                <w:b/>
              </w:rPr>
              <w:t>2019</w:t>
            </w:r>
          </w:p>
        </w:tc>
      </w:tr>
      <w:tr w:rsidR="00E5452E" w:rsidRPr="009D4CD4" w14:paraId="6A1FDDF1" w14:textId="77777777" w:rsidTr="00523615">
        <w:trPr>
          <w:trHeight w:hRule="exact" w:val="284"/>
          <w:jc w:val="center"/>
        </w:trPr>
        <w:tc>
          <w:tcPr>
            <w:tcW w:w="7338" w:type="dxa"/>
            <w:shd w:val="clear" w:color="auto" w:fill="auto"/>
          </w:tcPr>
          <w:p w14:paraId="223BAD47" w14:textId="13FCB855" w:rsidR="00E5452E" w:rsidRPr="009D4CD4" w:rsidRDefault="00E5452E" w:rsidP="00E5452E">
            <w:pPr>
              <w:spacing w:after="0" w:line="240" w:lineRule="auto"/>
              <w:ind w:right="140"/>
              <w:jc w:val="left"/>
              <w:rPr>
                <w:rFonts w:eastAsia="Times New Roman" w:cs="Arial"/>
              </w:rPr>
            </w:pPr>
            <w:r w:rsidRPr="009D4CD4">
              <w:rPr>
                <w:rFonts w:eastAsia="Times New Roman" w:cs="Arial"/>
              </w:rPr>
              <w:t>Réclamations totales</w:t>
            </w:r>
            <w:r w:rsidR="00C1743C" w:rsidRPr="009D4CD4">
              <w:rPr>
                <w:rFonts w:eastAsia="Times New Roman" w:cs="Arial"/>
              </w:rPr>
              <w:t>, y compris demandes complexes (nombre)</w:t>
            </w:r>
          </w:p>
        </w:tc>
        <w:tc>
          <w:tcPr>
            <w:tcW w:w="1086" w:type="dxa"/>
            <w:shd w:val="clear" w:color="auto" w:fill="auto"/>
          </w:tcPr>
          <w:p w14:paraId="66733390" w14:textId="27853788" w:rsidR="00E5452E" w:rsidRPr="009D4CD4" w:rsidRDefault="00E8539C"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4 747</w:t>
            </w:r>
          </w:p>
        </w:tc>
        <w:tc>
          <w:tcPr>
            <w:tcW w:w="945" w:type="dxa"/>
          </w:tcPr>
          <w:p w14:paraId="6C8E130C" w14:textId="67E686AE"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4 628</w:t>
            </w:r>
          </w:p>
        </w:tc>
        <w:tc>
          <w:tcPr>
            <w:tcW w:w="945" w:type="dxa"/>
          </w:tcPr>
          <w:p w14:paraId="217D973E" w14:textId="7F39C8C9"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4 331</w:t>
            </w:r>
          </w:p>
        </w:tc>
      </w:tr>
      <w:tr w:rsidR="00E5452E" w:rsidRPr="009D4CD4" w14:paraId="28912572" w14:textId="77777777" w:rsidTr="00AD1496">
        <w:trPr>
          <w:trHeight w:hRule="exact" w:val="283"/>
          <w:jc w:val="center"/>
        </w:trPr>
        <w:tc>
          <w:tcPr>
            <w:tcW w:w="7338" w:type="dxa"/>
            <w:shd w:val="clear" w:color="auto" w:fill="auto"/>
          </w:tcPr>
          <w:p w14:paraId="63925E22" w14:textId="77777777" w:rsidR="00E5452E" w:rsidRPr="009D4CD4" w:rsidRDefault="00E5452E" w:rsidP="00E5452E">
            <w:pPr>
              <w:spacing w:after="0" w:line="240" w:lineRule="auto"/>
              <w:ind w:right="140"/>
              <w:jc w:val="left"/>
              <w:rPr>
                <w:rFonts w:eastAsia="Times New Roman" w:cs="Arial"/>
              </w:rPr>
            </w:pPr>
            <w:r w:rsidRPr="009D4CD4">
              <w:rPr>
                <w:rFonts w:eastAsia="Times New Roman" w:cs="Arial"/>
              </w:rPr>
              <w:t>Dont : réclamations traitées par le Service Clients</w:t>
            </w:r>
          </w:p>
        </w:tc>
        <w:tc>
          <w:tcPr>
            <w:tcW w:w="1086" w:type="dxa"/>
            <w:shd w:val="clear" w:color="auto" w:fill="auto"/>
          </w:tcPr>
          <w:p w14:paraId="42B2681A" w14:textId="0DB8ADC8" w:rsidR="00E5452E" w:rsidRPr="009D4CD4" w:rsidRDefault="00E8539C" w:rsidP="00AD1496">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w:t>
            </w:r>
            <w:r w:rsidR="00AD1496" w:rsidRPr="009D4CD4">
              <w:rPr>
                <w:rFonts w:eastAsia="Times New Roman" w:cs="Arial"/>
                <w:sz w:val="20"/>
                <w:szCs w:val="20"/>
              </w:rPr>
              <w:t xml:space="preserve"> 454</w:t>
            </w:r>
          </w:p>
          <w:p w14:paraId="01323AA9" w14:textId="66A4287E" w:rsidR="00E8539C" w:rsidRPr="009D4CD4" w:rsidRDefault="00E8539C" w:rsidP="00AD1496">
            <w:pPr>
              <w:autoSpaceDE w:val="0"/>
              <w:autoSpaceDN w:val="0"/>
              <w:adjustRightInd w:val="0"/>
              <w:spacing w:after="0" w:line="240" w:lineRule="auto"/>
              <w:jc w:val="left"/>
              <w:rPr>
                <w:rFonts w:eastAsia="Times New Roman" w:cs="Arial"/>
                <w:sz w:val="20"/>
                <w:szCs w:val="20"/>
              </w:rPr>
            </w:pPr>
          </w:p>
        </w:tc>
        <w:tc>
          <w:tcPr>
            <w:tcW w:w="945" w:type="dxa"/>
          </w:tcPr>
          <w:p w14:paraId="7F0125FB" w14:textId="26681B8F"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3 621</w:t>
            </w:r>
          </w:p>
        </w:tc>
        <w:tc>
          <w:tcPr>
            <w:tcW w:w="945" w:type="dxa"/>
          </w:tcPr>
          <w:p w14:paraId="6A1AFE0D" w14:textId="31BBE443"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3 028</w:t>
            </w:r>
          </w:p>
        </w:tc>
      </w:tr>
      <w:tr w:rsidR="00E5452E" w:rsidRPr="009D4CD4" w14:paraId="67D5CC34" w14:textId="77777777" w:rsidTr="00523615">
        <w:trPr>
          <w:trHeight w:hRule="exact" w:val="284"/>
          <w:jc w:val="center"/>
        </w:trPr>
        <w:tc>
          <w:tcPr>
            <w:tcW w:w="7338" w:type="dxa"/>
            <w:shd w:val="clear" w:color="auto" w:fill="auto"/>
          </w:tcPr>
          <w:p w14:paraId="63564F64" w14:textId="77777777" w:rsidR="00E5452E" w:rsidRPr="009D4CD4" w:rsidRDefault="00E5452E" w:rsidP="00E5452E">
            <w:pPr>
              <w:spacing w:after="0" w:line="240" w:lineRule="auto"/>
              <w:ind w:right="140"/>
              <w:jc w:val="left"/>
              <w:rPr>
                <w:rFonts w:eastAsia="Times New Roman" w:cs="Arial"/>
              </w:rPr>
            </w:pPr>
            <w:r w:rsidRPr="009D4CD4">
              <w:rPr>
                <w:rFonts w:eastAsia="Times New Roman" w:cs="Arial"/>
              </w:rPr>
              <w:tab/>
              <w:t>Dont : réclamations des Particuliers traitées par le Service Clients</w:t>
            </w:r>
          </w:p>
        </w:tc>
        <w:tc>
          <w:tcPr>
            <w:tcW w:w="1086" w:type="dxa"/>
            <w:shd w:val="clear" w:color="auto" w:fill="auto"/>
          </w:tcPr>
          <w:p w14:paraId="0130AC63" w14:textId="128689D9" w:rsidR="00E5452E" w:rsidRPr="009D4CD4" w:rsidRDefault="00DE2469"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2 875</w:t>
            </w:r>
          </w:p>
        </w:tc>
        <w:tc>
          <w:tcPr>
            <w:tcW w:w="945" w:type="dxa"/>
          </w:tcPr>
          <w:p w14:paraId="43520B83" w14:textId="33793A8A"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3 077</w:t>
            </w:r>
          </w:p>
        </w:tc>
        <w:tc>
          <w:tcPr>
            <w:tcW w:w="945" w:type="dxa"/>
          </w:tcPr>
          <w:p w14:paraId="3D906740" w14:textId="1FDAFD99"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2 591</w:t>
            </w:r>
          </w:p>
        </w:tc>
      </w:tr>
      <w:tr w:rsidR="00E5452E" w:rsidRPr="009D4CD4" w14:paraId="05EC3223" w14:textId="77777777" w:rsidTr="00523615">
        <w:trPr>
          <w:trHeight w:hRule="exact" w:val="284"/>
          <w:jc w:val="center"/>
        </w:trPr>
        <w:tc>
          <w:tcPr>
            <w:tcW w:w="7338" w:type="dxa"/>
            <w:shd w:val="clear" w:color="auto" w:fill="auto"/>
          </w:tcPr>
          <w:p w14:paraId="1007CB73" w14:textId="77777777" w:rsidR="00E5452E" w:rsidRPr="009D4CD4" w:rsidRDefault="00E5452E" w:rsidP="00E5452E">
            <w:pPr>
              <w:spacing w:after="0" w:line="240" w:lineRule="auto"/>
              <w:ind w:right="140"/>
              <w:jc w:val="left"/>
              <w:rPr>
                <w:rFonts w:eastAsia="Times New Roman" w:cs="Arial"/>
              </w:rPr>
            </w:pPr>
            <w:r w:rsidRPr="009D4CD4">
              <w:rPr>
                <w:rFonts w:eastAsia="Times New Roman" w:cs="Arial"/>
              </w:rPr>
              <w:tab/>
              <w:t>% de Particuliers réclamants (traitement par le service Clients)</w:t>
            </w:r>
          </w:p>
        </w:tc>
        <w:tc>
          <w:tcPr>
            <w:tcW w:w="1086" w:type="dxa"/>
            <w:shd w:val="clear" w:color="auto" w:fill="auto"/>
          </w:tcPr>
          <w:p w14:paraId="1614A51D" w14:textId="3C1176AB" w:rsidR="00E5452E" w:rsidRPr="009D4CD4" w:rsidRDefault="00F84FA2"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0,41 %</w:t>
            </w:r>
          </w:p>
        </w:tc>
        <w:tc>
          <w:tcPr>
            <w:tcW w:w="945" w:type="dxa"/>
          </w:tcPr>
          <w:p w14:paraId="310F1510" w14:textId="35B11B53"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0,44 %</w:t>
            </w:r>
          </w:p>
        </w:tc>
        <w:tc>
          <w:tcPr>
            <w:tcW w:w="945" w:type="dxa"/>
          </w:tcPr>
          <w:p w14:paraId="2AA7E440" w14:textId="31727129"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0,42</w:t>
            </w:r>
            <w:r w:rsidR="0015463C">
              <w:rPr>
                <w:rFonts w:eastAsia="Times New Roman" w:cs="Arial"/>
                <w:sz w:val="20"/>
                <w:szCs w:val="20"/>
              </w:rPr>
              <w:t xml:space="preserve"> </w:t>
            </w:r>
            <w:r w:rsidRPr="009D4CD4">
              <w:rPr>
                <w:rFonts w:eastAsia="Times New Roman" w:cs="Arial"/>
                <w:sz w:val="20"/>
                <w:szCs w:val="20"/>
              </w:rPr>
              <w:t>%</w:t>
            </w:r>
          </w:p>
        </w:tc>
      </w:tr>
      <w:tr w:rsidR="00E5452E" w:rsidRPr="009D4CD4" w14:paraId="1B698FD7" w14:textId="77777777" w:rsidTr="00523615">
        <w:trPr>
          <w:trHeight w:hRule="exact" w:val="284"/>
          <w:jc w:val="center"/>
        </w:trPr>
        <w:tc>
          <w:tcPr>
            <w:tcW w:w="7338" w:type="dxa"/>
            <w:shd w:val="clear" w:color="auto" w:fill="auto"/>
          </w:tcPr>
          <w:p w14:paraId="514C15BF" w14:textId="77777777" w:rsidR="00E5452E" w:rsidRPr="009D4CD4" w:rsidRDefault="00E5452E" w:rsidP="00E5452E">
            <w:pPr>
              <w:spacing w:after="0" w:line="240" w:lineRule="auto"/>
              <w:ind w:right="140"/>
              <w:jc w:val="left"/>
              <w:rPr>
                <w:rFonts w:eastAsia="Times New Roman" w:cs="Arial"/>
              </w:rPr>
            </w:pPr>
            <w:r w:rsidRPr="009D4CD4">
              <w:rPr>
                <w:rFonts w:eastAsia="Times New Roman" w:cs="Arial"/>
              </w:rPr>
              <w:t>Délai de traitement par le service Clients, tous marchés (Jours ouvrés)</w:t>
            </w:r>
          </w:p>
        </w:tc>
        <w:tc>
          <w:tcPr>
            <w:tcW w:w="1086" w:type="dxa"/>
            <w:shd w:val="clear" w:color="auto" w:fill="auto"/>
          </w:tcPr>
          <w:p w14:paraId="6EEB2098" w14:textId="3973EF4E" w:rsidR="00E5452E" w:rsidRPr="009D4CD4" w:rsidRDefault="00C1743C"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13,9</w:t>
            </w:r>
          </w:p>
        </w:tc>
        <w:tc>
          <w:tcPr>
            <w:tcW w:w="945" w:type="dxa"/>
          </w:tcPr>
          <w:p w14:paraId="4D4E49C0" w14:textId="01CCC425" w:rsidR="00E5452E" w:rsidRPr="009D4CD4" w:rsidRDefault="00C1743C"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14,0</w:t>
            </w:r>
          </w:p>
        </w:tc>
        <w:tc>
          <w:tcPr>
            <w:tcW w:w="945" w:type="dxa"/>
          </w:tcPr>
          <w:p w14:paraId="4F701F32" w14:textId="44815580" w:rsidR="00E5452E" w:rsidRPr="009D4CD4" w:rsidRDefault="00C1743C"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12,1</w:t>
            </w:r>
          </w:p>
        </w:tc>
      </w:tr>
      <w:tr w:rsidR="00E5452E" w:rsidRPr="009D4CD4" w14:paraId="441E3FDF" w14:textId="77777777" w:rsidTr="00523615">
        <w:trPr>
          <w:trHeight w:hRule="exact" w:val="284"/>
          <w:jc w:val="center"/>
        </w:trPr>
        <w:tc>
          <w:tcPr>
            <w:tcW w:w="7338" w:type="dxa"/>
            <w:shd w:val="clear" w:color="auto" w:fill="auto"/>
          </w:tcPr>
          <w:p w14:paraId="3BBFFA4E" w14:textId="77777777" w:rsidR="00E5452E" w:rsidRPr="009D4CD4" w:rsidRDefault="00E5452E" w:rsidP="00E5452E">
            <w:pPr>
              <w:spacing w:after="0" w:line="240" w:lineRule="auto"/>
              <w:ind w:right="140"/>
              <w:jc w:val="left"/>
              <w:rPr>
                <w:rFonts w:eastAsia="Times New Roman" w:cs="Arial"/>
              </w:rPr>
            </w:pPr>
            <w:r w:rsidRPr="009D4CD4">
              <w:rPr>
                <w:rFonts w:eastAsia="Times New Roman" w:cs="Arial"/>
              </w:rPr>
              <w:t>Nombre de clients ayant saisi le médiateur</w:t>
            </w:r>
          </w:p>
        </w:tc>
        <w:tc>
          <w:tcPr>
            <w:tcW w:w="1086" w:type="dxa"/>
            <w:shd w:val="clear" w:color="auto" w:fill="auto"/>
          </w:tcPr>
          <w:p w14:paraId="6AFF6417" w14:textId="77777777" w:rsidR="00E5452E" w:rsidRPr="009D4CD4" w:rsidRDefault="00AD1496"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29</w:t>
            </w:r>
          </w:p>
          <w:p w14:paraId="4EF25BF3" w14:textId="01BDD775" w:rsidR="00AD1496" w:rsidRPr="009D4CD4" w:rsidRDefault="00AD1496" w:rsidP="00E5452E">
            <w:pPr>
              <w:autoSpaceDE w:val="0"/>
              <w:autoSpaceDN w:val="0"/>
              <w:adjustRightInd w:val="0"/>
              <w:spacing w:after="0" w:line="240" w:lineRule="auto"/>
              <w:jc w:val="left"/>
              <w:rPr>
                <w:rFonts w:eastAsia="Times New Roman" w:cs="Arial"/>
                <w:sz w:val="20"/>
                <w:szCs w:val="20"/>
              </w:rPr>
            </w:pPr>
          </w:p>
        </w:tc>
        <w:tc>
          <w:tcPr>
            <w:tcW w:w="945" w:type="dxa"/>
          </w:tcPr>
          <w:p w14:paraId="42BE5C68" w14:textId="7F44075D"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28</w:t>
            </w:r>
          </w:p>
        </w:tc>
        <w:tc>
          <w:tcPr>
            <w:tcW w:w="945" w:type="dxa"/>
          </w:tcPr>
          <w:p w14:paraId="1BEBE789" w14:textId="50973E6A" w:rsidR="00E5452E" w:rsidRPr="009D4CD4" w:rsidRDefault="00E5452E" w:rsidP="00E5452E">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24</w:t>
            </w:r>
          </w:p>
        </w:tc>
      </w:tr>
    </w:tbl>
    <w:p w14:paraId="2C24735A" w14:textId="77777777" w:rsidR="00C1743C" w:rsidRPr="009D4CD4" w:rsidRDefault="00C1743C" w:rsidP="00E615AD">
      <w:pPr>
        <w:spacing w:after="0" w:line="240" w:lineRule="auto"/>
        <w:jc w:val="left"/>
      </w:pPr>
    </w:p>
    <w:p w14:paraId="64842EF2" w14:textId="28A7102E" w:rsidR="00E615AD" w:rsidRPr="009D4CD4" w:rsidRDefault="00E615AD" w:rsidP="00E615AD">
      <w:pPr>
        <w:spacing w:after="0" w:line="240" w:lineRule="auto"/>
        <w:jc w:val="left"/>
      </w:pPr>
      <w:r w:rsidRPr="009D4CD4">
        <w:t>L’interlocuteur principal est celui qui reçoit la réclamation, quelle que soit sa position, le directeur d’agence veillant au bon traitement. Les réclamations peuvent être formulées par différents moyens : courrier, téléphone (numéro dédié non surtaxé), en face à face, par mail agence, par mail directement au service client, ou par formulaire accessible sur https://www.credit-agricole.fr/ca-nmp. Les réclamations écrites sont centralisées et traitées par le service Clients. Le client réclamant reçoit sous 48 h soit une réponse, soit un accusé de réception avec un engagement de réponse dans les 17 jours calendaires. Conformément à la réglementation, le client est tenu informé de l’avancement de son dossier quand il ne reçoit pas de réponse dans ce délai. Les litiges irrésolus peuvent être portés devant le Médiateur (bancaire, assurance ou AMF) soit directement, soit en accédant sur le site du médiateur via https://www.credit-agricole.fr/ca-nmp. Les clients peuvent retrouver toutes les informations relatives au dispositif de gestion des réclamations à plusieurs endroits : affichage en agence ; communication dans les supports d’information tarifaire et les conventions de compte ; site https://www.credit-agricole.fr/ca-nmp.</w:t>
      </w:r>
    </w:p>
    <w:p w14:paraId="1A85582E" w14:textId="77777777" w:rsidR="00B72A61" w:rsidRPr="009D4CD4" w:rsidRDefault="00B72A61" w:rsidP="00B72A61">
      <w:pPr>
        <w:spacing w:after="0" w:line="240" w:lineRule="auto"/>
        <w:jc w:val="left"/>
      </w:pPr>
    </w:p>
    <w:p w14:paraId="3484E0BB" w14:textId="0F23BAA9" w:rsidR="00E615AD" w:rsidRPr="009D4CD4" w:rsidRDefault="00E615AD" w:rsidP="00E615AD">
      <w:pPr>
        <w:spacing w:after="0" w:line="240" w:lineRule="auto"/>
        <w:jc w:val="left"/>
      </w:pPr>
      <w:r w:rsidRPr="009D4CD4">
        <w:t xml:space="preserve">La </w:t>
      </w:r>
      <w:r w:rsidR="00A7717F">
        <w:t>Caisse Régionale</w:t>
      </w:r>
      <w:r w:rsidRPr="009D4CD4">
        <w:t xml:space="preserve"> est dotée d’un outil informatique de traitement des réclamations, tous canaux de communication confondus. Le principe est de saisir, en agence et dans les services, toute réclamation écrite par courrier, mail ou formulaire, ainsi que les réclamations exprimées oralement (par téléphone ou en face à face) ne pouvant être traitées immédiatement. L’objectif est d’améliorer le traçage et le traitement des dossiers, de faciliter leur transfert dans les unités compétentes, de fluidifier la communication entre les acteurs concernés et d’éviter les échanges de supports papier. En outre, ce traçage permet également de détecter des dysfonctionnements. Il répond aux obligations réglementaires. </w:t>
      </w:r>
    </w:p>
    <w:p w14:paraId="524BA939" w14:textId="77777777" w:rsidR="00B72A61" w:rsidRPr="009D4CD4" w:rsidRDefault="00B72A61" w:rsidP="00B72A61">
      <w:pPr>
        <w:spacing w:after="0" w:line="240" w:lineRule="auto"/>
        <w:jc w:val="left"/>
      </w:pPr>
    </w:p>
    <w:p w14:paraId="765CEC3C" w14:textId="77777777" w:rsidR="00E615AD" w:rsidRPr="009D4CD4" w:rsidRDefault="00E615AD" w:rsidP="00E615AD">
      <w:pPr>
        <w:spacing w:after="0" w:line="240" w:lineRule="auto"/>
        <w:jc w:val="left"/>
      </w:pPr>
      <w:r w:rsidRPr="009D4CD4">
        <w:t>En 2021, les principaux motifs des réclamations traitées par le service clients portaient sur les domaines :</w:t>
      </w:r>
    </w:p>
    <w:p w14:paraId="65DFC217" w14:textId="77777777" w:rsidR="00E615AD" w:rsidRPr="009D4CD4" w:rsidRDefault="00E615AD" w:rsidP="00E615AD">
      <w:pPr>
        <w:spacing w:after="0" w:line="240" w:lineRule="auto"/>
        <w:jc w:val="left"/>
      </w:pPr>
      <w:r w:rsidRPr="009D4CD4">
        <w:t>Fraude, Assurance, Moyen de paiement, Comptes et Services et Opération agence.</w:t>
      </w:r>
    </w:p>
    <w:p w14:paraId="4174DA3E" w14:textId="77777777" w:rsidR="00E615AD" w:rsidRPr="009D4CD4" w:rsidRDefault="00E615AD" w:rsidP="00B72A61">
      <w:pPr>
        <w:spacing w:after="0" w:line="240" w:lineRule="auto"/>
        <w:jc w:val="left"/>
        <w:rPr>
          <w:rFonts w:cs="Arial"/>
          <w:u w:val="single"/>
        </w:rPr>
      </w:pPr>
    </w:p>
    <w:p w14:paraId="084FAFC8" w14:textId="070E0F7D" w:rsidR="00B72A61" w:rsidRPr="009D4CD4" w:rsidRDefault="00E16137" w:rsidP="00B72A61">
      <w:pPr>
        <w:spacing w:after="0" w:line="240" w:lineRule="auto"/>
        <w:jc w:val="left"/>
        <w:rPr>
          <w:rFonts w:cs="Arial"/>
          <w:u w:val="single"/>
        </w:rPr>
      </w:pPr>
      <w:r w:rsidRPr="009D4CD4">
        <w:rPr>
          <w:rFonts w:cs="Arial"/>
          <w:u w:val="single"/>
        </w:rPr>
        <w:t xml:space="preserve">L’écoute-clients </w:t>
      </w:r>
      <w:r w:rsidR="00B72A61" w:rsidRPr="009D4CD4">
        <w:rPr>
          <w:rFonts w:cs="Arial"/>
          <w:u w:val="single"/>
        </w:rPr>
        <w:t>lors des Assemblées générales et des Réunions d’information des Caisses locales</w:t>
      </w:r>
    </w:p>
    <w:p w14:paraId="0A93C88E" w14:textId="77777777" w:rsidR="00677357" w:rsidRDefault="00677357" w:rsidP="00B72A61">
      <w:pPr>
        <w:spacing w:after="0" w:line="240" w:lineRule="auto"/>
        <w:jc w:val="left"/>
        <w:rPr>
          <w:rFonts w:cs="Arial"/>
          <w:iCs/>
          <w:color w:val="FF0000"/>
        </w:rPr>
      </w:pPr>
    </w:p>
    <w:p w14:paraId="741739F6" w14:textId="71C0C007" w:rsidR="00545263" w:rsidRPr="009D4CD4" w:rsidRDefault="00B72A61" w:rsidP="00B72A61">
      <w:pPr>
        <w:spacing w:after="0" w:line="240" w:lineRule="auto"/>
        <w:jc w:val="left"/>
      </w:pPr>
      <w:r w:rsidRPr="009D4CD4">
        <w:rPr>
          <w:rFonts w:cs="Arial"/>
          <w:iCs/>
        </w:rPr>
        <w:t xml:space="preserve">Le Crédit Agricole Nord Midi-Pyrénées invite chaque année les sociétaires et les clients aux Assemblées générales et aux réunions d’information des Caisses locales. </w:t>
      </w:r>
      <w:r w:rsidRPr="009D4CD4">
        <w:t>Cette occasion de dialogue direct avec les dirigeants représente un moment privilégié dans le dispositif d’écoute-clients.</w:t>
      </w:r>
      <w:r w:rsidR="000632D4" w:rsidRPr="009D4CD4">
        <w:t xml:space="preserve"> </w:t>
      </w:r>
    </w:p>
    <w:p w14:paraId="5535EB0A" w14:textId="26E67365" w:rsidR="00D01A03" w:rsidRPr="009D4CD4" w:rsidRDefault="00D72E91" w:rsidP="00D01A03">
      <w:pPr>
        <w:spacing w:after="0" w:line="240" w:lineRule="auto"/>
        <w:jc w:val="left"/>
      </w:pPr>
      <w:r w:rsidRPr="009D4CD4">
        <w:t xml:space="preserve">En 2021, en raison de la </w:t>
      </w:r>
      <w:r w:rsidR="000632D4" w:rsidRPr="009D4CD4">
        <w:t>situation sanitaire</w:t>
      </w:r>
      <w:r w:rsidR="004B7431">
        <w:t>,</w:t>
      </w:r>
      <w:r w:rsidR="000632D4" w:rsidRPr="009D4CD4">
        <w:t xml:space="preserve"> </w:t>
      </w:r>
      <w:r w:rsidRPr="009D4CD4">
        <w:t>toutes les caisses locales ont tenu leur Assemblée générale à huis clos</w:t>
      </w:r>
      <w:r w:rsidR="00704A20" w:rsidRPr="009D4CD4">
        <w:t>.</w:t>
      </w:r>
      <w:r w:rsidRPr="009D4CD4">
        <w:t xml:space="preserve"> La convocation à l’Assemblée, papier ou électronique, permettait aux sociétaires de poser des questions. Un système de vote électronique a permis aux sociétaires de participer plus activement à l’Assemblée générale.</w:t>
      </w:r>
      <w:r w:rsidR="00B72A61" w:rsidRPr="009D4CD4">
        <w:br/>
      </w:r>
    </w:p>
    <w:p w14:paraId="1086B5ED" w14:textId="41C527CC" w:rsidR="00D01A03" w:rsidRPr="009D4CD4" w:rsidRDefault="00D01A03" w:rsidP="00D01A03">
      <w:pPr>
        <w:numPr>
          <w:ilvl w:val="0"/>
          <w:numId w:val="4"/>
        </w:numPr>
        <w:spacing w:after="0" w:line="240" w:lineRule="auto"/>
        <w:jc w:val="left"/>
        <w:rPr>
          <w:rFonts w:cs="Arial"/>
        </w:rPr>
      </w:pPr>
      <w:r w:rsidRPr="009D4CD4">
        <w:rPr>
          <w:rFonts w:cs="Arial"/>
        </w:rPr>
        <w:t>Les filiales Edokial et Inforsud Technologies</w:t>
      </w:r>
      <w:r w:rsidR="001F1BBD" w:rsidRPr="009D4CD4">
        <w:rPr>
          <w:rFonts w:cs="Arial"/>
        </w:rPr>
        <w:t xml:space="preserve"> (IST)</w:t>
      </w:r>
    </w:p>
    <w:p w14:paraId="6C1F28F0" w14:textId="77777777" w:rsidR="00E909B6" w:rsidRPr="009D4CD4" w:rsidRDefault="00E909B6" w:rsidP="00E909B6">
      <w:pPr>
        <w:spacing w:after="0" w:line="240" w:lineRule="auto"/>
        <w:jc w:val="left"/>
      </w:pPr>
    </w:p>
    <w:p w14:paraId="39D4D5CD" w14:textId="2A6126ED" w:rsidR="00E909B6" w:rsidRPr="009D4CD4" w:rsidRDefault="00E909B6" w:rsidP="00E909B6">
      <w:pPr>
        <w:spacing w:after="0" w:line="240" w:lineRule="auto"/>
        <w:jc w:val="left"/>
      </w:pPr>
      <w:r w:rsidRPr="009D4CD4">
        <w:t>Le traitement des réclamations</w:t>
      </w:r>
    </w:p>
    <w:p w14:paraId="1AFE1007" w14:textId="4585C08C" w:rsidR="00D01A03" w:rsidRPr="009D4CD4" w:rsidRDefault="00D01A03" w:rsidP="00D01A03">
      <w:pPr>
        <w:spacing w:after="0" w:line="240" w:lineRule="auto"/>
        <w:jc w:val="left"/>
      </w:pPr>
    </w:p>
    <w:p w14:paraId="37388A22" w14:textId="269DC7F8" w:rsidR="00E909B6" w:rsidRPr="009D4CD4" w:rsidRDefault="00E909B6" w:rsidP="00D01A03">
      <w:pPr>
        <w:spacing w:after="0" w:line="240" w:lineRule="auto"/>
        <w:jc w:val="left"/>
      </w:pPr>
      <w:r w:rsidRPr="009D4CD4">
        <w:t>Edokial</w:t>
      </w:r>
    </w:p>
    <w:p w14:paraId="291A8AFD" w14:textId="5F23080F" w:rsidR="00E909B6" w:rsidRPr="009D4CD4" w:rsidRDefault="00E909B6" w:rsidP="00E909B6">
      <w:pPr>
        <w:spacing w:after="0" w:line="240" w:lineRule="auto"/>
        <w:jc w:val="left"/>
      </w:pPr>
      <w:r w:rsidRPr="009D4CD4">
        <w:rPr>
          <w:rFonts w:cs="Arial"/>
        </w:rPr>
        <w:t>Soucieux de la performance et de la qualité de service rendu au client, Edokial traite les réclamations dans le cadre d’une démarche d’amélioration de la qualité. L’objectif est d’apporter une réponse rapide aux clients et d’améliorer les processus</w:t>
      </w:r>
      <w:r w:rsidRPr="009D4CD4">
        <w:t>.</w:t>
      </w:r>
    </w:p>
    <w:p w14:paraId="515C314D" w14:textId="063B2EB1" w:rsidR="00E909B6" w:rsidRPr="009D4CD4" w:rsidRDefault="00E909B6" w:rsidP="003940C7">
      <w:pPr>
        <w:spacing w:after="0" w:line="240" w:lineRule="auto"/>
        <w:jc w:val="left"/>
      </w:pPr>
      <w:r w:rsidRPr="009D4CD4">
        <w:t>L’ensemble des réclamations est analysé, et la consolidation est présentée en comité de fonctionnement, puis en synthèse lors du Comité de direction. Le coût de la non-qualité est remonté dans le cadre du s</w:t>
      </w:r>
      <w:r w:rsidR="003940C7" w:rsidRPr="009D4CD4">
        <w:t>uivi des risques opérationnels.</w:t>
      </w:r>
    </w:p>
    <w:p w14:paraId="19140B70" w14:textId="77777777" w:rsidR="00E909B6" w:rsidRPr="009D4CD4" w:rsidRDefault="00E909B6" w:rsidP="00D01A03">
      <w:pPr>
        <w:spacing w:after="0" w:line="240" w:lineRule="auto"/>
        <w:jc w:val="left"/>
      </w:pPr>
    </w:p>
    <w:p w14:paraId="3085B712" w14:textId="5E784A62" w:rsidR="00D01A03" w:rsidRPr="009D4CD4" w:rsidRDefault="00E909B6" w:rsidP="003940C7">
      <w:pPr>
        <w:spacing w:after="0" w:line="240" w:lineRule="auto"/>
        <w:jc w:val="left"/>
      </w:pPr>
      <w:r w:rsidRPr="009D4CD4">
        <w:t>iST</w:t>
      </w:r>
    </w:p>
    <w:p w14:paraId="1736B635" w14:textId="687C92DE" w:rsidR="00D01A03" w:rsidRPr="009D4CD4" w:rsidRDefault="00E909B6" w:rsidP="003940C7">
      <w:pPr>
        <w:spacing w:after="0" w:line="240" w:lineRule="auto"/>
      </w:pPr>
      <w:r w:rsidRPr="009D4CD4">
        <w:t>Utilisation</w:t>
      </w:r>
      <w:r w:rsidR="003940C7" w:rsidRPr="009D4CD4">
        <w:t xml:space="preserve"> d’un logiciel de t</w:t>
      </w:r>
      <w:r w:rsidR="00D01A03" w:rsidRPr="009D4CD4">
        <w:rPr>
          <w:rFonts w:cs="Arial"/>
        </w:rPr>
        <w:t>icketing</w:t>
      </w:r>
      <w:r w:rsidR="00D01A03" w:rsidRPr="009D4CD4">
        <w:t xml:space="preserve">. Après chaque incident, le service support sollicite le client par mail afin qu’il exprime son niveau de satisfaction. En 2021, le taux de satisfaction s’est élevé à 99,52 %. Le taux de satisfaction est suivi de manière hebdomadaire lors de la réunion de suivi des responsables d’activité. Toute insatisfaction fait l’objet d’une étude par le Responsable Qualité afin d’améliorer les processus internes. </w:t>
      </w:r>
    </w:p>
    <w:p w14:paraId="28F8D6D0" w14:textId="77777777" w:rsidR="00D01A03" w:rsidRPr="009D4CD4" w:rsidRDefault="00D01A03" w:rsidP="00D01A03">
      <w:pPr>
        <w:spacing w:after="0" w:line="240" w:lineRule="auto"/>
        <w:jc w:val="left"/>
      </w:pPr>
    </w:p>
    <w:p w14:paraId="6D55AEF2" w14:textId="77777777" w:rsidR="00D01A03" w:rsidRPr="009D4CD4" w:rsidRDefault="00D01A03" w:rsidP="00D01A03">
      <w:pPr>
        <w:spacing w:after="0" w:line="240" w:lineRule="auto"/>
        <w:jc w:val="left"/>
        <w:rPr>
          <w:i/>
        </w:rPr>
      </w:pPr>
      <w:r w:rsidRPr="009D4CD4">
        <w:rPr>
          <w:i/>
        </w:rPr>
        <w:t>L’écoute client.</w:t>
      </w:r>
    </w:p>
    <w:p w14:paraId="0B255B66" w14:textId="77777777" w:rsidR="00D01A03" w:rsidRPr="009D4CD4" w:rsidRDefault="00D01A03" w:rsidP="00D01A03">
      <w:pPr>
        <w:spacing w:after="0" w:line="240" w:lineRule="auto"/>
        <w:jc w:val="left"/>
      </w:pPr>
    </w:p>
    <w:p w14:paraId="0F3DD656" w14:textId="52777A27" w:rsidR="00B72A61" w:rsidRPr="009D4CD4" w:rsidRDefault="00D01A03" w:rsidP="00D01A03">
      <w:pPr>
        <w:spacing w:after="0" w:line="240" w:lineRule="auto"/>
        <w:jc w:val="left"/>
      </w:pPr>
      <w:r w:rsidRPr="009D4CD4">
        <w:t>L’écoute client est également assurée à l’occasion d’enquêtes clients réalisé</w:t>
      </w:r>
      <w:r w:rsidR="004B7431">
        <w:t>es</w:t>
      </w:r>
      <w:r w:rsidRPr="009D4CD4">
        <w:t xml:space="preserve"> par le service Marketing. En 2021, une enquête de satisfaction a été réalisé</w:t>
      </w:r>
      <w:r w:rsidR="004B7431">
        <w:t>e</w:t>
      </w:r>
      <w:r w:rsidRPr="009D4CD4">
        <w:t xml:space="preserve"> avec un taux de réponse de 40</w:t>
      </w:r>
      <w:r w:rsidR="002B52CD" w:rsidRPr="009D4CD4">
        <w:t xml:space="preserve">,5 </w:t>
      </w:r>
      <w:r w:rsidRPr="009D4CD4">
        <w:t>%. Cette enquête révèle que 90</w:t>
      </w:r>
      <w:r w:rsidR="003152F6" w:rsidRPr="009D4CD4">
        <w:t>,2</w:t>
      </w:r>
      <w:r w:rsidRPr="009D4CD4">
        <w:t>% des clients sont satisfaits des services d’Inforsud Technologies.</w:t>
      </w:r>
    </w:p>
    <w:p w14:paraId="52544788" w14:textId="31E8842C" w:rsidR="00C97377" w:rsidRDefault="00C97377">
      <w:pPr>
        <w:spacing w:after="0" w:line="240" w:lineRule="auto"/>
        <w:jc w:val="left"/>
        <w:rPr>
          <w:u w:val="single"/>
        </w:rPr>
      </w:pPr>
      <w:r>
        <w:rPr>
          <w:u w:val="single"/>
        </w:rPr>
        <w:br w:type="page"/>
      </w:r>
    </w:p>
    <w:p w14:paraId="0648FF48" w14:textId="39BA84DD" w:rsidR="00B72A61" w:rsidRPr="009D4CD4" w:rsidRDefault="00B72A61" w:rsidP="00326D6D">
      <w:pPr>
        <w:pStyle w:val="Titre3"/>
      </w:pPr>
      <w:bookmarkStart w:id="30" w:name="_Toc96697971"/>
      <w:r w:rsidRPr="009D4CD4">
        <w:t>La démarche d’achats responsables</w:t>
      </w:r>
      <w:bookmarkEnd w:id="30"/>
    </w:p>
    <w:p w14:paraId="39761C96" w14:textId="77777777" w:rsidR="00B72A61" w:rsidRPr="009D4CD4" w:rsidRDefault="00B72A61" w:rsidP="00B72A61">
      <w:pPr>
        <w:spacing w:after="0" w:line="240" w:lineRule="auto"/>
        <w:jc w:val="left"/>
      </w:pPr>
    </w:p>
    <w:p w14:paraId="03337F83" w14:textId="32E1D57C" w:rsidR="00B72A61" w:rsidRPr="009D4CD4" w:rsidRDefault="00B72A61" w:rsidP="00F41917">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69AF6FF9" w14:textId="77777777" w:rsidR="00B72A61" w:rsidRPr="009D4CD4" w:rsidRDefault="00B72A61" w:rsidP="00B72A61">
      <w:pPr>
        <w:spacing w:after="0" w:line="240" w:lineRule="auto"/>
        <w:jc w:val="left"/>
        <w:rPr>
          <w:rFonts w:ascii="Tahoma" w:eastAsia="Times New Roman" w:hAnsi="Tahoma" w:cs="Tahoma"/>
          <w:sz w:val="20"/>
          <w:szCs w:val="20"/>
          <w:lang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4"/>
        <w:gridCol w:w="1247"/>
        <w:gridCol w:w="1276"/>
        <w:gridCol w:w="1134"/>
      </w:tblGrid>
      <w:tr w:rsidR="00652458" w:rsidRPr="009D4CD4" w14:paraId="66E88D18" w14:textId="77777777" w:rsidTr="00523615">
        <w:trPr>
          <w:trHeight w:hRule="exact" w:val="312"/>
          <w:jc w:val="center"/>
        </w:trPr>
        <w:tc>
          <w:tcPr>
            <w:tcW w:w="6374" w:type="dxa"/>
            <w:tcBorders>
              <w:top w:val="nil"/>
              <w:left w:val="nil"/>
              <w:bottom w:val="single" w:sz="4" w:space="0" w:color="auto"/>
              <w:right w:val="single" w:sz="4" w:space="0" w:color="auto"/>
            </w:tcBorders>
            <w:shd w:val="clear" w:color="auto" w:fill="auto"/>
          </w:tcPr>
          <w:p w14:paraId="0A6783D2" w14:textId="77777777" w:rsidR="00652458" w:rsidRPr="009D4CD4" w:rsidRDefault="00652458" w:rsidP="00652458">
            <w:pPr>
              <w:spacing w:after="0" w:line="240" w:lineRule="auto"/>
              <w:ind w:right="140"/>
              <w:jc w:val="left"/>
              <w:rPr>
                <w:rFonts w:eastAsia="Times New Roman" w:cs="Arial"/>
              </w:rPr>
            </w:pPr>
            <w:r w:rsidRPr="009D4CD4">
              <w:rPr>
                <w:rFonts w:eastAsia="Times New Roman" w:cs="Arial"/>
                <w:b/>
                <w:i/>
                <w:sz w:val="20"/>
                <w:szCs w:val="20"/>
              </w:rPr>
              <w:t>Les chiffres – clé</w:t>
            </w:r>
          </w:p>
        </w:tc>
        <w:tc>
          <w:tcPr>
            <w:tcW w:w="1247" w:type="dxa"/>
            <w:tcBorders>
              <w:left w:val="single" w:sz="4" w:space="0" w:color="auto"/>
            </w:tcBorders>
            <w:shd w:val="clear" w:color="auto" w:fill="auto"/>
          </w:tcPr>
          <w:p w14:paraId="4038CA08" w14:textId="106E15F9" w:rsidR="00652458" w:rsidRPr="009D4CD4" w:rsidRDefault="00652458" w:rsidP="00652458">
            <w:pPr>
              <w:spacing w:after="0" w:line="240" w:lineRule="auto"/>
              <w:ind w:right="140"/>
              <w:jc w:val="left"/>
              <w:rPr>
                <w:rFonts w:eastAsia="Times New Roman" w:cs="Arial"/>
                <w:b/>
              </w:rPr>
            </w:pPr>
            <w:r w:rsidRPr="009D4CD4">
              <w:rPr>
                <w:rFonts w:eastAsia="Times New Roman" w:cs="Arial"/>
                <w:b/>
              </w:rPr>
              <w:t>2021</w:t>
            </w:r>
          </w:p>
        </w:tc>
        <w:tc>
          <w:tcPr>
            <w:tcW w:w="1276" w:type="dxa"/>
            <w:shd w:val="clear" w:color="auto" w:fill="auto"/>
          </w:tcPr>
          <w:p w14:paraId="5DAB7E54" w14:textId="58F36581" w:rsidR="00652458" w:rsidRPr="009D4CD4" w:rsidRDefault="00652458" w:rsidP="00652458">
            <w:pPr>
              <w:spacing w:after="0" w:line="240" w:lineRule="auto"/>
              <w:ind w:right="140"/>
              <w:jc w:val="left"/>
              <w:rPr>
                <w:rFonts w:eastAsia="Times New Roman" w:cs="Arial"/>
                <w:b/>
              </w:rPr>
            </w:pPr>
            <w:r w:rsidRPr="009D4CD4">
              <w:rPr>
                <w:rFonts w:eastAsia="Times New Roman" w:cs="Arial"/>
                <w:b/>
              </w:rPr>
              <w:t>2020</w:t>
            </w:r>
          </w:p>
        </w:tc>
        <w:tc>
          <w:tcPr>
            <w:tcW w:w="1134" w:type="dxa"/>
            <w:shd w:val="clear" w:color="auto" w:fill="auto"/>
          </w:tcPr>
          <w:p w14:paraId="171A4C29" w14:textId="1F4F59F6" w:rsidR="00652458" w:rsidRPr="009D4CD4" w:rsidRDefault="00652458" w:rsidP="00652458">
            <w:pPr>
              <w:spacing w:after="0" w:line="240" w:lineRule="auto"/>
              <w:ind w:right="140"/>
              <w:jc w:val="left"/>
              <w:rPr>
                <w:rFonts w:eastAsia="Times New Roman" w:cs="Arial"/>
                <w:b/>
              </w:rPr>
            </w:pPr>
            <w:r w:rsidRPr="009D4CD4">
              <w:rPr>
                <w:rFonts w:eastAsia="Times New Roman" w:cs="Arial"/>
                <w:b/>
              </w:rPr>
              <w:t>2019</w:t>
            </w:r>
          </w:p>
        </w:tc>
      </w:tr>
      <w:tr w:rsidR="00652458" w:rsidRPr="009D4CD4" w14:paraId="66DC2C60" w14:textId="77777777" w:rsidTr="00523615">
        <w:trPr>
          <w:trHeight w:hRule="exact" w:val="284"/>
          <w:jc w:val="center"/>
        </w:trPr>
        <w:tc>
          <w:tcPr>
            <w:tcW w:w="6374" w:type="dxa"/>
            <w:tcBorders>
              <w:top w:val="single" w:sz="4" w:space="0" w:color="auto"/>
            </w:tcBorders>
            <w:shd w:val="clear" w:color="auto" w:fill="auto"/>
          </w:tcPr>
          <w:p w14:paraId="0279C783" w14:textId="77777777" w:rsidR="00652458" w:rsidRPr="009D4CD4" w:rsidRDefault="00652458" w:rsidP="00652458">
            <w:pPr>
              <w:spacing w:after="0" w:line="240" w:lineRule="auto"/>
              <w:ind w:right="140"/>
              <w:jc w:val="left"/>
              <w:rPr>
                <w:rFonts w:eastAsia="Times New Roman" w:cs="Arial"/>
              </w:rPr>
            </w:pPr>
            <w:r w:rsidRPr="009D4CD4">
              <w:rPr>
                <w:rFonts w:eastAsia="Times New Roman" w:cs="Arial"/>
                <w:sz w:val="20"/>
                <w:szCs w:val="20"/>
              </w:rPr>
              <w:t>Nombre d’appels d’offre et consultations d’entreprise (AO/CE)</w:t>
            </w:r>
          </w:p>
        </w:tc>
        <w:tc>
          <w:tcPr>
            <w:tcW w:w="1247" w:type="dxa"/>
            <w:shd w:val="clear" w:color="auto" w:fill="auto"/>
          </w:tcPr>
          <w:p w14:paraId="14E78E63" w14:textId="3965AA20" w:rsidR="00652458" w:rsidRPr="009D4CD4" w:rsidRDefault="00905B55" w:rsidP="0065245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12</w:t>
            </w:r>
          </w:p>
        </w:tc>
        <w:tc>
          <w:tcPr>
            <w:tcW w:w="1276" w:type="dxa"/>
            <w:shd w:val="clear" w:color="auto" w:fill="auto"/>
          </w:tcPr>
          <w:p w14:paraId="124E1C60" w14:textId="6D926775" w:rsidR="00652458" w:rsidRPr="009D4CD4" w:rsidRDefault="00652458" w:rsidP="0065245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28</w:t>
            </w:r>
          </w:p>
        </w:tc>
        <w:tc>
          <w:tcPr>
            <w:tcW w:w="1134" w:type="dxa"/>
            <w:shd w:val="clear" w:color="auto" w:fill="auto"/>
          </w:tcPr>
          <w:p w14:paraId="59A34007" w14:textId="74E03353" w:rsidR="00652458" w:rsidRPr="009D4CD4" w:rsidRDefault="00652458" w:rsidP="0065245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45</w:t>
            </w:r>
          </w:p>
        </w:tc>
      </w:tr>
      <w:tr w:rsidR="00652458" w:rsidRPr="009D4CD4" w14:paraId="5BEC5E3F" w14:textId="77777777" w:rsidTr="00523615">
        <w:trPr>
          <w:trHeight w:hRule="exact" w:val="284"/>
          <w:jc w:val="center"/>
        </w:trPr>
        <w:tc>
          <w:tcPr>
            <w:tcW w:w="6374" w:type="dxa"/>
            <w:shd w:val="clear" w:color="auto" w:fill="auto"/>
          </w:tcPr>
          <w:p w14:paraId="279F44EE" w14:textId="7B774E6A" w:rsidR="00652458" w:rsidRPr="009D4CD4" w:rsidRDefault="00F17283" w:rsidP="002131AA">
            <w:pPr>
              <w:spacing w:after="0" w:line="240" w:lineRule="auto"/>
              <w:ind w:right="140"/>
              <w:jc w:val="left"/>
              <w:rPr>
                <w:rFonts w:eastAsia="Times New Roman" w:cs="Arial"/>
                <w:sz w:val="20"/>
                <w:szCs w:val="20"/>
              </w:rPr>
            </w:pPr>
            <w:r w:rsidRPr="009D4CD4">
              <w:rPr>
                <w:rFonts w:eastAsia="Times New Roman" w:cs="Arial"/>
                <w:sz w:val="20"/>
                <w:szCs w:val="20"/>
              </w:rPr>
              <w:t>Part des AO/CE comportant un questionnaire RSE</w:t>
            </w:r>
          </w:p>
        </w:tc>
        <w:tc>
          <w:tcPr>
            <w:tcW w:w="1247" w:type="dxa"/>
            <w:shd w:val="clear" w:color="auto" w:fill="auto"/>
          </w:tcPr>
          <w:p w14:paraId="7AFE487F" w14:textId="2D45D0EF" w:rsidR="00652458" w:rsidRPr="009D4CD4" w:rsidRDefault="00F17283" w:rsidP="0065245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58,3 %</w:t>
            </w:r>
          </w:p>
          <w:p w14:paraId="24242113" w14:textId="0B37E950" w:rsidR="00F17283" w:rsidRPr="009D4CD4" w:rsidRDefault="00F17283" w:rsidP="00652458">
            <w:pPr>
              <w:autoSpaceDE w:val="0"/>
              <w:autoSpaceDN w:val="0"/>
              <w:adjustRightInd w:val="0"/>
              <w:spacing w:after="0" w:line="240" w:lineRule="auto"/>
              <w:jc w:val="left"/>
              <w:rPr>
                <w:rFonts w:eastAsia="Times New Roman" w:cs="Arial"/>
                <w:sz w:val="20"/>
                <w:szCs w:val="20"/>
              </w:rPr>
            </w:pPr>
          </w:p>
        </w:tc>
        <w:tc>
          <w:tcPr>
            <w:tcW w:w="1276" w:type="dxa"/>
            <w:shd w:val="clear" w:color="auto" w:fill="auto"/>
          </w:tcPr>
          <w:p w14:paraId="19159BBD" w14:textId="596D31A7" w:rsidR="00652458" w:rsidRPr="009D4CD4" w:rsidRDefault="00F17283" w:rsidP="00F17283">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28,6 %</w:t>
            </w:r>
          </w:p>
        </w:tc>
        <w:tc>
          <w:tcPr>
            <w:tcW w:w="1134" w:type="dxa"/>
            <w:shd w:val="clear" w:color="auto" w:fill="auto"/>
          </w:tcPr>
          <w:p w14:paraId="6D046039" w14:textId="33D405A4" w:rsidR="00652458" w:rsidRPr="009D4CD4" w:rsidRDefault="00F17283" w:rsidP="00F17283">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17,8 %</w:t>
            </w:r>
          </w:p>
        </w:tc>
      </w:tr>
      <w:tr w:rsidR="00652458" w:rsidRPr="009D4CD4" w14:paraId="2ADB8E43" w14:textId="77777777" w:rsidTr="00523615">
        <w:trPr>
          <w:trHeight w:hRule="exact" w:val="542"/>
          <w:jc w:val="center"/>
        </w:trPr>
        <w:tc>
          <w:tcPr>
            <w:tcW w:w="6374" w:type="dxa"/>
            <w:shd w:val="clear" w:color="auto" w:fill="auto"/>
          </w:tcPr>
          <w:p w14:paraId="15E87453" w14:textId="77777777" w:rsidR="00652458" w:rsidRPr="009D4CD4" w:rsidRDefault="00652458" w:rsidP="00652458">
            <w:pPr>
              <w:spacing w:after="0" w:line="240" w:lineRule="auto"/>
              <w:ind w:right="140"/>
              <w:jc w:val="left"/>
              <w:rPr>
                <w:rFonts w:eastAsia="Times New Roman" w:cs="Arial"/>
                <w:sz w:val="20"/>
                <w:szCs w:val="20"/>
              </w:rPr>
            </w:pPr>
            <w:r w:rsidRPr="009D4CD4">
              <w:rPr>
                <w:rFonts w:eastAsia="Times New Roman" w:cs="Arial"/>
                <w:sz w:val="20"/>
                <w:szCs w:val="20"/>
              </w:rPr>
              <w:t>Part des AO/CE intégrant une consultation d’une entreprise du secteur adapté</w:t>
            </w:r>
          </w:p>
        </w:tc>
        <w:tc>
          <w:tcPr>
            <w:tcW w:w="1247" w:type="dxa"/>
            <w:shd w:val="clear" w:color="auto" w:fill="auto"/>
          </w:tcPr>
          <w:p w14:paraId="11C35B0A" w14:textId="71FEFF25" w:rsidR="00652458" w:rsidRPr="009D4CD4" w:rsidRDefault="00905B55" w:rsidP="007E0DA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16</w:t>
            </w:r>
            <w:r w:rsidR="00F17283" w:rsidRPr="009D4CD4">
              <w:rPr>
                <w:rFonts w:eastAsia="Times New Roman" w:cs="Arial"/>
                <w:sz w:val="20"/>
                <w:szCs w:val="20"/>
              </w:rPr>
              <w:t>,0</w:t>
            </w:r>
            <w:r w:rsidR="00652458" w:rsidRPr="009D4CD4">
              <w:rPr>
                <w:rFonts w:eastAsia="Times New Roman" w:cs="Arial"/>
                <w:sz w:val="20"/>
                <w:szCs w:val="20"/>
              </w:rPr>
              <w:t xml:space="preserve"> %</w:t>
            </w:r>
          </w:p>
        </w:tc>
        <w:tc>
          <w:tcPr>
            <w:tcW w:w="1276" w:type="dxa"/>
            <w:shd w:val="clear" w:color="auto" w:fill="auto"/>
          </w:tcPr>
          <w:p w14:paraId="0E883BAB" w14:textId="58E859F1" w:rsidR="00652458" w:rsidRPr="009D4CD4" w:rsidRDefault="00652458" w:rsidP="0065245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17,9 %</w:t>
            </w:r>
          </w:p>
        </w:tc>
        <w:tc>
          <w:tcPr>
            <w:tcW w:w="1134" w:type="dxa"/>
            <w:shd w:val="clear" w:color="auto" w:fill="auto"/>
          </w:tcPr>
          <w:p w14:paraId="1B65C8F8" w14:textId="5ECCBD82" w:rsidR="00652458" w:rsidRPr="009D4CD4" w:rsidRDefault="00652458" w:rsidP="0065245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24,4</w:t>
            </w:r>
            <w:r w:rsidR="007E0DA8" w:rsidRPr="009D4CD4">
              <w:rPr>
                <w:rFonts w:eastAsia="Times New Roman" w:cs="Arial"/>
                <w:sz w:val="20"/>
                <w:szCs w:val="20"/>
              </w:rPr>
              <w:t xml:space="preserve"> </w:t>
            </w:r>
            <w:r w:rsidRPr="009D4CD4">
              <w:rPr>
                <w:rFonts w:eastAsia="Times New Roman" w:cs="Arial"/>
                <w:sz w:val="20"/>
                <w:szCs w:val="20"/>
              </w:rPr>
              <w:t>%</w:t>
            </w:r>
          </w:p>
        </w:tc>
      </w:tr>
      <w:tr w:rsidR="00652458" w:rsidRPr="009D4CD4" w14:paraId="6A402650" w14:textId="77777777" w:rsidTr="00523615">
        <w:trPr>
          <w:trHeight w:hRule="exact" w:val="284"/>
          <w:jc w:val="center"/>
        </w:trPr>
        <w:tc>
          <w:tcPr>
            <w:tcW w:w="6374" w:type="dxa"/>
            <w:shd w:val="clear" w:color="auto" w:fill="auto"/>
          </w:tcPr>
          <w:p w14:paraId="43ED74B6" w14:textId="77777777" w:rsidR="00652458" w:rsidRPr="009D4CD4" w:rsidRDefault="00652458" w:rsidP="00652458">
            <w:pPr>
              <w:spacing w:after="0" w:line="240" w:lineRule="auto"/>
              <w:ind w:right="140"/>
              <w:jc w:val="left"/>
              <w:rPr>
                <w:rFonts w:eastAsia="Times New Roman" w:cs="Arial"/>
                <w:sz w:val="20"/>
                <w:szCs w:val="20"/>
              </w:rPr>
            </w:pPr>
            <w:r w:rsidRPr="009D4CD4">
              <w:rPr>
                <w:rFonts w:eastAsia="Times New Roman" w:cs="Arial"/>
                <w:sz w:val="20"/>
                <w:szCs w:val="20"/>
              </w:rPr>
              <w:t>Part des factures reçues payées dans les délais</w:t>
            </w:r>
          </w:p>
        </w:tc>
        <w:tc>
          <w:tcPr>
            <w:tcW w:w="1247" w:type="dxa"/>
            <w:shd w:val="clear" w:color="auto" w:fill="auto"/>
          </w:tcPr>
          <w:p w14:paraId="07A331D4" w14:textId="0E14DC4E" w:rsidR="00652458" w:rsidRPr="009D4CD4" w:rsidRDefault="007E0DA8" w:rsidP="007E0DA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 xml:space="preserve">75,6 </w:t>
            </w:r>
            <w:r w:rsidR="00652458" w:rsidRPr="009D4CD4">
              <w:rPr>
                <w:rFonts w:eastAsia="Times New Roman" w:cs="Arial"/>
                <w:sz w:val="20"/>
                <w:szCs w:val="20"/>
              </w:rPr>
              <w:t>%</w:t>
            </w:r>
          </w:p>
        </w:tc>
        <w:tc>
          <w:tcPr>
            <w:tcW w:w="1276" w:type="dxa"/>
            <w:shd w:val="clear" w:color="auto" w:fill="auto"/>
          </w:tcPr>
          <w:p w14:paraId="1ABB3EFA" w14:textId="49487A08" w:rsidR="00652458" w:rsidRPr="009D4CD4" w:rsidRDefault="00652458" w:rsidP="0065245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7</w:t>
            </w:r>
            <w:r w:rsidR="007E0DA8" w:rsidRPr="009D4CD4">
              <w:rPr>
                <w:rFonts w:eastAsia="Times New Roman" w:cs="Arial"/>
                <w:sz w:val="20"/>
                <w:szCs w:val="20"/>
              </w:rPr>
              <w:t xml:space="preserve">2,7 </w:t>
            </w:r>
            <w:r w:rsidRPr="009D4CD4">
              <w:rPr>
                <w:rFonts w:eastAsia="Times New Roman" w:cs="Arial"/>
                <w:sz w:val="20"/>
                <w:szCs w:val="20"/>
              </w:rPr>
              <w:t>%</w:t>
            </w:r>
          </w:p>
        </w:tc>
        <w:tc>
          <w:tcPr>
            <w:tcW w:w="1134" w:type="dxa"/>
            <w:shd w:val="clear" w:color="auto" w:fill="auto"/>
          </w:tcPr>
          <w:p w14:paraId="1C6BAFB3" w14:textId="76F57D91" w:rsidR="00652458" w:rsidRPr="009D4CD4" w:rsidRDefault="007E0DA8" w:rsidP="0065245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 xml:space="preserve">69,0 </w:t>
            </w:r>
            <w:r w:rsidR="00B927C7" w:rsidRPr="009D4CD4">
              <w:rPr>
                <w:rFonts w:eastAsia="Times New Roman" w:cs="Arial"/>
                <w:sz w:val="20"/>
                <w:szCs w:val="20"/>
              </w:rPr>
              <w:t>%</w:t>
            </w:r>
          </w:p>
        </w:tc>
      </w:tr>
      <w:tr w:rsidR="00B63EC1" w:rsidRPr="009D4CD4" w14:paraId="3FB4FCC0" w14:textId="77777777" w:rsidTr="00523615">
        <w:trPr>
          <w:trHeight w:hRule="exact" w:val="284"/>
          <w:jc w:val="center"/>
        </w:trPr>
        <w:tc>
          <w:tcPr>
            <w:tcW w:w="6374" w:type="dxa"/>
            <w:shd w:val="clear" w:color="auto" w:fill="auto"/>
          </w:tcPr>
          <w:p w14:paraId="1D19394D" w14:textId="3E784749" w:rsidR="00B63EC1" w:rsidRPr="009D4CD4" w:rsidRDefault="00B63EC1" w:rsidP="00652458">
            <w:pPr>
              <w:spacing w:after="0" w:line="240" w:lineRule="auto"/>
              <w:ind w:right="140"/>
              <w:jc w:val="left"/>
              <w:rPr>
                <w:rFonts w:eastAsia="Times New Roman" w:cs="Arial"/>
                <w:sz w:val="20"/>
                <w:szCs w:val="20"/>
              </w:rPr>
            </w:pPr>
            <w:r>
              <w:rPr>
                <w:rFonts w:eastAsia="Times New Roman" w:cs="Arial"/>
                <w:sz w:val="20"/>
                <w:szCs w:val="20"/>
              </w:rPr>
              <w:t xml:space="preserve">Délais de paiement des factures (jours) </w:t>
            </w:r>
          </w:p>
        </w:tc>
        <w:tc>
          <w:tcPr>
            <w:tcW w:w="1247" w:type="dxa"/>
            <w:shd w:val="clear" w:color="auto" w:fill="auto"/>
          </w:tcPr>
          <w:p w14:paraId="6BB80900" w14:textId="7596546D" w:rsidR="00B63EC1" w:rsidRPr="009D4CD4" w:rsidRDefault="00B63EC1" w:rsidP="007E0DA8">
            <w:pPr>
              <w:autoSpaceDE w:val="0"/>
              <w:autoSpaceDN w:val="0"/>
              <w:adjustRightInd w:val="0"/>
              <w:spacing w:after="0" w:line="240" w:lineRule="auto"/>
              <w:jc w:val="left"/>
              <w:rPr>
                <w:rFonts w:eastAsia="Times New Roman" w:cs="Arial"/>
                <w:sz w:val="20"/>
                <w:szCs w:val="20"/>
              </w:rPr>
            </w:pPr>
            <w:r>
              <w:rPr>
                <w:rFonts w:eastAsia="Times New Roman" w:cs="Arial"/>
                <w:sz w:val="20"/>
                <w:szCs w:val="20"/>
              </w:rPr>
              <w:t>24</w:t>
            </w:r>
          </w:p>
        </w:tc>
        <w:tc>
          <w:tcPr>
            <w:tcW w:w="1276" w:type="dxa"/>
            <w:shd w:val="clear" w:color="auto" w:fill="auto"/>
          </w:tcPr>
          <w:p w14:paraId="0E3E3087" w14:textId="3FAC6BE3" w:rsidR="00B63EC1" w:rsidRPr="009D4CD4" w:rsidRDefault="00B63EC1" w:rsidP="00652458">
            <w:pPr>
              <w:autoSpaceDE w:val="0"/>
              <w:autoSpaceDN w:val="0"/>
              <w:adjustRightInd w:val="0"/>
              <w:spacing w:after="0" w:line="240" w:lineRule="auto"/>
              <w:jc w:val="left"/>
              <w:rPr>
                <w:rFonts w:eastAsia="Times New Roman" w:cs="Arial"/>
                <w:sz w:val="20"/>
                <w:szCs w:val="20"/>
              </w:rPr>
            </w:pPr>
            <w:r>
              <w:rPr>
                <w:rFonts w:eastAsia="Times New Roman" w:cs="Arial"/>
                <w:sz w:val="20"/>
                <w:szCs w:val="20"/>
              </w:rPr>
              <w:t>26</w:t>
            </w:r>
          </w:p>
        </w:tc>
        <w:tc>
          <w:tcPr>
            <w:tcW w:w="1134" w:type="dxa"/>
            <w:shd w:val="clear" w:color="auto" w:fill="auto"/>
          </w:tcPr>
          <w:p w14:paraId="02D85156" w14:textId="545A26CB" w:rsidR="00B63EC1" w:rsidRPr="009D4CD4" w:rsidRDefault="00B63EC1" w:rsidP="00652458">
            <w:pPr>
              <w:autoSpaceDE w:val="0"/>
              <w:autoSpaceDN w:val="0"/>
              <w:adjustRightInd w:val="0"/>
              <w:spacing w:after="0" w:line="240" w:lineRule="auto"/>
              <w:jc w:val="left"/>
              <w:rPr>
                <w:rFonts w:eastAsia="Times New Roman" w:cs="Arial"/>
                <w:sz w:val="20"/>
                <w:szCs w:val="20"/>
              </w:rPr>
            </w:pPr>
            <w:r>
              <w:rPr>
                <w:rFonts w:eastAsia="Times New Roman" w:cs="Arial"/>
                <w:sz w:val="20"/>
                <w:szCs w:val="20"/>
              </w:rPr>
              <w:t>25</w:t>
            </w:r>
          </w:p>
        </w:tc>
      </w:tr>
    </w:tbl>
    <w:p w14:paraId="0E1DA126" w14:textId="77777777" w:rsidR="007E0DA8" w:rsidRPr="009D4CD4" w:rsidRDefault="007E0DA8" w:rsidP="00B72A61">
      <w:pPr>
        <w:pStyle w:val="Paragraphedeliste"/>
        <w:ind w:left="0"/>
        <w:rPr>
          <w:rFonts w:ascii="Tahoma" w:hAnsi="Tahoma" w:cs="Tahoma"/>
          <w:sz w:val="18"/>
          <w:szCs w:val="18"/>
        </w:rPr>
      </w:pPr>
    </w:p>
    <w:p w14:paraId="6D3ECB17" w14:textId="77777777" w:rsidR="00677357" w:rsidRDefault="00677357" w:rsidP="007F6CF6">
      <w:pPr>
        <w:spacing w:after="0" w:line="240" w:lineRule="auto"/>
        <w:jc w:val="left"/>
        <w:rPr>
          <w:rFonts w:ascii="Tahoma" w:eastAsia="Times New Roman" w:hAnsi="Tahoma" w:cs="Tahoma"/>
          <w:color w:val="FF0000"/>
          <w:sz w:val="20"/>
          <w:szCs w:val="20"/>
          <w:lang w:eastAsia="fr-FR"/>
        </w:rPr>
      </w:pPr>
    </w:p>
    <w:p w14:paraId="77A6BB68" w14:textId="1CA37F7C" w:rsidR="007F6CF6" w:rsidRPr="009D4CD4" w:rsidRDefault="007F6CF6" w:rsidP="007F6CF6">
      <w:pPr>
        <w:spacing w:after="0" w:line="240" w:lineRule="auto"/>
        <w:jc w:val="left"/>
      </w:pPr>
      <w:r w:rsidRPr="009D4CD4">
        <w:t xml:space="preserve">La démarche Achats responsables, inscrite dans le cadre des valeurs de la </w:t>
      </w:r>
      <w:r w:rsidR="00A7717F">
        <w:t>Caisse Régionale</w:t>
      </w:r>
      <w:r w:rsidRPr="009D4CD4">
        <w:t xml:space="preserve">, est cohérente avec la Charte Ethique </w:t>
      </w:r>
      <w:r w:rsidR="004B7431">
        <w:t>du Groupe Crédit agricole, et avec</w:t>
      </w:r>
      <w:r w:rsidRPr="009D4CD4">
        <w:t xml:space="preserve"> la politique Achats Responsables du Groupe Crédit Agricole.</w:t>
      </w:r>
    </w:p>
    <w:p w14:paraId="5270807D" w14:textId="77777777" w:rsidR="007F6CF6" w:rsidRPr="009D4CD4" w:rsidRDefault="007F6CF6" w:rsidP="007F6CF6">
      <w:pPr>
        <w:spacing w:after="0" w:line="240" w:lineRule="auto"/>
        <w:jc w:val="left"/>
      </w:pPr>
    </w:p>
    <w:p w14:paraId="40FE110E" w14:textId="77777777" w:rsidR="007F6CF6" w:rsidRPr="009D4CD4" w:rsidRDefault="007F6CF6" w:rsidP="007F6CF6">
      <w:pPr>
        <w:spacing w:after="0" w:line="240" w:lineRule="auto"/>
        <w:jc w:val="left"/>
      </w:pPr>
      <w:r w:rsidRPr="009D4CD4">
        <w:t xml:space="preserve">Les enjeux de la démarche sont : </w:t>
      </w:r>
      <w:r w:rsidRPr="009D4CD4">
        <w:br/>
        <w:t>&gt; S’assurer de la satisfaction des utilisateurs du CANMP par la qualité des achats,</w:t>
      </w:r>
    </w:p>
    <w:p w14:paraId="6DE11129" w14:textId="77777777" w:rsidR="007F6CF6" w:rsidRPr="009D4CD4" w:rsidRDefault="007F6CF6" w:rsidP="007F6CF6">
      <w:pPr>
        <w:spacing w:after="0" w:line="240" w:lineRule="auto"/>
        <w:jc w:val="left"/>
      </w:pPr>
      <w:r w:rsidRPr="009D4CD4">
        <w:t>&gt; Concourir à la maîtrise des risques opérationnels,</w:t>
      </w:r>
    </w:p>
    <w:p w14:paraId="6E5C523F" w14:textId="77777777" w:rsidR="007F6CF6" w:rsidRPr="009D4CD4" w:rsidRDefault="007F6CF6" w:rsidP="007F6CF6">
      <w:pPr>
        <w:spacing w:after="0" w:line="240" w:lineRule="auto"/>
        <w:jc w:val="left"/>
      </w:pPr>
      <w:r w:rsidRPr="009D4CD4">
        <w:t>&gt; Sécuriser les approvisionnements,</w:t>
      </w:r>
    </w:p>
    <w:p w14:paraId="66CC1A91" w14:textId="77777777" w:rsidR="007F6CF6" w:rsidRPr="009D4CD4" w:rsidRDefault="007F6CF6" w:rsidP="007F6CF6">
      <w:pPr>
        <w:spacing w:after="0" w:line="240" w:lineRule="auto"/>
        <w:jc w:val="left"/>
      </w:pPr>
      <w:r w:rsidRPr="009D4CD4">
        <w:t>&gt; Optimiser les charges de fonctionnement,</w:t>
      </w:r>
    </w:p>
    <w:p w14:paraId="3F242B3B" w14:textId="77777777" w:rsidR="007F6CF6" w:rsidRPr="009D4CD4" w:rsidRDefault="007F6CF6" w:rsidP="007F6CF6">
      <w:pPr>
        <w:spacing w:after="0" w:line="240" w:lineRule="auto"/>
        <w:jc w:val="left"/>
      </w:pPr>
      <w:r w:rsidRPr="009D4CD4">
        <w:t>&gt; Rechercher une globalisation des achats via des stratégies de regroupement</w:t>
      </w:r>
      <w:r w:rsidRPr="009D4CD4">
        <w:rPr>
          <w:color w:val="000000" w:themeColor="text1"/>
        </w:rPr>
        <w:t xml:space="preserve"> avec d’autres Caisses régionales</w:t>
      </w:r>
      <w:r w:rsidRPr="009D4CD4">
        <w:t>,</w:t>
      </w:r>
    </w:p>
    <w:p w14:paraId="699B4841" w14:textId="77777777" w:rsidR="007F6CF6" w:rsidRPr="009D4CD4" w:rsidRDefault="007F6CF6" w:rsidP="007F6CF6">
      <w:pPr>
        <w:spacing w:after="0" w:line="240" w:lineRule="auto"/>
        <w:jc w:val="left"/>
      </w:pPr>
      <w:r w:rsidRPr="009D4CD4">
        <w:t>&gt; Assurer un comportement responsable et durable avec les fournisseurs,</w:t>
      </w:r>
    </w:p>
    <w:p w14:paraId="052FCCF1" w14:textId="77777777" w:rsidR="007F6CF6" w:rsidRPr="009D4CD4" w:rsidRDefault="007F6CF6" w:rsidP="007F6CF6">
      <w:pPr>
        <w:spacing w:after="0" w:line="240" w:lineRule="auto"/>
        <w:jc w:val="left"/>
      </w:pPr>
      <w:r w:rsidRPr="009D4CD4">
        <w:t>&gt; Favoriser l’innovation,</w:t>
      </w:r>
    </w:p>
    <w:p w14:paraId="15D5FF89" w14:textId="77777777" w:rsidR="007F6CF6" w:rsidRPr="009D4CD4" w:rsidRDefault="007F6CF6" w:rsidP="007F6CF6">
      <w:pPr>
        <w:spacing w:after="0" w:line="240" w:lineRule="auto"/>
        <w:jc w:val="left"/>
      </w:pPr>
      <w:r w:rsidRPr="009D4CD4">
        <w:t>&gt; Contribuer au développement du territoire de Nord Midi-Pyrénées.</w:t>
      </w:r>
    </w:p>
    <w:p w14:paraId="4DB8F745" w14:textId="77777777" w:rsidR="007F6CF6" w:rsidRPr="009D4CD4" w:rsidRDefault="007F6CF6" w:rsidP="007F6CF6">
      <w:pPr>
        <w:spacing w:after="0" w:line="240" w:lineRule="auto"/>
        <w:jc w:val="left"/>
        <w:rPr>
          <w:rFonts w:ascii="Tahoma" w:hAnsi="Tahoma" w:cs="Tahoma"/>
          <w:lang w:eastAsia="fr-FR"/>
        </w:rPr>
      </w:pPr>
    </w:p>
    <w:p w14:paraId="4BF2FD5D" w14:textId="77777777" w:rsidR="007F6CF6" w:rsidRPr="009D4CD4" w:rsidRDefault="007F6CF6" w:rsidP="007F6CF6">
      <w:pPr>
        <w:spacing w:after="0" w:line="240" w:lineRule="auto"/>
        <w:jc w:val="left"/>
        <w:rPr>
          <w:rFonts w:cs="Calibri"/>
        </w:rPr>
      </w:pPr>
      <w:r w:rsidRPr="009D4CD4">
        <w:t xml:space="preserve">Les objectifs de la démarche Achats Responsables sont les suivants : </w:t>
      </w:r>
      <w:r w:rsidRPr="009D4CD4">
        <w:br/>
        <w:t>&gt;Respecter un processus de sélection équitable des fournisseurs en instaurant les conditions d’une concurrence loyale, ainsi qu’un traitement équitable des fournisseurs dans les procédures de sélection,</w:t>
      </w:r>
    </w:p>
    <w:p w14:paraId="43EEB6D2" w14:textId="77777777" w:rsidR="007F6CF6" w:rsidRPr="009D4CD4" w:rsidRDefault="007F6CF6" w:rsidP="007F6CF6">
      <w:pPr>
        <w:spacing w:after="0" w:line="240" w:lineRule="auto"/>
        <w:jc w:val="left"/>
      </w:pPr>
      <w:r w:rsidRPr="009D4CD4">
        <w:t>&gt;Lutter contre toute forme de corruption, active ou passive, et éviter toute situation pouvant présenter un conflit d’intérêt, en se conformant aux règles de déontologie établies par l’entreprise</w:t>
      </w:r>
    </w:p>
    <w:p w14:paraId="37E86E8E" w14:textId="77777777" w:rsidR="007F6CF6" w:rsidRPr="009D4CD4" w:rsidRDefault="007F6CF6" w:rsidP="007F6CF6">
      <w:pPr>
        <w:spacing w:after="0" w:line="240" w:lineRule="auto"/>
        <w:jc w:val="left"/>
      </w:pPr>
      <w:r w:rsidRPr="009D4CD4">
        <w:t>&gt;Assurer la transparence et le respect des règles relatives aux procédures de sélection, en informant clairement et préalablement les soumissionnaires des modalités applicables à toute mise en concurrence,</w:t>
      </w:r>
    </w:p>
    <w:p w14:paraId="6AE61660" w14:textId="77777777" w:rsidR="007F6CF6" w:rsidRPr="009D4CD4" w:rsidRDefault="007F6CF6" w:rsidP="007F6CF6">
      <w:pPr>
        <w:spacing w:after="0" w:line="240" w:lineRule="auto"/>
        <w:jc w:val="left"/>
      </w:pPr>
      <w:r w:rsidRPr="009D4CD4">
        <w:t>&gt;Etre vigilant vis-à-vis du risque de dépendance réciproque avec les fournisseurs,</w:t>
      </w:r>
    </w:p>
    <w:p w14:paraId="17F54415" w14:textId="77777777" w:rsidR="007F6CF6" w:rsidRPr="009D4CD4" w:rsidRDefault="007F6CF6" w:rsidP="007F6CF6">
      <w:pPr>
        <w:spacing w:after="0" w:line="240" w:lineRule="auto"/>
        <w:jc w:val="left"/>
      </w:pPr>
      <w:r w:rsidRPr="009D4CD4">
        <w:t>&gt;Remplir ses obligations réglementaires en terme de délais de paiement,</w:t>
      </w:r>
    </w:p>
    <w:p w14:paraId="37419FFD" w14:textId="77777777" w:rsidR="007F6CF6" w:rsidRPr="009D4CD4" w:rsidRDefault="007F6CF6" w:rsidP="007F6CF6">
      <w:pPr>
        <w:spacing w:after="0" w:line="240" w:lineRule="auto"/>
        <w:jc w:val="left"/>
      </w:pPr>
      <w:r w:rsidRPr="009D4CD4">
        <w:t>&gt;Etablir avec les fournisseurs une relation de confiance durable, notamment en respectant la stricte confidentialité des informations non publiques communiquées ainsi que les droits de propriété intellectuelle des fournisseurs, dans le respect des lois applicables,</w:t>
      </w:r>
    </w:p>
    <w:p w14:paraId="6BA375E3" w14:textId="77777777" w:rsidR="007F6CF6" w:rsidRPr="009D4CD4" w:rsidRDefault="007F6CF6" w:rsidP="007F6CF6">
      <w:pPr>
        <w:spacing w:after="0" w:line="240" w:lineRule="auto"/>
        <w:jc w:val="left"/>
      </w:pPr>
      <w:r w:rsidRPr="009D4CD4">
        <w:t xml:space="preserve">&gt;Proposer les marchés à toutes les entreprises quelle que soient leur taille, notamment les petites et les moyennes entreprises, </w:t>
      </w:r>
    </w:p>
    <w:p w14:paraId="78EE8284" w14:textId="77777777" w:rsidR="007F6CF6" w:rsidRPr="009D4CD4" w:rsidRDefault="007F6CF6" w:rsidP="007F6CF6">
      <w:pPr>
        <w:spacing w:after="0" w:line="240" w:lineRule="auto"/>
        <w:jc w:val="left"/>
      </w:pPr>
      <w:r w:rsidRPr="009D4CD4">
        <w:t>&gt;Remplir ses obligations en matière de conformité en collectant les documents légaux obligatoires auprès des fournisseurs,</w:t>
      </w:r>
    </w:p>
    <w:p w14:paraId="7112084C" w14:textId="77777777" w:rsidR="007F6CF6" w:rsidRPr="009D4CD4" w:rsidRDefault="007F6CF6" w:rsidP="007F6CF6">
      <w:pPr>
        <w:spacing w:after="0" w:line="240" w:lineRule="auto"/>
        <w:jc w:val="left"/>
      </w:pPr>
      <w:r w:rsidRPr="009D4CD4">
        <w:t>&gt;Ouvrir un dialogue constructif avec les fournisseurs. En cas de litige, la recherche d’un accord amiable équitable est privilégiée. Un médiateur est désigné pour être l’interlocuteur des fournisseurs en cas de différend non résolu avec un acheteur du CANMP.</w:t>
      </w:r>
    </w:p>
    <w:p w14:paraId="5BD53FAC" w14:textId="77777777" w:rsidR="007F6CF6" w:rsidRPr="009D4CD4" w:rsidRDefault="007F6CF6" w:rsidP="007F6CF6">
      <w:pPr>
        <w:spacing w:after="0" w:line="240" w:lineRule="auto"/>
        <w:jc w:val="left"/>
        <w:rPr>
          <w:rFonts w:ascii="Tahoma" w:hAnsi="Tahoma" w:cs="Tahoma"/>
          <w:sz w:val="20"/>
          <w:szCs w:val="20"/>
          <w:lang w:eastAsia="fr-FR"/>
        </w:rPr>
      </w:pPr>
    </w:p>
    <w:p w14:paraId="1EF89143" w14:textId="79CF95E7" w:rsidR="007F6CF6" w:rsidRPr="009D4CD4" w:rsidRDefault="007F6CF6" w:rsidP="007F6CF6">
      <w:pPr>
        <w:spacing w:after="0" w:line="240" w:lineRule="auto"/>
        <w:jc w:val="left"/>
        <w:rPr>
          <w:rFonts w:cs="Calibri"/>
          <w:color w:val="000000" w:themeColor="text1"/>
        </w:rPr>
      </w:pPr>
      <w:r w:rsidRPr="009D4CD4">
        <w:t xml:space="preserve">Les appels d’offre de la </w:t>
      </w:r>
      <w:r w:rsidR="00A7717F">
        <w:t>Caisse Régionale</w:t>
      </w:r>
      <w:r w:rsidRPr="009D4CD4">
        <w:t xml:space="preserve"> comportent un volet économique, et des clauses générales intégrant un volet social, un volet environnemental.</w:t>
      </w:r>
    </w:p>
    <w:p w14:paraId="40E980C5" w14:textId="77777777" w:rsidR="007F6CF6" w:rsidRPr="009D4CD4" w:rsidRDefault="007F6CF6" w:rsidP="007F6CF6">
      <w:pPr>
        <w:spacing w:after="0" w:line="240" w:lineRule="auto"/>
        <w:jc w:val="left"/>
        <w:rPr>
          <w:rFonts w:asciiTheme="minorHAnsi" w:hAnsiTheme="minorHAnsi" w:cstheme="minorBidi"/>
          <w:color w:val="000000" w:themeColor="text1"/>
        </w:rPr>
      </w:pPr>
    </w:p>
    <w:p w14:paraId="58FDDFB4" w14:textId="77777777" w:rsidR="007F6CF6" w:rsidRPr="009D4CD4" w:rsidRDefault="007F6CF6" w:rsidP="007F6CF6">
      <w:pPr>
        <w:spacing w:after="0" w:line="240" w:lineRule="auto"/>
        <w:jc w:val="left"/>
        <w:rPr>
          <w:rFonts w:cs="Calibri"/>
        </w:rPr>
      </w:pPr>
      <w:r w:rsidRPr="009D4CD4">
        <w:t>Pour les appels d’offre présentant un risque RSE, le niveau d’engagement RSE des fournisseurs est évalué.</w:t>
      </w:r>
    </w:p>
    <w:p w14:paraId="1E7BE9F0" w14:textId="77777777" w:rsidR="007F6CF6" w:rsidRPr="009D4CD4" w:rsidRDefault="007F6CF6" w:rsidP="007F6CF6">
      <w:pPr>
        <w:spacing w:after="0" w:line="240" w:lineRule="auto"/>
        <w:jc w:val="left"/>
      </w:pPr>
      <w:r w:rsidRPr="009D4CD4">
        <w:t xml:space="preserve">La note de maturité RSE des fournisseurs </w:t>
      </w:r>
      <w:r w:rsidRPr="009D4CD4">
        <w:rPr>
          <w:color w:val="000000" w:themeColor="text1"/>
        </w:rPr>
        <w:t xml:space="preserve">est évaluée via ECOVADIS. Elle </w:t>
      </w:r>
      <w:r w:rsidRPr="009D4CD4">
        <w:t>est intégrée à la note finale</w:t>
      </w:r>
      <w:r w:rsidRPr="009D4CD4">
        <w:rPr>
          <w:color w:val="000000" w:themeColor="text1"/>
        </w:rPr>
        <w:t xml:space="preserve"> à hauteur</w:t>
      </w:r>
      <w:r w:rsidRPr="009D4CD4">
        <w:t xml:space="preserve"> de 15%.</w:t>
      </w:r>
    </w:p>
    <w:p w14:paraId="79951970" w14:textId="0F54C8B4" w:rsidR="007F6CF6" w:rsidRPr="009D4CD4" w:rsidRDefault="007F6CF6" w:rsidP="007F6CF6">
      <w:pPr>
        <w:spacing w:after="0" w:line="240" w:lineRule="auto"/>
        <w:jc w:val="left"/>
      </w:pPr>
      <w:r w:rsidRPr="009D4CD4">
        <w:t xml:space="preserve">Par ailleurs, toutes les fois que c’est possible, la </w:t>
      </w:r>
      <w:r w:rsidR="00A7717F">
        <w:t>Caisse Régionale</w:t>
      </w:r>
      <w:r w:rsidRPr="009D4CD4">
        <w:t xml:space="preserve"> confie des prestations à des entreprises du secteur adapté.</w:t>
      </w:r>
    </w:p>
    <w:p w14:paraId="67FDE814" w14:textId="3E04AE66" w:rsidR="007F6CF6" w:rsidRPr="009D4CD4" w:rsidRDefault="007F6CF6" w:rsidP="007F6CF6">
      <w:pPr>
        <w:spacing w:after="0" w:line="240" w:lineRule="auto"/>
        <w:jc w:val="left"/>
        <w:rPr>
          <w:rFonts w:cs="Calibri"/>
        </w:rPr>
      </w:pPr>
      <w:r w:rsidRPr="009D4CD4">
        <w:t>En 2021, l’approvisionnement en fourniture</w:t>
      </w:r>
      <w:r w:rsidR="009815E5">
        <w:t>s</w:t>
      </w:r>
      <w:r w:rsidRPr="009D4CD4">
        <w:t xml:space="preserve"> des agences a été optimisé avec l</w:t>
      </w:r>
      <w:r w:rsidRPr="009D4CD4">
        <w:rPr>
          <w:color w:val="000000" w:themeColor="text1"/>
        </w:rPr>
        <w:t xml:space="preserve">a </w:t>
      </w:r>
      <w:r w:rsidRPr="009D4CD4">
        <w:t>mise en place de paniers prédéfinis, permettant :</w:t>
      </w:r>
    </w:p>
    <w:p w14:paraId="12BD33FD" w14:textId="77777777" w:rsidR="007F6CF6" w:rsidRPr="009D4CD4" w:rsidRDefault="007F6CF6" w:rsidP="007F6CF6">
      <w:pPr>
        <w:pStyle w:val="Paragraphedeliste"/>
        <w:numPr>
          <w:ilvl w:val="0"/>
          <w:numId w:val="36"/>
        </w:numPr>
        <w:rPr>
          <w:rFonts w:ascii="Calibri" w:hAnsi="Calibri" w:cs="Calibri"/>
          <w:sz w:val="22"/>
          <w:szCs w:val="22"/>
        </w:rPr>
      </w:pPr>
      <w:r w:rsidRPr="009D4CD4">
        <w:rPr>
          <w:rFonts w:ascii="Calibri" w:hAnsi="Calibri" w:cs="Calibri"/>
          <w:sz w:val="22"/>
          <w:szCs w:val="22"/>
        </w:rPr>
        <w:t>La diminution du nombre d’articles commandés et l’évitement des surconsommations,</w:t>
      </w:r>
    </w:p>
    <w:p w14:paraId="7F8039E3" w14:textId="77777777" w:rsidR="007F6CF6" w:rsidRPr="009D4CD4" w:rsidRDefault="007F6CF6" w:rsidP="007F6CF6">
      <w:pPr>
        <w:pStyle w:val="Paragraphedeliste"/>
        <w:numPr>
          <w:ilvl w:val="0"/>
          <w:numId w:val="36"/>
        </w:numPr>
        <w:rPr>
          <w:rFonts w:ascii="Calibri" w:hAnsi="Calibri" w:cs="Calibri"/>
          <w:sz w:val="22"/>
          <w:szCs w:val="22"/>
        </w:rPr>
      </w:pPr>
      <w:r w:rsidRPr="009D4CD4">
        <w:rPr>
          <w:rFonts w:ascii="Calibri" w:hAnsi="Calibri" w:cs="Calibri"/>
          <w:sz w:val="22"/>
          <w:szCs w:val="22"/>
        </w:rPr>
        <w:t>La suppression de certains articles inutilisés ou qui faisaient doublon avec ceux conservés,</w:t>
      </w:r>
    </w:p>
    <w:p w14:paraId="7539B684" w14:textId="77777777" w:rsidR="007F6CF6" w:rsidRPr="009D4CD4" w:rsidRDefault="007F6CF6" w:rsidP="007F6CF6">
      <w:pPr>
        <w:pStyle w:val="Paragraphedeliste"/>
        <w:numPr>
          <w:ilvl w:val="0"/>
          <w:numId w:val="36"/>
        </w:numPr>
        <w:rPr>
          <w:rFonts w:ascii="Calibri" w:hAnsi="Calibri" w:cs="Calibri"/>
          <w:sz w:val="22"/>
          <w:szCs w:val="22"/>
        </w:rPr>
      </w:pPr>
      <w:r w:rsidRPr="009D4CD4">
        <w:rPr>
          <w:rFonts w:ascii="Calibri" w:hAnsi="Calibri" w:cs="Calibri"/>
          <w:sz w:val="22"/>
          <w:szCs w:val="22"/>
        </w:rPr>
        <w:t>Le remplacement de certains articles en plastique par des matières plus responsables,</w:t>
      </w:r>
    </w:p>
    <w:p w14:paraId="421BEC4D" w14:textId="77777777" w:rsidR="007F6CF6" w:rsidRPr="009D4CD4" w:rsidRDefault="007F6CF6" w:rsidP="007F6CF6">
      <w:pPr>
        <w:pStyle w:val="Paragraphedeliste"/>
        <w:numPr>
          <w:ilvl w:val="0"/>
          <w:numId w:val="36"/>
        </w:numPr>
        <w:rPr>
          <w:rFonts w:ascii="Calibri" w:hAnsi="Calibri" w:cs="Calibri"/>
          <w:sz w:val="22"/>
          <w:szCs w:val="22"/>
        </w:rPr>
      </w:pPr>
      <w:r w:rsidRPr="009D4CD4">
        <w:rPr>
          <w:rFonts w:ascii="Calibri" w:hAnsi="Calibri" w:cs="Calibri"/>
          <w:sz w:val="22"/>
          <w:szCs w:val="22"/>
        </w:rPr>
        <w:t>La poursuite de l’activité avec FMS, entreprise adaptée employant des personnes en situation de handicap</w:t>
      </w:r>
      <w:r w:rsidRPr="009D4CD4">
        <w:rPr>
          <w:rFonts w:ascii="Calibri" w:hAnsi="Calibri" w:cs="Calibri"/>
          <w:color w:val="000000" w:themeColor="text1"/>
          <w:sz w:val="22"/>
          <w:szCs w:val="22"/>
        </w:rPr>
        <w:t>.</w:t>
      </w:r>
    </w:p>
    <w:p w14:paraId="262452F5" w14:textId="361039A6" w:rsidR="00652458" w:rsidRPr="009D4CD4" w:rsidRDefault="00652458" w:rsidP="00B72A61">
      <w:pPr>
        <w:spacing w:after="0" w:line="240" w:lineRule="auto"/>
        <w:jc w:val="left"/>
        <w:rPr>
          <w:rFonts w:cs="Arial"/>
        </w:rPr>
      </w:pPr>
    </w:p>
    <w:p w14:paraId="10974E6B" w14:textId="77777777" w:rsidR="00D01A03" w:rsidRPr="009D4CD4" w:rsidRDefault="00D01A03" w:rsidP="00D01A03">
      <w:pPr>
        <w:spacing w:after="0" w:line="240" w:lineRule="auto"/>
        <w:jc w:val="left"/>
        <w:rPr>
          <w:rFonts w:cs="Arial"/>
        </w:rPr>
      </w:pPr>
    </w:p>
    <w:p w14:paraId="17A827C7" w14:textId="30775D4C" w:rsidR="00D01A03" w:rsidRPr="009D4CD4" w:rsidRDefault="00D01A03" w:rsidP="00D01A03">
      <w:pPr>
        <w:numPr>
          <w:ilvl w:val="0"/>
          <w:numId w:val="4"/>
        </w:numPr>
        <w:spacing w:after="0" w:line="240" w:lineRule="auto"/>
        <w:jc w:val="left"/>
        <w:rPr>
          <w:rFonts w:cs="Arial"/>
        </w:rPr>
      </w:pPr>
      <w:r w:rsidRPr="009D4CD4">
        <w:rPr>
          <w:rFonts w:cs="Arial"/>
        </w:rPr>
        <w:t>Les filiales Edokial et Inforsud Technologies</w:t>
      </w:r>
      <w:r w:rsidR="004D466B" w:rsidRPr="009D4CD4">
        <w:rPr>
          <w:rFonts w:cs="Arial"/>
        </w:rPr>
        <w:t xml:space="preserve"> (IST)</w:t>
      </w:r>
    </w:p>
    <w:p w14:paraId="290ACD05" w14:textId="77777777" w:rsidR="00D01A03" w:rsidRPr="009D4CD4" w:rsidRDefault="00D01A03" w:rsidP="00D01A03">
      <w:pPr>
        <w:spacing w:after="0" w:line="240" w:lineRule="auto"/>
        <w:ind w:left="720"/>
        <w:jc w:val="left"/>
        <w:rPr>
          <w:rFonts w:cs="Arial"/>
          <w:sz w:val="26"/>
          <w:szCs w:val="26"/>
        </w:rPr>
      </w:pPr>
    </w:p>
    <w:p w14:paraId="3FAC3FD5" w14:textId="77777777" w:rsidR="003940C7" w:rsidRPr="009D4CD4" w:rsidRDefault="003940C7" w:rsidP="003940C7">
      <w:pPr>
        <w:spacing w:after="0" w:line="240" w:lineRule="auto"/>
        <w:jc w:val="left"/>
      </w:pPr>
      <w:r w:rsidRPr="009D4CD4">
        <w:t xml:space="preserve">Conformément à la règlementation, les fournisseurs s’engagent à fournir une attestation de conformité de déclaration sociale, un extrait d’immatriculation au Registre du Commerce et des Sociétés et une attestation sur l'honneur certifiant que les travaux sont réalisés avec des salariés employés régulièrement. </w:t>
      </w:r>
    </w:p>
    <w:p w14:paraId="4E19A632" w14:textId="77777777" w:rsidR="003940C7" w:rsidRPr="009D4CD4" w:rsidRDefault="003940C7" w:rsidP="003940C7">
      <w:pPr>
        <w:spacing w:after="0" w:line="240" w:lineRule="auto"/>
        <w:jc w:val="left"/>
      </w:pPr>
      <w:r w:rsidRPr="009D4CD4">
        <w:t>Les prestataires s'engagent par écrit à respecter les consignes générales de circulation, de sécurité et de protection de l'environnement pour les travaux soumis à un plan de prévention des risques au sens de l’article R4512-6 du code du travail. Chaque prestataire a la responsabilité de rendre les chantiers propres et d’évacuer ses déchets dans le respect de la législation.</w:t>
      </w:r>
    </w:p>
    <w:p w14:paraId="4909A182" w14:textId="77777777" w:rsidR="003940C7" w:rsidRPr="009D4CD4" w:rsidRDefault="003940C7" w:rsidP="003940C7">
      <w:pPr>
        <w:spacing w:after="0" w:line="240" w:lineRule="auto"/>
        <w:jc w:val="left"/>
      </w:pPr>
    </w:p>
    <w:p w14:paraId="601F13E9" w14:textId="3AA9EA2F" w:rsidR="003940C7" w:rsidRPr="009D4CD4" w:rsidRDefault="003940C7" w:rsidP="003940C7">
      <w:pPr>
        <w:spacing w:after="0" w:line="240" w:lineRule="auto"/>
        <w:jc w:val="left"/>
      </w:pPr>
      <w:r w:rsidRPr="009D4CD4">
        <w:t>Edokial</w:t>
      </w:r>
    </w:p>
    <w:p w14:paraId="1FB2E177" w14:textId="474B7592" w:rsidR="003940C7" w:rsidRPr="009D4CD4" w:rsidRDefault="003940C7" w:rsidP="003940C7">
      <w:pPr>
        <w:spacing w:after="0" w:line="240" w:lineRule="auto"/>
        <w:jc w:val="left"/>
      </w:pPr>
      <w:r w:rsidRPr="009D4CD4">
        <w:t>Edokial s’est doté en 2021 d’une Charte Achats et Partenaires Responsables qui indique notamment que tout acte d’achat au sein du groupe doit être réalisé de façon responsable, prenant en compte les impacts environnementaux, sociaux et économiques.</w:t>
      </w:r>
      <w:r w:rsidR="00C432BA" w:rsidRPr="009D4CD4">
        <w:t xml:space="preserve"> La déclinaison opérationnelle est prévue en 2022</w:t>
      </w:r>
      <w:r w:rsidR="004E796A">
        <w:t>.</w:t>
      </w:r>
    </w:p>
    <w:p w14:paraId="268C9EA6" w14:textId="77777777" w:rsidR="003940C7" w:rsidRPr="009D4CD4" w:rsidRDefault="003940C7" w:rsidP="00D01A03">
      <w:pPr>
        <w:spacing w:after="0" w:line="240" w:lineRule="auto"/>
        <w:jc w:val="left"/>
        <w:rPr>
          <w:strike/>
        </w:rPr>
      </w:pPr>
    </w:p>
    <w:p w14:paraId="3634F823" w14:textId="14E51ED1" w:rsidR="00D01A03" w:rsidRPr="009D4CD4" w:rsidRDefault="003940C7" w:rsidP="004E796A">
      <w:r w:rsidRPr="009D4CD4">
        <w:t>IST</w:t>
      </w:r>
      <w:r w:rsidR="004E796A">
        <w:br/>
      </w:r>
      <w:r w:rsidR="00D01A03" w:rsidRPr="009D4CD4">
        <w:t>Dans le cadre des dispositifs de sécurité informatique, les plans de prévention des risques ont été complétés par une charte informatique, afin de s’assurer que les prestataires sont sensibilisés aux risques liés aux systèmes d’information.</w:t>
      </w:r>
    </w:p>
    <w:p w14:paraId="299BB29B" w14:textId="77777777" w:rsidR="009E57D5" w:rsidRPr="009D4CD4" w:rsidRDefault="009E57D5" w:rsidP="004060DC">
      <w:pPr>
        <w:spacing w:after="0" w:line="240" w:lineRule="auto"/>
        <w:jc w:val="left"/>
      </w:pPr>
      <w:bookmarkStart w:id="31" w:name="_Toc32416023"/>
    </w:p>
    <w:p w14:paraId="36158F04" w14:textId="429424D8" w:rsidR="00B72A61" w:rsidRPr="009D4CD4" w:rsidRDefault="00B72A61" w:rsidP="00326D6D">
      <w:pPr>
        <w:pStyle w:val="Titre3"/>
      </w:pPr>
      <w:bookmarkStart w:id="32" w:name="_Toc59444699"/>
      <w:bookmarkStart w:id="33" w:name="_Toc96697972"/>
      <w:r w:rsidRPr="009D4CD4">
        <w:t>Renforcer la prise en compte de</w:t>
      </w:r>
      <w:r w:rsidR="009400C9" w:rsidRPr="009D4CD4">
        <w:t>s clientèles fragilisées</w:t>
      </w:r>
      <w:bookmarkEnd w:id="31"/>
      <w:bookmarkEnd w:id="32"/>
      <w:bookmarkEnd w:id="33"/>
      <w:r w:rsidRPr="009D4CD4">
        <w:t xml:space="preserve"> </w:t>
      </w:r>
    </w:p>
    <w:p w14:paraId="7EAA32A4" w14:textId="1B55B419" w:rsidR="00B72A61" w:rsidRPr="009D4CD4" w:rsidRDefault="00B72A61" w:rsidP="00D56BFE">
      <w:pPr>
        <w:pStyle w:val="Titre4"/>
      </w:pPr>
      <w:bookmarkStart w:id="34" w:name="_Toc96697973"/>
      <w:r w:rsidRPr="009D4CD4">
        <w:t>La prise en compte du handicap</w:t>
      </w:r>
      <w:bookmarkEnd w:id="34"/>
    </w:p>
    <w:p w14:paraId="6265BF47" w14:textId="3A353094" w:rsidR="00B72A61" w:rsidRPr="009D4CD4" w:rsidRDefault="00B72A61" w:rsidP="00B72A61">
      <w:pPr>
        <w:spacing w:after="0" w:line="240" w:lineRule="auto"/>
        <w:jc w:val="left"/>
        <w:rPr>
          <w:rFonts w:cs="Arial"/>
        </w:rPr>
      </w:pPr>
      <w:r w:rsidRPr="009D4CD4">
        <w:rPr>
          <w:rFonts w:cs="Arial"/>
        </w:rPr>
        <w:t xml:space="preserve">Attentive à la prise en compte du handicap, la </w:t>
      </w:r>
      <w:r w:rsidR="00A7717F">
        <w:rPr>
          <w:rFonts w:cs="Arial"/>
        </w:rPr>
        <w:t>Caisse Régionale</w:t>
      </w:r>
      <w:r w:rsidRPr="009D4CD4">
        <w:rPr>
          <w:rFonts w:cs="Arial"/>
        </w:rPr>
        <w:t xml:space="preserve"> déploie dans toutes ses entités des dispositifs tendant à offrir des conditions d’accueil adaptées.</w:t>
      </w:r>
    </w:p>
    <w:p w14:paraId="528E5C97" w14:textId="3A8F5F05" w:rsidR="00B72A61" w:rsidRPr="009D4CD4" w:rsidRDefault="00B72A61" w:rsidP="00B72A61">
      <w:pPr>
        <w:spacing w:after="0" w:line="240" w:lineRule="auto"/>
        <w:jc w:val="left"/>
      </w:pPr>
      <w:r w:rsidRPr="009D4CD4">
        <w:rPr>
          <w:rFonts w:cs="Arial"/>
        </w:rPr>
        <w:t>L’accessibilité des agences aux personnes à mobilité réduite fait l’objet d’un programme de travaux dont le calendrier est spécifié dans l’Agenda d’Accessibilité Programmée transmis aux autorités administratives, et dont l’échéance est à fin 2021. Fin 20</w:t>
      </w:r>
      <w:r w:rsidR="007A2F46" w:rsidRPr="009D4CD4">
        <w:rPr>
          <w:rFonts w:cs="Arial"/>
        </w:rPr>
        <w:t>2</w:t>
      </w:r>
      <w:r w:rsidR="00AB7629" w:rsidRPr="009D4CD4">
        <w:rPr>
          <w:rFonts w:cs="Arial"/>
        </w:rPr>
        <w:t>1</w:t>
      </w:r>
      <w:r w:rsidR="0021245B" w:rsidRPr="009D4CD4">
        <w:rPr>
          <w:rFonts w:cs="Arial"/>
        </w:rPr>
        <w:t xml:space="preserve"> 99</w:t>
      </w:r>
      <w:r w:rsidR="00AB7629" w:rsidRPr="009D4CD4">
        <w:rPr>
          <w:rFonts w:cs="Arial"/>
        </w:rPr>
        <w:t xml:space="preserve">% des agences </w:t>
      </w:r>
      <w:r w:rsidRPr="009D4CD4">
        <w:t xml:space="preserve">étaient certifiées conformes par un bureau certificateur et </w:t>
      </w:r>
      <w:r w:rsidR="00F84CFC" w:rsidRPr="009D4CD4">
        <w:t xml:space="preserve">tous les </w:t>
      </w:r>
      <w:r w:rsidRPr="009D4CD4">
        <w:t xml:space="preserve">distributeurs de billets </w:t>
      </w:r>
      <w:r w:rsidR="00F84CFC" w:rsidRPr="009D4CD4">
        <w:t xml:space="preserve">sont </w:t>
      </w:r>
      <w:r w:rsidRPr="009D4CD4">
        <w:t xml:space="preserve">équipés d’un kit audio destiné aux personnes malvoyantes.  </w:t>
      </w:r>
      <w:r w:rsidR="00F84CFC" w:rsidRPr="009D4CD4">
        <w:t xml:space="preserve"> La hauteur de ces distributeurs est ajustée pour faciliter l</w:t>
      </w:r>
      <w:r w:rsidRPr="009D4CD4">
        <w:t>eur utilisation par les personnes à mobilité réduite.</w:t>
      </w:r>
    </w:p>
    <w:p w14:paraId="49A29A4E" w14:textId="245D885B" w:rsidR="00C97377" w:rsidRDefault="00B72A61" w:rsidP="00B72A61">
      <w:pPr>
        <w:spacing w:after="0" w:line="240" w:lineRule="auto"/>
        <w:jc w:val="left"/>
      </w:pPr>
      <w:r w:rsidRPr="009D4CD4">
        <w:rPr>
          <w:rFonts w:cs="Arial"/>
        </w:rPr>
        <w:t xml:space="preserve">Par ailleurs, un accueil téléphonique des clients sourds a été mis en place dès 2015. Une application gratuite, intégrée sur la page d’accueil du </w:t>
      </w:r>
      <w:r w:rsidRPr="009D4CD4">
        <w:t>site ca-nmp.fr, permet aux personnes sourdes de se mettre en contact avec un conseiller après avoir cliqué sur l’icône correspondant. Ces personnes peuvent dialoguer par Langue des Signes Française ou par texte instantané, grâce à un opérateur traduisant les paroles du conseiller.</w:t>
      </w:r>
    </w:p>
    <w:p w14:paraId="3344C7C0" w14:textId="77777777" w:rsidR="00C97377" w:rsidRDefault="00C97377">
      <w:pPr>
        <w:spacing w:after="0" w:line="240" w:lineRule="auto"/>
        <w:jc w:val="left"/>
      </w:pPr>
      <w:r>
        <w:br w:type="page"/>
      </w:r>
    </w:p>
    <w:p w14:paraId="2369682B" w14:textId="4DB9E060" w:rsidR="00B72A61" w:rsidRPr="009D4CD4" w:rsidRDefault="00B72A61" w:rsidP="00D56BFE">
      <w:pPr>
        <w:pStyle w:val="Titre4"/>
      </w:pPr>
      <w:bookmarkStart w:id="35" w:name="_Toc96697974"/>
      <w:r w:rsidRPr="009D4CD4">
        <w:t>L’accompagnement des clients en situation de fragilité financière</w:t>
      </w:r>
      <w:bookmarkEnd w:id="35"/>
    </w:p>
    <w:p w14:paraId="6CC661DF" w14:textId="77777777" w:rsidR="009E57D5" w:rsidRPr="009D4CD4" w:rsidRDefault="009E57D5" w:rsidP="009E57D5">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4"/>
        <w:gridCol w:w="1247"/>
        <w:gridCol w:w="1276"/>
        <w:gridCol w:w="1134"/>
      </w:tblGrid>
      <w:tr w:rsidR="00312368" w:rsidRPr="009D4CD4" w14:paraId="696E663E" w14:textId="77777777" w:rsidTr="00F84CFC">
        <w:trPr>
          <w:trHeight w:hRule="exact" w:val="312"/>
        </w:trPr>
        <w:tc>
          <w:tcPr>
            <w:tcW w:w="6374" w:type="dxa"/>
            <w:tcBorders>
              <w:top w:val="nil"/>
              <w:left w:val="nil"/>
              <w:bottom w:val="single" w:sz="4" w:space="0" w:color="auto"/>
              <w:right w:val="single" w:sz="4" w:space="0" w:color="auto"/>
            </w:tcBorders>
            <w:shd w:val="clear" w:color="auto" w:fill="auto"/>
          </w:tcPr>
          <w:p w14:paraId="1DCE05E7" w14:textId="47AD7DC9" w:rsidR="00312368" w:rsidRPr="009D4CD4" w:rsidRDefault="00677357" w:rsidP="00312368">
            <w:pPr>
              <w:spacing w:after="0" w:line="240" w:lineRule="auto"/>
              <w:ind w:right="140"/>
              <w:jc w:val="left"/>
              <w:rPr>
                <w:rFonts w:eastAsia="Times New Roman" w:cs="Arial"/>
              </w:rPr>
            </w:pPr>
            <w:r>
              <w:rPr>
                <w:rFonts w:eastAsia="Times New Roman" w:cs="Arial"/>
                <w:b/>
                <w:i/>
                <w:sz w:val="20"/>
                <w:szCs w:val="20"/>
              </w:rPr>
              <w:t>Les chiffres – clé</w:t>
            </w:r>
          </w:p>
        </w:tc>
        <w:tc>
          <w:tcPr>
            <w:tcW w:w="1247" w:type="dxa"/>
            <w:tcBorders>
              <w:left w:val="single" w:sz="4" w:space="0" w:color="auto"/>
            </w:tcBorders>
            <w:shd w:val="clear" w:color="auto" w:fill="auto"/>
          </w:tcPr>
          <w:p w14:paraId="03C51EF3" w14:textId="513F2E7A" w:rsidR="00312368" w:rsidRPr="009D4CD4" w:rsidRDefault="00312368" w:rsidP="00312368">
            <w:pPr>
              <w:spacing w:after="0" w:line="240" w:lineRule="auto"/>
              <w:ind w:right="140"/>
              <w:jc w:val="left"/>
              <w:rPr>
                <w:rFonts w:eastAsia="Times New Roman" w:cs="Arial"/>
                <w:b/>
              </w:rPr>
            </w:pPr>
            <w:r w:rsidRPr="009D4CD4">
              <w:rPr>
                <w:rFonts w:eastAsia="Times New Roman" w:cs="Arial"/>
                <w:b/>
              </w:rPr>
              <w:t>2021</w:t>
            </w:r>
          </w:p>
        </w:tc>
        <w:tc>
          <w:tcPr>
            <w:tcW w:w="1276" w:type="dxa"/>
            <w:shd w:val="clear" w:color="auto" w:fill="auto"/>
          </w:tcPr>
          <w:p w14:paraId="3C411450" w14:textId="02F48D9F" w:rsidR="00312368" w:rsidRPr="009D4CD4" w:rsidRDefault="00312368" w:rsidP="00312368">
            <w:pPr>
              <w:spacing w:after="0" w:line="240" w:lineRule="auto"/>
              <w:ind w:right="140"/>
              <w:jc w:val="left"/>
              <w:rPr>
                <w:rFonts w:eastAsia="Times New Roman" w:cs="Arial"/>
                <w:b/>
              </w:rPr>
            </w:pPr>
            <w:r w:rsidRPr="009D4CD4">
              <w:rPr>
                <w:rFonts w:eastAsia="Times New Roman" w:cs="Arial"/>
                <w:b/>
              </w:rPr>
              <w:t>2020</w:t>
            </w:r>
          </w:p>
        </w:tc>
        <w:tc>
          <w:tcPr>
            <w:tcW w:w="1134" w:type="dxa"/>
            <w:shd w:val="clear" w:color="auto" w:fill="auto"/>
          </w:tcPr>
          <w:p w14:paraId="27B51835" w14:textId="76218314" w:rsidR="00312368" w:rsidRPr="009D4CD4" w:rsidRDefault="00312368" w:rsidP="00312368">
            <w:pPr>
              <w:spacing w:after="0" w:line="240" w:lineRule="auto"/>
              <w:ind w:right="140"/>
              <w:jc w:val="left"/>
              <w:rPr>
                <w:rFonts w:eastAsia="Times New Roman" w:cs="Arial"/>
                <w:b/>
              </w:rPr>
            </w:pPr>
            <w:r w:rsidRPr="009D4CD4">
              <w:rPr>
                <w:rFonts w:eastAsia="Times New Roman" w:cs="Arial"/>
                <w:b/>
              </w:rPr>
              <w:t>2019</w:t>
            </w:r>
          </w:p>
        </w:tc>
      </w:tr>
      <w:tr w:rsidR="00312368" w:rsidRPr="009D4CD4" w14:paraId="71765364" w14:textId="77777777" w:rsidTr="00F84CFC">
        <w:trPr>
          <w:trHeight w:hRule="exact" w:val="284"/>
        </w:trPr>
        <w:tc>
          <w:tcPr>
            <w:tcW w:w="6374" w:type="dxa"/>
            <w:tcBorders>
              <w:top w:val="single" w:sz="4" w:space="0" w:color="auto"/>
              <w:bottom w:val="single" w:sz="4" w:space="0" w:color="auto"/>
            </w:tcBorders>
            <w:shd w:val="clear" w:color="auto" w:fill="auto"/>
          </w:tcPr>
          <w:p w14:paraId="4B55532E" w14:textId="77777777" w:rsidR="00312368" w:rsidRPr="009D4CD4" w:rsidRDefault="00312368" w:rsidP="00312368">
            <w:pPr>
              <w:spacing w:after="0" w:line="240" w:lineRule="auto"/>
              <w:ind w:right="140"/>
              <w:jc w:val="left"/>
              <w:rPr>
                <w:rFonts w:eastAsia="Times New Roman" w:cs="Arial"/>
              </w:rPr>
            </w:pPr>
            <w:r w:rsidRPr="009D4CD4">
              <w:rPr>
                <w:rFonts w:eastAsia="Times New Roman" w:cs="Arial"/>
              </w:rPr>
              <w:t>Nombre de clients en situation de fragilité</w:t>
            </w:r>
          </w:p>
        </w:tc>
        <w:tc>
          <w:tcPr>
            <w:tcW w:w="1247" w:type="dxa"/>
            <w:shd w:val="clear" w:color="auto" w:fill="auto"/>
          </w:tcPr>
          <w:p w14:paraId="2364F2D0" w14:textId="77F0593F" w:rsidR="00312368" w:rsidRPr="009D4CD4" w:rsidRDefault="00F84CFC"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12 034</w:t>
            </w:r>
          </w:p>
        </w:tc>
        <w:tc>
          <w:tcPr>
            <w:tcW w:w="1276" w:type="dxa"/>
            <w:shd w:val="clear" w:color="auto" w:fill="auto"/>
          </w:tcPr>
          <w:p w14:paraId="72C3ED00" w14:textId="66B16D4E" w:rsidR="00312368" w:rsidRPr="009D4CD4" w:rsidRDefault="00312368"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11</w:t>
            </w:r>
            <w:r w:rsidR="00F84CFC" w:rsidRPr="009D4CD4">
              <w:rPr>
                <w:rFonts w:eastAsia="Times New Roman" w:cs="Arial"/>
                <w:sz w:val="20"/>
                <w:szCs w:val="20"/>
              </w:rPr>
              <w:t> </w:t>
            </w:r>
            <w:r w:rsidRPr="009D4CD4">
              <w:rPr>
                <w:rFonts w:eastAsia="Times New Roman" w:cs="Arial"/>
                <w:sz w:val="20"/>
                <w:szCs w:val="20"/>
              </w:rPr>
              <w:t>862</w:t>
            </w:r>
          </w:p>
        </w:tc>
        <w:tc>
          <w:tcPr>
            <w:tcW w:w="1134" w:type="dxa"/>
            <w:shd w:val="clear" w:color="auto" w:fill="auto"/>
          </w:tcPr>
          <w:p w14:paraId="6168183A" w14:textId="5C1F16EC" w:rsidR="00312368" w:rsidRPr="009D4CD4" w:rsidRDefault="00312368"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6 632</w:t>
            </w:r>
          </w:p>
        </w:tc>
      </w:tr>
      <w:tr w:rsidR="00312368" w:rsidRPr="009D4CD4" w14:paraId="05A752D3" w14:textId="77777777" w:rsidTr="00F84CFC">
        <w:trPr>
          <w:trHeight w:hRule="exact" w:val="561"/>
        </w:trPr>
        <w:tc>
          <w:tcPr>
            <w:tcW w:w="6374" w:type="dxa"/>
            <w:tcBorders>
              <w:top w:val="single" w:sz="4" w:space="0" w:color="auto"/>
            </w:tcBorders>
            <w:shd w:val="clear" w:color="auto" w:fill="auto"/>
          </w:tcPr>
          <w:p w14:paraId="636A19DD" w14:textId="77777777" w:rsidR="00312368" w:rsidRPr="009D4CD4" w:rsidRDefault="00312368" w:rsidP="00312368">
            <w:pPr>
              <w:spacing w:after="0" w:line="240" w:lineRule="auto"/>
              <w:ind w:right="140"/>
              <w:jc w:val="left"/>
              <w:rPr>
                <w:rFonts w:eastAsia="Times New Roman" w:cs="Arial"/>
              </w:rPr>
            </w:pPr>
            <w:r w:rsidRPr="009D4CD4">
              <w:rPr>
                <w:rFonts w:eastAsia="Times New Roman" w:cs="Arial"/>
              </w:rPr>
              <w:t>Nombre de clients en situation de fragilité titulaires de la solution Budget Protégé</w:t>
            </w:r>
          </w:p>
        </w:tc>
        <w:tc>
          <w:tcPr>
            <w:tcW w:w="1247" w:type="dxa"/>
            <w:shd w:val="clear" w:color="auto" w:fill="auto"/>
          </w:tcPr>
          <w:p w14:paraId="786F1AE8" w14:textId="04BD5500" w:rsidR="00312368" w:rsidRPr="009D4CD4" w:rsidRDefault="00F84CFC"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2 870</w:t>
            </w:r>
          </w:p>
        </w:tc>
        <w:tc>
          <w:tcPr>
            <w:tcW w:w="1276" w:type="dxa"/>
            <w:shd w:val="clear" w:color="auto" w:fill="auto"/>
          </w:tcPr>
          <w:p w14:paraId="0F329709" w14:textId="2FBF34FA" w:rsidR="00312368" w:rsidRPr="009D4CD4" w:rsidRDefault="00312368"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2 609</w:t>
            </w:r>
          </w:p>
        </w:tc>
        <w:tc>
          <w:tcPr>
            <w:tcW w:w="1134" w:type="dxa"/>
            <w:shd w:val="clear" w:color="auto" w:fill="auto"/>
          </w:tcPr>
          <w:p w14:paraId="55601B1C" w14:textId="77777777" w:rsidR="00312368" w:rsidRPr="009D4CD4" w:rsidRDefault="00312368"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2 285</w:t>
            </w:r>
          </w:p>
          <w:p w14:paraId="756D857F" w14:textId="77777777" w:rsidR="00312368" w:rsidRPr="009D4CD4" w:rsidRDefault="00312368" w:rsidP="00312368">
            <w:pPr>
              <w:autoSpaceDE w:val="0"/>
              <w:autoSpaceDN w:val="0"/>
              <w:adjustRightInd w:val="0"/>
              <w:spacing w:after="0" w:line="240" w:lineRule="auto"/>
              <w:jc w:val="left"/>
              <w:rPr>
                <w:rFonts w:eastAsia="Times New Roman" w:cs="Arial"/>
                <w:sz w:val="20"/>
                <w:szCs w:val="20"/>
              </w:rPr>
            </w:pPr>
          </w:p>
        </w:tc>
      </w:tr>
      <w:tr w:rsidR="00312368" w:rsidRPr="009D4CD4" w14:paraId="10D3A579" w14:textId="77777777" w:rsidTr="00F84CFC">
        <w:trPr>
          <w:trHeight w:hRule="exact" w:val="284"/>
        </w:trPr>
        <w:tc>
          <w:tcPr>
            <w:tcW w:w="6374" w:type="dxa"/>
            <w:tcBorders>
              <w:top w:val="single" w:sz="4" w:space="0" w:color="auto"/>
            </w:tcBorders>
            <w:shd w:val="clear" w:color="auto" w:fill="auto"/>
          </w:tcPr>
          <w:p w14:paraId="7F211B86" w14:textId="77777777" w:rsidR="00312368" w:rsidRPr="009D4CD4" w:rsidRDefault="00312368" w:rsidP="00312368">
            <w:pPr>
              <w:spacing w:after="0" w:line="240" w:lineRule="auto"/>
              <w:ind w:right="140"/>
              <w:jc w:val="left"/>
              <w:rPr>
                <w:rFonts w:eastAsia="Times New Roman" w:cs="Arial"/>
              </w:rPr>
            </w:pPr>
            <w:r w:rsidRPr="009D4CD4">
              <w:rPr>
                <w:rFonts w:eastAsia="Times New Roman" w:cs="Arial"/>
              </w:rPr>
              <w:t xml:space="preserve">Taux </w:t>
            </w:r>
          </w:p>
        </w:tc>
        <w:tc>
          <w:tcPr>
            <w:tcW w:w="1247" w:type="dxa"/>
            <w:shd w:val="clear" w:color="auto" w:fill="auto"/>
          </w:tcPr>
          <w:p w14:paraId="3429F0B2" w14:textId="3D062D21" w:rsidR="00312368" w:rsidRPr="009D4CD4" w:rsidRDefault="00F84CFC"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23,8</w:t>
            </w:r>
            <w:r w:rsidR="00312368" w:rsidRPr="009D4CD4">
              <w:rPr>
                <w:rFonts w:eastAsia="Times New Roman" w:cs="Arial"/>
                <w:sz w:val="20"/>
                <w:szCs w:val="20"/>
              </w:rPr>
              <w:t xml:space="preserve"> %</w:t>
            </w:r>
          </w:p>
        </w:tc>
        <w:tc>
          <w:tcPr>
            <w:tcW w:w="1276" w:type="dxa"/>
            <w:shd w:val="clear" w:color="auto" w:fill="auto"/>
          </w:tcPr>
          <w:p w14:paraId="4803B0CF" w14:textId="188A9DDA" w:rsidR="00312368" w:rsidRPr="009D4CD4" w:rsidRDefault="00312368"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22,0 %</w:t>
            </w:r>
          </w:p>
        </w:tc>
        <w:tc>
          <w:tcPr>
            <w:tcW w:w="1134" w:type="dxa"/>
            <w:shd w:val="clear" w:color="auto" w:fill="auto"/>
          </w:tcPr>
          <w:p w14:paraId="50A2CE5D" w14:textId="76706AD7" w:rsidR="00312368" w:rsidRPr="009D4CD4" w:rsidRDefault="00312368" w:rsidP="0031236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34,5 %</w:t>
            </w:r>
          </w:p>
        </w:tc>
      </w:tr>
    </w:tbl>
    <w:p w14:paraId="094177E7" w14:textId="3FAE30FA" w:rsidR="00EE28F3" w:rsidRPr="009D4CD4" w:rsidRDefault="00EE28F3" w:rsidP="00B72A61">
      <w:pPr>
        <w:spacing w:after="0" w:line="240" w:lineRule="auto"/>
        <w:jc w:val="left"/>
        <w:rPr>
          <w:rFonts w:cs="Arial"/>
          <w:noProof/>
          <w:lang w:eastAsia="fr-FR"/>
        </w:rPr>
      </w:pPr>
    </w:p>
    <w:p w14:paraId="54B11452" w14:textId="77777777" w:rsidR="00312368" w:rsidRPr="009D4CD4" w:rsidRDefault="00312368" w:rsidP="00312368">
      <w:pPr>
        <w:spacing w:after="0" w:line="240" w:lineRule="auto"/>
        <w:jc w:val="left"/>
        <w:rPr>
          <w:lang w:eastAsia="fr-FR"/>
        </w:rPr>
      </w:pPr>
      <w:r w:rsidRPr="009D4CD4">
        <w:rPr>
          <w:lang w:eastAsia="fr-FR"/>
        </w:rPr>
        <w:t xml:space="preserve">Face aux enjeux socio-économiques renforcés par la crise sanitaire, mais aussi aux attentes vis-à-vis des banques et dans un contexte réglementaire en faveur de l’inclusion bancaire, les Caisses régionales de Crédit Agricole se sont engagées en faveur de la clientèle en situation de fragilité financière, sur la base d’un accompagnement global allant de la prévention à la curation. </w:t>
      </w:r>
    </w:p>
    <w:p w14:paraId="28655F3D" w14:textId="77777777" w:rsidR="00312368" w:rsidRPr="009D4CD4" w:rsidRDefault="00312368" w:rsidP="00312368">
      <w:pPr>
        <w:spacing w:after="0" w:line="240" w:lineRule="auto"/>
        <w:jc w:val="left"/>
        <w:rPr>
          <w:lang w:eastAsia="fr-FR"/>
        </w:rPr>
      </w:pPr>
      <w:r w:rsidRPr="009D4CD4">
        <w:rPr>
          <w:lang w:eastAsia="fr-FR"/>
        </w:rPr>
        <w:t xml:space="preserve">Le dispositif correspondant comporte plusieurs outils : </w:t>
      </w:r>
    </w:p>
    <w:p w14:paraId="54036BA5" w14:textId="77777777" w:rsidR="00312368" w:rsidRPr="009D4CD4" w:rsidRDefault="00312368" w:rsidP="00312368">
      <w:pPr>
        <w:spacing w:after="0" w:line="240" w:lineRule="auto"/>
        <w:jc w:val="left"/>
        <w:rPr>
          <w:lang w:eastAsia="fr-FR"/>
        </w:rPr>
      </w:pPr>
      <w:r w:rsidRPr="009D4CD4">
        <w:rPr>
          <w:lang w:eastAsia="fr-FR"/>
        </w:rPr>
        <w:t xml:space="preserve">&gt; Détection des clients en situation de fragilité financière, </w:t>
      </w:r>
    </w:p>
    <w:p w14:paraId="22457388" w14:textId="738849A2" w:rsidR="00312368" w:rsidRPr="009D4CD4" w:rsidRDefault="00312368" w:rsidP="00312368">
      <w:pPr>
        <w:spacing w:after="0" w:line="240" w:lineRule="auto"/>
        <w:jc w:val="left"/>
        <w:rPr>
          <w:lang w:eastAsia="fr-FR"/>
        </w:rPr>
      </w:pPr>
      <w:r w:rsidRPr="009D4CD4">
        <w:rPr>
          <w:lang w:eastAsia="fr-FR"/>
        </w:rPr>
        <w:t>&gt; Plafonnement des frais de dysfonctionnement,</w:t>
      </w:r>
      <w:r w:rsidRPr="009D4CD4">
        <w:rPr>
          <w:lang w:eastAsia="fr-FR"/>
        </w:rPr>
        <w:br/>
        <w:t>&gt; Distributio</w:t>
      </w:r>
      <w:r w:rsidR="004E796A">
        <w:rPr>
          <w:lang w:eastAsia="fr-FR"/>
        </w:rPr>
        <w:t>n de la solution Budget Protégé.</w:t>
      </w:r>
    </w:p>
    <w:p w14:paraId="5D6DF309" w14:textId="77777777" w:rsidR="00312368" w:rsidRPr="009D4CD4" w:rsidRDefault="00312368" w:rsidP="00312368">
      <w:pPr>
        <w:spacing w:after="0" w:line="240" w:lineRule="auto"/>
        <w:jc w:val="left"/>
        <w:rPr>
          <w:lang w:eastAsia="fr-FR"/>
        </w:rPr>
      </w:pPr>
    </w:p>
    <w:p w14:paraId="5E1176CF" w14:textId="1AE94B9B" w:rsidR="00312368" w:rsidRPr="009D4CD4" w:rsidRDefault="00312368" w:rsidP="00312368">
      <w:pPr>
        <w:spacing w:after="0" w:line="240" w:lineRule="auto"/>
        <w:jc w:val="left"/>
        <w:rPr>
          <w:lang w:eastAsia="fr-FR"/>
        </w:rPr>
      </w:pPr>
      <w:r w:rsidRPr="009D4CD4">
        <w:rPr>
          <w:lang w:eastAsia="fr-FR"/>
        </w:rPr>
        <w:t>Le process du CANMP d'accompagnement de la clientèle en situation de fragilité fi</w:t>
      </w:r>
      <w:r w:rsidR="00A04233">
        <w:rPr>
          <w:lang w:eastAsia="fr-FR"/>
        </w:rPr>
        <w:t xml:space="preserve">nancière s'articule autour de 3 </w:t>
      </w:r>
      <w:r w:rsidRPr="009D4CD4">
        <w:rPr>
          <w:lang w:eastAsia="fr-FR"/>
        </w:rPr>
        <w:t xml:space="preserve">étapes : </w:t>
      </w:r>
    </w:p>
    <w:p w14:paraId="4B7DE5AB" w14:textId="1DA65AF9" w:rsidR="00312368" w:rsidRPr="009D4CD4" w:rsidRDefault="00312368" w:rsidP="00312368">
      <w:pPr>
        <w:spacing w:after="0" w:line="240" w:lineRule="auto"/>
        <w:jc w:val="left"/>
        <w:rPr>
          <w:lang w:eastAsia="fr-FR"/>
        </w:rPr>
      </w:pPr>
      <w:r w:rsidRPr="009D4CD4">
        <w:rPr>
          <w:lang w:eastAsia="fr-FR"/>
        </w:rPr>
        <w:t>&gt; Situation financière en alerte</w:t>
      </w:r>
      <w:r w:rsidR="004E796A">
        <w:rPr>
          <w:lang w:eastAsia="fr-FR"/>
        </w:rPr>
        <w:t>,</w:t>
      </w:r>
      <w:r w:rsidRPr="009D4CD4">
        <w:rPr>
          <w:lang w:eastAsia="fr-FR"/>
        </w:rPr>
        <w:br/>
        <w:t>&gt; Détection des clients en situation de fragilité avérée</w:t>
      </w:r>
      <w:r w:rsidR="004E796A">
        <w:rPr>
          <w:lang w:eastAsia="fr-FR"/>
        </w:rPr>
        <w:t>.</w:t>
      </w:r>
      <w:r w:rsidRPr="009D4CD4">
        <w:rPr>
          <w:lang w:eastAsia="fr-FR"/>
        </w:rPr>
        <w:br/>
        <w:t>&gt; Rendez-vous annue</w:t>
      </w:r>
      <w:r w:rsidR="00C00F61">
        <w:rPr>
          <w:lang w:eastAsia="fr-FR"/>
        </w:rPr>
        <w:t>l de suivi des clients fragiles</w:t>
      </w:r>
      <w:r w:rsidR="00C00F61" w:rsidRPr="00C00F61">
        <w:t xml:space="preserve"> </w:t>
      </w:r>
      <w:r w:rsidR="00C00F61">
        <w:t>équipés de la solution budget protégé </w:t>
      </w:r>
    </w:p>
    <w:p w14:paraId="37E0B53A" w14:textId="77777777" w:rsidR="00312368" w:rsidRPr="009D4CD4" w:rsidRDefault="00312368" w:rsidP="00312368">
      <w:pPr>
        <w:spacing w:after="0" w:line="240" w:lineRule="auto"/>
        <w:jc w:val="left"/>
        <w:rPr>
          <w:lang w:eastAsia="fr-FR"/>
        </w:rPr>
      </w:pPr>
    </w:p>
    <w:p w14:paraId="7DD790CC" w14:textId="77777777" w:rsidR="00312368" w:rsidRPr="009D4CD4" w:rsidRDefault="00312368" w:rsidP="00312368">
      <w:pPr>
        <w:spacing w:after="0" w:line="240" w:lineRule="auto"/>
        <w:jc w:val="left"/>
        <w:rPr>
          <w:i/>
          <w:iCs/>
          <w:lang w:eastAsia="fr-FR"/>
        </w:rPr>
      </w:pPr>
      <w:r w:rsidRPr="009D4CD4">
        <w:rPr>
          <w:i/>
          <w:iCs/>
          <w:lang w:eastAsia="fr-FR"/>
        </w:rPr>
        <w:t>Situation financière en alerte</w:t>
      </w:r>
    </w:p>
    <w:p w14:paraId="51DAD952" w14:textId="77777777" w:rsidR="00312368" w:rsidRPr="009D4CD4" w:rsidRDefault="00312368" w:rsidP="00312368">
      <w:pPr>
        <w:spacing w:after="0" w:line="240" w:lineRule="auto"/>
        <w:jc w:val="left"/>
        <w:rPr>
          <w:lang w:eastAsia="fr-FR"/>
        </w:rPr>
      </w:pPr>
    </w:p>
    <w:p w14:paraId="53CFF854" w14:textId="77777777" w:rsidR="00312368" w:rsidRPr="009D4CD4" w:rsidRDefault="00312368" w:rsidP="00312368">
      <w:pPr>
        <w:spacing w:after="0" w:line="240" w:lineRule="auto"/>
        <w:jc w:val="left"/>
        <w:rPr>
          <w:lang w:eastAsia="fr-FR"/>
        </w:rPr>
      </w:pPr>
      <w:r w:rsidRPr="009D4CD4">
        <w:rPr>
          <w:lang w:eastAsia="fr-FR"/>
        </w:rPr>
        <w:t xml:space="preserve">Fixée par la réglementation, cette étape permet de détecter les clients en tout début de fragilité financière grâce à la détection de dysfonctionnements liés au montant de flux créditeurs et à l’existence de commissions d’intervention.  Un plafond de facturation des frais de dysfonctionnement de 25 € par mois est appliqué. </w:t>
      </w:r>
    </w:p>
    <w:p w14:paraId="6C768AAD" w14:textId="77777777" w:rsidR="00312368" w:rsidRPr="009D4CD4" w:rsidRDefault="00312368" w:rsidP="00312368">
      <w:pPr>
        <w:spacing w:after="0" w:line="240" w:lineRule="auto"/>
        <w:jc w:val="left"/>
        <w:rPr>
          <w:lang w:eastAsia="fr-FR"/>
        </w:rPr>
      </w:pPr>
    </w:p>
    <w:p w14:paraId="1AB2F8B9" w14:textId="77777777" w:rsidR="00312368" w:rsidRPr="009D4CD4" w:rsidRDefault="00312368" w:rsidP="00312368">
      <w:pPr>
        <w:spacing w:after="0" w:line="240" w:lineRule="auto"/>
        <w:jc w:val="left"/>
        <w:rPr>
          <w:i/>
          <w:iCs/>
          <w:lang w:eastAsia="fr-FR"/>
        </w:rPr>
      </w:pPr>
      <w:r w:rsidRPr="009D4CD4">
        <w:rPr>
          <w:i/>
          <w:iCs/>
          <w:lang w:eastAsia="fr-FR"/>
        </w:rPr>
        <w:t>Détection des clients en situation de fragilité avérée</w:t>
      </w:r>
    </w:p>
    <w:p w14:paraId="5EFC9E02" w14:textId="77777777" w:rsidR="00312368" w:rsidRPr="009D4CD4" w:rsidRDefault="00312368" w:rsidP="00312368">
      <w:pPr>
        <w:spacing w:after="0" w:line="240" w:lineRule="auto"/>
        <w:jc w:val="left"/>
        <w:rPr>
          <w:lang w:eastAsia="fr-FR"/>
        </w:rPr>
      </w:pPr>
    </w:p>
    <w:p w14:paraId="1C469389" w14:textId="77777777" w:rsidR="00312368" w:rsidRPr="009D4CD4" w:rsidRDefault="00312368" w:rsidP="00312368">
      <w:pPr>
        <w:spacing w:after="0" w:line="240" w:lineRule="auto"/>
        <w:jc w:val="left"/>
        <w:rPr>
          <w:lang w:eastAsia="fr-FR"/>
        </w:rPr>
      </w:pPr>
      <w:r w:rsidRPr="009D4CD4">
        <w:rPr>
          <w:lang w:eastAsia="fr-FR"/>
        </w:rPr>
        <w:t>En ligne avec les dispositions réglementaires, cette étape permet d’identifier tous les mois les clients en situation de fragilité au vu de différents critères : surendettement ; interdiction bancaire à partir de 15 jours ; irrégularités et dysfonctionnement du compte pendant trois mois consécutifs.</w:t>
      </w:r>
    </w:p>
    <w:p w14:paraId="5A96BC52" w14:textId="77777777" w:rsidR="00312368" w:rsidRPr="009D4CD4" w:rsidRDefault="00312368" w:rsidP="00312368">
      <w:pPr>
        <w:spacing w:after="0" w:line="240" w:lineRule="auto"/>
        <w:jc w:val="left"/>
        <w:rPr>
          <w:lang w:eastAsia="fr-FR"/>
        </w:rPr>
      </w:pPr>
      <w:r w:rsidRPr="009D4CD4">
        <w:rPr>
          <w:lang w:eastAsia="fr-FR"/>
        </w:rPr>
        <w:t xml:space="preserve">Un plafond de facturation des frais de dysfonctionnement de 25 € par mois est appliqué. </w:t>
      </w:r>
    </w:p>
    <w:p w14:paraId="63C36F8D" w14:textId="1A5EC675" w:rsidR="00312368" w:rsidRPr="009D4CD4" w:rsidRDefault="00312368" w:rsidP="00312368">
      <w:pPr>
        <w:spacing w:after="0" w:line="240" w:lineRule="auto"/>
        <w:jc w:val="left"/>
        <w:rPr>
          <w:lang w:eastAsia="fr-FR"/>
        </w:rPr>
      </w:pPr>
      <w:r w:rsidRPr="009D4CD4">
        <w:rPr>
          <w:lang w:eastAsia="fr-FR"/>
        </w:rPr>
        <w:t>Les clients identifiés sont alertés par courrier. Une information est envoyée au Conseiller pour proposer un entretien. Les clients se voient proposer la souscription de la solution « Budget Protégé ». Pour un coût de 1€ par mois, cette offre permet de réduire de 50% les frais de dysfonctionnement et</w:t>
      </w:r>
      <w:r w:rsidR="00C87E41">
        <w:rPr>
          <w:lang w:eastAsia="fr-FR"/>
        </w:rPr>
        <w:t xml:space="preserve"> de les plafonner à hauteur de 10€ par mois et 12</w:t>
      </w:r>
      <w:r w:rsidRPr="009D4CD4">
        <w:rPr>
          <w:lang w:eastAsia="fr-FR"/>
        </w:rPr>
        <w:t xml:space="preserve">0€ par an. La solution procure divers services dont une carte bancaire. </w:t>
      </w:r>
    </w:p>
    <w:p w14:paraId="5B9B654A" w14:textId="77777777" w:rsidR="00312368" w:rsidRPr="009D4CD4" w:rsidRDefault="00312368" w:rsidP="00312368">
      <w:pPr>
        <w:spacing w:after="0" w:line="240" w:lineRule="auto"/>
        <w:jc w:val="left"/>
        <w:rPr>
          <w:lang w:eastAsia="fr-FR"/>
        </w:rPr>
      </w:pPr>
    </w:p>
    <w:p w14:paraId="7389A564" w14:textId="77777777" w:rsidR="00312368" w:rsidRPr="009D4CD4" w:rsidRDefault="00312368" w:rsidP="00312368">
      <w:pPr>
        <w:spacing w:after="0" w:line="240" w:lineRule="auto"/>
        <w:jc w:val="left"/>
        <w:rPr>
          <w:i/>
          <w:iCs/>
          <w:lang w:eastAsia="fr-FR"/>
        </w:rPr>
      </w:pPr>
      <w:r w:rsidRPr="009D4CD4">
        <w:rPr>
          <w:i/>
          <w:iCs/>
          <w:lang w:eastAsia="fr-FR"/>
        </w:rPr>
        <w:t>Rendez-vous annuel de suivi des clients fragiles</w:t>
      </w:r>
    </w:p>
    <w:p w14:paraId="029AE18C" w14:textId="77777777" w:rsidR="00312368" w:rsidRPr="009D4CD4" w:rsidRDefault="00312368" w:rsidP="00312368">
      <w:pPr>
        <w:spacing w:after="0" w:line="240" w:lineRule="auto"/>
        <w:jc w:val="left"/>
        <w:rPr>
          <w:lang w:eastAsia="fr-FR"/>
        </w:rPr>
      </w:pPr>
      <w:r w:rsidRPr="009D4CD4">
        <w:rPr>
          <w:lang w:eastAsia="fr-FR"/>
        </w:rPr>
        <w:t>Les clients titulaires de l’offre Budget Protégé sont rencontrés annuellement par leur conseiller, à date anniversaire de la souscription.</w:t>
      </w:r>
    </w:p>
    <w:p w14:paraId="0ACB60D9" w14:textId="77777777" w:rsidR="00312368" w:rsidRPr="009D4CD4" w:rsidRDefault="00312368" w:rsidP="00312368">
      <w:pPr>
        <w:spacing w:after="0" w:line="240" w:lineRule="auto"/>
        <w:jc w:val="left"/>
        <w:rPr>
          <w:lang w:eastAsia="fr-FR"/>
        </w:rPr>
      </w:pPr>
    </w:p>
    <w:p w14:paraId="374F2606" w14:textId="77777777" w:rsidR="00312368" w:rsidRPr="009D4CD4" w:rsidRDefault="00312368" w:rsidP="00312368">
      <w:pPr>
        <w:spacing w:after="0" w:line="240" w:lineRule="auto"/>
        <w:jc w:val="left"/>
        <w:rPr>
          <w:lang w:eastAsia="fr-FR"/>
        </w:rPr>
      </w:pPr>
      <w:r w:rsidRPr="009D4CD4">
        <w:rPr>
          <w:lang w:eastAsia="fr-FR"/>
        </w:rPr>
        <w:t>Par ailleurs, le CANMP met à disposition des clients aux prises avec des difficultés passagères la plateforme en ligne sur son site internet « Maîtrisez votre budget avec le Crédit Agricole ». Les clients y trouvent des conseils pour bien gérer leur budget ; les aides et dispositifs en cas de coup dur. L’application gratuite « Pilote Budget » permet de faire le point rapidement sur ses ressources et dépenses fixes. Elle permet de calculer ce qu’il reste pour vivre chaque semaine ou chaque mois. Cette application ne nécessite pas de créer un compte ni d’avoir d’adresse mail. Une fois téléchargée, elle reste disponible hors connexion. Les données sont stockées uniquement sur le téléphone, et ne sont pas collectées.</w:t>
      </w:r>
    </w:p>
    <w:p w14:paraId="72727FB2" w14:textId="77777777" w:rsidR="00312368" w:rsidRPr="009D4CD4" w:rsidRDefault="00312368" w:rsidP="00312368">
      <w:pPr>
        <w:spacing w:after="0" w:line="240" w:lineRule="auto"/>
        <w:jc w:val="left"/>
        <w:rPr>
          <w:lang w:eastAsia="fr-FR"/>
        </w:rPr>
      </w:pPr>
      <w:r w:rsidRPr="009D4CD4">
        <w:t>La plateforme « Maitrisez votre Budget » présente également des produits et services proposés par les partenaires du Crédit Agricole pouvant aider au quotidien à limiter les frais. Certaines de ces offres sont soumises à critères d’éligibilité qui sont précisés sur les sites des partenaires, auxquels renvoient les liens « En savoir plus ». Par exemple, le coup de pouce Livebox d’Orange propose : une offre Internet + TV + tel fixe à tarif étudié ; la possibilité d’acheter un PC portable à un prix attractif ; l’accès à des conseils pour être plus à l’aise avec le numérique. Le Programme Malin de l’Association du même nom apporte des solutions concrètes aux parents ou futurs parents de jeunes enfants aux prises avec un budget serré, pour le quotidien et les repas des tout-petits : conseils personnalisés, offres pour diminuer le budget alimentation etc.</w:t>
      </w:r>
    </w:p>
    <w:p w14:paraId="32E471E3" w14:textId="5099E900" w:rsidR="009C76F5" w:rsidRPr="004E796A" w:rsidRDefault="00312368" w:rsidP="00B72A61">
      <w:pPr>
        <w:spacing w:after="0" w:line="240" w:lineRule="auto"/>
        <w:jc w:val="left"/>
        <w:rPr>
          <w:rFonts w:cs="Arial"/>
          <w:noProof/>
        </w:rPr>
      </w:pPr>
      <w:r w:rsidRPr="009D4CD4">
        <w:rPr>
          <w:lang w:eastAsia="fr-FR"/>
        </w:rPr>
        <w:t>Un dispositif d’alerte par SMS gratuit informe le client de sa situation débitrice non autorisée et d’opération(s) susceptible(s) d’être rejetées</w:t>
      </w:r>
      <w:r w:rsidRPr="009D4CD4">
        <w:rPr>
          <w:color w:val="FF0000"/>
        </w:rPr>
        <w:t xml:space="preserve"> </w:t>
      </w:r>
      <w:r w:rsidRPr="009D4CD4">
        <w:t>Ce dispositif est complété par une exonération des frais de commission d’intervention quand le client régularise sa situation dans la journée.</w:t>
      </w:r>
    </w:p>
    <w:p w14:paraId="00F1D175" w14:textId="7F121332" w:rsidR="00B72A61" w:rsidRPr="009D4CD4" w:rsidRDefault="00B72A61" w:rsidP="00D56BFE">
      <w:pPr>
        <w:pStyle w:val="Titre4"/>
      </w:pPr>
      <w:bookmarkStart w:id="36" w:name="_Toc96697975"/>
      <w:r w:rsidRPr="009D4CD4">
        <w:t>Le dispositif</w:t>
      </w:r>
      <w:r w:rsidR="00F57B35" w:rsidRPr="009D4CD4">
        <w:t xml:space="preserve"> des </w:t>
      </w:r>
      <w:r w:rsidRPr="009D4CD4">
        <w:t>Points</w:t>
      </w:r>
      <w:r w:rsidR="00F57B35" w:rsidRPr="009D4CD4">
        <w:t>-</w:t>
      </w:r>
      <w:r w:rsidRPr="009D4CD4">
        <w:t>Passerelle</w:t>
      </w:r>
      <w:bookmarkEnd w:id="3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4"/>
        <w:gridCol w:w="1247"/>
        <w:gridCol w:w="1276"/>
        <w:gridCol w:w="1134"/>
      </w:tblGrid>
      <w:tr w:rsidR="007A7D0F" w:rsidRPr="009D4CD4" w14:paraId="796932C4" w14:textId="77777777" w:rsidTr="00523615">
        <w:trPr>
          <w:trHeight w:hRule="exact" w:val="312"/>
        </w:trPr>
        <w:tc>
          <w:tcPr>
            <w:tcW w:w="6374" w:type="dxa"/>
            <w:tcBorders>
              <w:top w:val="nil"/>
              <w:left w:val="nil"/>
              <w:bottom w:val="single" w:sz="4" w:space="0" w:color="auto"/>
              <w:right w:val="single" w:sz="4" w:space="0" w:color="auto"/>
            </w:tcBorders>
            <w:shd w:val="clear" w:color="auto" w:fill="auto"/>
          </w:tcPr>
          <w:p w14:paraId="57FD2DA0" w14:textId="77777777" w:rsidR="007A7D0F" w:rsidRPr="009D4CD4" w:rsidRDefault="007A7D0F" w:rsidP="007A7D0F">
            <w:pPr>
              <w:spacing w:after="0" w:line="240" w:lineRule="auto"/>
              <w:ind w:right="140"/>
              <w:jc w:val="left"/>
              <w:rPr>
                <w:rFonts w:eastAsia="Times New Roman" w:cs="Arial"/>
              </w:rPr>
            </w:pPr>
            <w:r w:rsidRPr="009D4CD4">
              <w:rPr>
                <w:rFonts w:eastAsia="Times New Roman" w:cs="Arial"/>
                <w:b/>
                <w:i/>
                <w:sz w:val="20"/>
                <w:szCs w:val="20"/>
              </w:rPr>
              <w:t>Les chiffres – clé</w:t>
            </w:r>
          </w:p>
        </w:tc>
        <w:tc>
          <w:tcPr>
            <w:tcW w:w="1247" w:type="dxa"/>
            <w:tcBorders>
              <w:left w:val="single" w:sz="4" w:space="0" w:color="auto"/>
            </w:tcBorders>
            <w:shd w:val="clear" w:color="auto" w:fill="auto"/>
          </w:tcPr>
          <w:p w14:paraId="26CC2ED7" w14:textId="333E75C4" w:rsidR="007A7D0F" w:rsidRPr="009D4CD4" w:rsidRDefault="007A7D0F" w:rsidP="007A7D0F">
            <w:pPr>
              <w:spacing w:after="0" w:line="240" w:lineRule="auto"/>
              <w:ind w:right="140"/>
              <w:jc w:val="left"/>
              <w:rPr>
                <w:rFonts w:eastAsia="Times New Roman" w:cs="Arial"/>
                <w:b/>
              </w:rPr>
            </w:pPr>
            <w:r w:rsidRPr="009D4CD4">
              <w:rPr>
                <w:rFonts w:eastAsia="Times New Roman" w:cs="Arial"/>
                <w:b/>
              </w:rPr>
              <w:t>2021</w:t>
            </w:r>
          </w:p>
        </w:tc>
        <w:tc>
          <w:tcPr>
            <w:tcW w:w="1276" w:type="dxa"/>
            <w:shd w:val="clear" w:color="auto" w:fill="auto"/>
          </w:tcPr>
          <w:p w14:paraId="022DB9A3" w14:textId="6D74B025" w:rsidR="007A7D0F" w:rsidRPr="009D4CD4" w:rsidRDefault="007A7D0F" w:rsidP="007A7D0F">
            <w:pPr>
              <w:spacing w:after="0" w:line="240" w:lineRule="auto"/>
              <w:ind w:right="140"/>
              <w:jc w:val="left"/>
              <w:rPr>
                <w:rFonts w:eastAsia="Times New Roman" w:cs="Arial"/>
                <w:b/>
              </w:rPr>
            </w:pPr>
            <w:r w:rsidRPr="009D4CD4">
              <w:rPr>
                <w:rFonts w:eastAsia="Times New Roman" w:cs="Arial"/>
                <w:b/>
              </w:rPr>
              <w:t>2020</w:t>
            </w:r>
          </w:p>
        </w:tc>
        <w:tc>
          <w:tcPr>
            <w:tcW w:w="1134" w:type="dxa"/>
            <w:shd w:val="clear" w:color="auto" w:fill="auto"/>
          </w:tcPr>
          <w:p w14:paraId="2F37594A" w14:textId="1620F124" w:rsidR="007A7D0F" w:rsidRPr="009D4CD4" w:rsidRDefault="007A7D0F" w:rsidP="007A7D0F">
            <w:pPr>
              <w:spacing w:after="0" w:line="240" w:lineRule="auto"/>
              <w:ind w:right="140"/>
              <w:jc w:val="left"/>
              <w:rPr>
                <w:rFonts w:eastAsia="Times New Roman" w:cs="Arial"/>
                <w:b/>
              </w:rPr>
            </w:pPr>
            <w:r w:rsidRPr="009D4CD4">
              <w:rPr>
                <w:rFonts w:eastAsia="Times New Roman" w:cs="Arial"/>
                <w:b/>
              </w:rPr>
              <w:t>2019</w:t>
            </w:r>
          </w:p>
        </w:tc>
      </w:tr>
      <w:tr w:rsidR="007A7D0F" w:rsidRPr="009D4CD4" w14:paraId="5595843A" w14:textId="77777777" w:rsidTr="00523615">
        <w:trPr>
          <w:trHeight w:hRule="exact" w:val="284"/>
        </w:trPr>
        <w:tc>
          <w:tcPr>
            <w:tcW w:w="6374" w:type="dxa"/>
            <w:tcBorders>
              <w:top w:val="single" w:sz="4" w:space="0" w:color="auto"/>
            </w:tcBorders>
            <w:shd w:val="clear" w:color="auto" w:fill="auto"/>
          </w:tcPr>
          <w:p w14:paraId="53CD739A" w14:textId="77777777" w:rsidR="007A7D0F" w:rsidRPr="009D4CD4" w:rsidRDefault="007A7D0F" w:rsidP="007A7D0F">
            <w:pPr>
              <w:spacing w:after="0" w:line="240" w:lineRule="auto"/>
              <w:ind w:right="140"/>
              <w:jc w:val="left"/>
              <w:rPr>
                <w:rFonts w:eastAsia="Times New Roman" w:cs="Arial"/>
              </w:rPr>
            </w:pPr>
            <w:r w:rsidRPr="009D4CD4">
              <w:rPr>
                <w:rFonts w:eastAsia="Times New Roman" w:cs="Arial"/>
                <w:sz w:val="20"/>
                <w:szCs w:val="20"/>
              </w:rPr>
              <w:t>Personnes reçues au niveau des Points Passerelle</w:t>
            </w:r>
          </w:p>
        </w:tc>
        <w:tc>
          <w:tcPr>
            <w:tcW w:w="1247" w:type="dxa"/>
            <w:shd w:val="clear" w:color="auto" w:fill="auto"/>
          </w:tcPr>
          <w:p w14:paraId="0BD8B217" w14:textId="59689325"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137</w:t>
            </w:r>
          </w:p>
        </w:tc>
        <w:tc>
          <w:tcPr>
            <w:tcW w:w="1276" w:type="dxa"/>
            <w:shd w:val="clear" w:color="auto" w:fill="auto"/>
          </w:tcPr>
          <w:p w14:paraId="1334D95A" w14:textId="20B02E87"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136</w:t>
            </w:r>
          </w:p>
        </w:tc>
        <w:tc>
          <w:tcPr>
            <w:tcW w:w="1134" w:type="dxa"/>
            <w:shd w:val="clear" w:color="auto" w:fill="auto"/>
          </w:tcPr>
          <w:p w14:paraId="6D82FFA0" w14:textId="6AC610AE"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124</w:t>
            </w:r>
          </w:p>
        </w:tc>
      </w:tr>
      <w:tr w:rsidR="007A7D0F" w:rsidRPr="009D4CD4" w14:paraId="33C031B5" w14:textId="77777777" w:rsidTr="00523615">
        <w:trPr>
          <w:trHeight w:hRule="exact" w:val="284"/>
        </w:trPr>
        <w:tc>
          <w:tcPr>
            <w:tcW w:w="6374" w:type="dxa"/>
            <w:shd w:val="clear" w:color="auto" w:fill="auto"/>
          </w:tcPr>
          <w:p w14:paraId="63FE7C82" w14:textId="77777777" w:rsidR="007A7D0F" w:rsidRPr="009D4CD4" w:rsidRDefault="007A7D0F" w:rsidP="007A7D0F">
            <w:pPr>
              <w:spacing w:after="0" w:line="240" w:lineRule="auto"/>
              <w:ind w:right="140"/>
              <w:jc w:val="left"/>
              <w:rPr>
                <w:rFonts w:eastAsia="Times New Roman" w:cs="Arial"/>
              </w:rPr>
            </w:pPr>
            <w:r w:rsidRPr="009D4CD4">
              <w:rPr>
                <w:rFonts w:eastAsia="Times New Roman" w:cs="Arial"/>
                <w:sz w:val="20"/>
                <w:szCs w:val="20"/>
              </w:rPr>
              <w:t>Personnes en cours d’accompagnement</w:t>
            </w:r>
          </w:p>
        </w:tc>
        <w:tc>
          <w:tcPr>
            <w:tcW w:w="1247" w:type="dxa"/>
            <w:shd w:val="clear" w:color="auto" w:fill="auto"/>
          </w:tcPr>
          <w:p w14:paraId="34FB8675" w14:textId="2FF64A6D"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87</w:t>
            </w:r>
          </w:p>
        </w:tc>
        <w:tc>
          <w:tcPr>
            <w:tcW w:w="1276" w:type="dxa"/>
            <w:shd w:val="clear" w:color="auto" w:fill="auto"/>
          </w:tcPr>
          <w:p w14:paraId="3061FA51" w14:textId="4281E1B4"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79</w:t>
            </w:r>
          </w:p>
        </w:tc>
        <w:tc>
          <w:tcPr>
            <w:tcW w:w="1134" w:type="dxa"/>
            <w:shd w:val="clear" w:color="auto" w:fill="auto"/>
          </w:tcPr>
          <w:p w14:paraId="7DAEBE1C" w14:textId="0BBC8DC3"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94</w:t>
            </w:r>
          </w:p>
        </w:tc>
      </w:tr>
      <w:tr w:rsidR="007A7D0F" w:rsidRPr="009D4CD4" w14:paraId="5F3AC598" w14:textId="77777777" w:rsidTr="00523615">
        <w:trPr>
          <w:trHeight w:hRule="exact" w:val="284"/>
        </w:trPr>
        <w:tc>
          <w:tcPr>
            <w:tcW w:w="6374" w:type="dxa"/>
            <w:shd w:val="clear" w:color="auto" w:fill="auto"/>
          </w:tcPr>
          <w:p w14:paraId="6F3FB834" w14:textId="77777777" w:rsidR="007A7D0F" w:rsidRPr="009D4CD4" w:rsidRDefault="007A7D0F" w:rsidP="007A7D0F">
            <w:pPr>
              <w:spacing w:after="0" w:line="240" w:lineRule="auto"/>
              <w:ind w:right="140"/>
              <w:jc w:val="left"/>
              <w:rPr>
                <w:rFonts w:eastAsia="Times New Roman" w:cs="Arial"/>
                <w:sz w:val="20"/>
                <w:szCs w:val="20"/>
              </w:rPr>
            </w:pPr>
            <w:r w:rsidRPr="009D4CD4">
              <w:rPr>
                <w:rFonts w:eastAsia="Times New Roman" w:cs="Arial"/>
                <w:sz w:val="20"/>
                <w:szCs w:val="20"/>
              </w:rPr>
              <w:t>Personnes ayant connu une sortie favorable du dispositif</w:t>
            </w:r>
          </w:p>
        </w:tc>
        <w:tc>
          <w:tcPr>
            <w:tcW w:w="1247" w:type="dxa"/>
            <w:shd w:val="clear" w:color="auto" w:fill="auto"/>
          </w:tcPr>
          <w:p w14:paraId="7A8A9FB8" w14:textId="6E554EA9"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95</w:t>
            </w:r>
          </w:p>
        </w:tc>
        <w:tc>
          <w:tcPr>
            <w:tcW w:w="1276" w:type="dxa"/>
            <w:shd w:val="clear" w:color="auto" w:fill="auto"/>
          </w:tcPr>
          <w:p w14:paraId="331E475C" w14:textId="4F4EB3CE"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105</w:t>
            </w:r>
          </w:p>
        </w:tc>
        <w:tc>
          <w:tcPr>
            <w:tcW w:w="1134" w:type="dxa"/>
            <w:shd w:val="clear" w:color="auto" w:fill="auto"/>
          </w:tcPr>
          <w:p w14:paraId="2BA47575" w14:textId="657208B0" w:rsidR="007A7D0F" w:rsidRPr="009D4CD4" w:rsidRDefault="007A7D0F" w:rsidP="007A7D0F">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66</w:t>
            </w:r>
          </w:p>
        </w:tc>
      </w:tr>
    </w:tbl>
    <w:p w14:paraId="25F4F54F" w14:textId="77777777" w:rsidR="00983125" w:rsidRPr="009D4CD4" w:rsidRDefault="00983125" w:rsidP="00B72A61">
      <w:pPr>
        <w:spacing w:after="0" w:line="240" w:lineRule="auto"/>
        <w:jc w:val="left"/>
        <w:rPr>
          <w:rFonts w:cs="Arial"/>
        </w:rPr>
      </w:pPr>
    </w:p>
    <w:p w14:paraId="685ECE5F" w14:textId="73A8E6D9" w:rsidR="00B72A61" w:rsidRPr="009D4CD4" w:rsidRDefault="00B72A61" w:rsidP="00B72A61">
      <w:pPr>
        <w:spacing w:after="0" w:line="240" w:lineRule="auto"/>
        <w:jc w:val="left"/>
      </w:pPr>
      <w:r w:rsidRPr="009D4CD4">
        <w:t>Pour les clients Particuliers fragilisés par un a</w:t>
      </w:r>
      <w:r w:rsidRPr="009D4CD4">
        <w:rPr>
          <w:rFonts w:ascii="Tahoma" w:hAnsi="Tahoma" w:cs="Tahoma"/>
          <w:sz w:val="20"/>
          <w:szCs w:val="20"/>
        </w:rPr>
        <w:t xml:space="preserve">ccident de vie (décès d'un </w:t>
      </w:r>
      <w:r w:rsidR="00F57B35" w:rsidRPr="009D4CD4">
        <w:rPr>
          <w:rFonts w:ascii="Tahoma" w:hAnsi="Tahoma" w:cs="Tahoma"/>
          <w:sz w:val="20"/>
          <w:szCs w:val="20"/>
        </w:rPr>
        <w:t xml:space="preserve">proche ; perte d'emploi ; </w:t>
      </w:r>
      <w:r w:rsidRPr="009D4CD4">
        <w:rPr>
          <w:rFonts w:ascii="Tahoma" w:hAnsi="Tahoma" w:cs="Tahoma"/>
          <w:sz w:val="20"/>
          <w:szCs w:val="20"/>
        </w:rPr>
        <w:t>maladie ; séparation),</w:t>
      </w:r>
      <w:r w:rsidRPr="009D4CD4">
        <w:t> le Crédit Agricole Nord Midi-Pyrénées a mis en place le dispositif Point Passerelle destiné à rechercher des solutions socio-économiques.</w:t>
      </w:r>
    </w:p>
    <w:p w14:paraId="18200BD3" w14:textId="77777777" w:rsidR="00B72A61" w:rsidRPr="009D4CD4" w:rsidRDefault="00B72A61" w:rsidP="00B72A61">
      <w:pPr>
        <w:spacing w:after="0" w:line="240" w:lineRule="auto"/>
        <w:jc w:val="left"/>
      </w:pPr>
      <w:r w:rsidRPr="009D4CD4">
        <w:t xml:space="preserve">Deux </w:t>
      </w:r>
      <w:r w:rsidR="00F57B35" w:rsidRPr="009D4CD4">
        <w:t>P</w:t>
      </w:r>
      <w:r w:rsidRPr="009D4CD4">
        <w:t>oints-</w:t>
      </w:r>
      <w:r w:rsidR="00F57B35" w:rsidRPr="009D4CD4">
        <w:t>P</w:t>
      </w:r>
      <w:r w:rsidRPr="009D4CD4">
        <w:t>asserelle sont installés : l’un à Montauban, avec un rayon d’action sur les départements 46 et 82, l’autre à Albi, sur les départements 12 et 81.</w:t>
      </w:r>
    </w:p>
    <w:p w14:paraId="2072540D" w14:textId="77777777" w:rsidR="00B72A61" w:rsidRPr="009D4CD4" w:rsidRDefault="00F57B35" w:rsidP="00B72A61">
      <w:pPr>
        <w:spacing w:after="0" w:line="240" w:lineRule="auto"/>
        <w:jc w:val="left"/>
      </w:pPr>
      <w:r w:rsidRPr="009D4CD4">
        <w:t>Les conseillères Passerelle</w:t>
      </w:r>
      <w:r w:rsidR="00B72A61" w:rsidRPr="009D4CD4">
        <w:t xml:space="preserve"> agissent en lien étroit avec les organismes de l’Economie Sociale et Solidaire (ex : assistantes sociales des Conseils départementaux ; CAF ; MSA ; services de l'énergie et du logement ; organisations caritatives).</w:t>
      </w:r>
    </w:p>
    <w:p w14:paraId="5D0F4B9D" w14:textId="77777777" w:rsidR="00B72A61" w:rsidRPr="009D4CD4" w:rsidRDefault="00B72A61" w:rsidP="00B72A61">
      <w:pPr>
        <w:spacing w:after="0" w:line="240" w:lineRule="auto"/>
        <w:jc w:val="left"/>
      </w:pPr>
      <w:r w:rsidRPr="009D4CD4">
        <w:t xml:space="preserve">Les clients susceptibles de bénéficier de l’accompagnement Passerelle sont identifiés principalement en agence. Ils sont reçus au cours d’un entretien permettant d’identifier les problématiques auxquelles ils sont confrontés. L’accompagnement consiste à établir un diagnostic de la situation personnelle et financière, à identifier </w:t>
      </w:r>
      <w:r w:rsidR="00F57B35" w:rsidRPr="009D4CD4">
        <w:t xml:space="preserve">et mettre en place des solutions bancaire, et </w:t>
      </w:r>
      <w:r w:rsidRPr="009D4CD4">
        <w:t>à effectuer les mises en relation avec les organismes compétents.</w:t>
      </w:r>
    </w:p>
    <w:p w14:paraId="2ED4BE85" w14:textId="26E86E87" w:rsidR="005A65E0" w:rsidRPr="009D4CD4" w:rsidRDefault="00F57B35" w:rsidP="00B72A61">
      <w:pPr>
        <w:spacing w:after="0" w:line="240" w:lineRule="auto"/>
        <w:jc w:val="left"/>
      </w:pPr>
      <w:r w:rsidRPr="009D4CD4">
        <w:t xml:space="preserve">Certaines </w:t>
      </w:r>
      <w:r w:rsidR="00B72A61" w:rsidRPr="009D4CD4">
        <w:t>Caisses locales pren</w:t>
      </w:r>
      <w:r w:rsidRPr="009D4CD4">
        <w:t xml:space="preserve">nent </w:t>
      </w:r>
      <w:r w:rsidR="00B72A61" w:rsidRPr="009D4CD4">
        <w:t>part au dispositif des Points Passerelle et mett</w:t>
      </w:r>
      <w:r w:rsidR="00545263" w:rsidRPr="009D4CD4">
        <w:t>ent</w:t>
      </w:r>
      <w:r w:rsidR="00B72A61" w:rsidRPr="009D4CD4">
        <w:t xml:space="preserve"> ainsi à contribution </w:t>
      </w:r>
      <w:r w:rsidR="00080164" w:rsidRPr="009D4CD4">
        <w:t xml:space="preserve">les </w:t>
      </w:r>
      <w:r w:rsidR="00B72A61" w:rsidRPr="009D4CD4">
        <w:t xml:space="preserve">administrateurs. </w:t>
      </w:r>
      <w:r w:rsidRPr="009D4CD4">
        <w:t xml:space="preserve"> </w:t>
      </w:r>
      <w:r w:rsidR="00080164" w:rsidRPr="009D4CD4">
        <w:t>C</w:t>
      </w:r>
      <w:r w:rsidR="00B72A61" w:rsidRPr="009D4CD4">
        <w:t>eux-ci proposent d’accompagner les clients dans les diverses démarches, comme par exemple l’aide à la rédaction de courrier</w:t>
      </w:r>
      <w:r w:rsidR="00080164" w:rsidRPr="009D4CD4">
        <w:t xml:space="preserve"> </w:t>
      </w:r>
      <w:r w:rsidR="00B72A61" w:rsidRPr="009D4CD4">
        <w:t>ou la mise e</w:t>
      </w:r>
      <w:r w:rsidR="00B64E29" w:rsidRPr="009D4CD4">
        <w:t>n relation avec des organismes.</w:t>
      </w:r>
    </w:p>
    <w:p w14:paraId="773E6A27" w14:textId="77777777" w:rsidR="00D66B20" w:rsidRPr="009D4CD4" w:rsidRDefault="00D66B20" w:rsidP="00D66B20">
      <w:pPr>
        <w:spacing w:after="0" w:line="240" w:lineRule="auto"/>
        <w:jc w:val="left"/>
      </w:pPr>
    </w:p>
    <w:p w14:paraId="47D0A7C4" w14:textId="4D5393CB" w:rsidR="005D3686" w:rsidRPr="009D4CD4" w:rsidRDefault="00D66B20" w:rsidP="005D3686">
      <w:pPr>
        <w:spacing w:after="0" w:line="240" w:lineRule="auto"/>
        <w:jc w:val="left"/>
      </w:pPr>
      <w:r w:rsidRPr="009D4CD4">
        <w:t>En 2021, le Point Passerelle a consolidé son réseau de partenaires, représentant désormais 261 interlocuteurs</w:t>
      </w:r>
      <w:r w:rsidR="005D3686" w:rsidRPr="009D4CD4">
        <w:t> </w:t>
      </w:r>
      <w:r w:rsidR="00F67453" w:rsidRPr="009D4CD4">
        <w:t>parmi les structures suivantes</w:t>
      </w:r>
      <w:r w:rsidR="005D3686" w:rsidRPr="009D4CD4">
        <w:t> : services départementaux et locaux (</w:t>
      </w:r>
      <w:r w:rsidR="005D3686" w:rsidRPr="009D4CD4">
        <w:rPr>
          <w:bCs/>
        </w:rPr>
        <w:t>Maisons des solidarités, Maison départementale de l’autonomie, Centre d’Action Sociale, CAF, CPAM, MSA, UDAF, MDPH, OPH …) ; Logement et énergie (EDF, Engie, Véolia, Orange, Promologis, Habitat et Humanisme, Soliha, Tarn et Garonne Habitat, Lot Habitat, Oc’teha, Action Logement, ADIL …</w:t>
      </w:r>
      <w:r w:rsidR="00F67453" w:rsidRPr="009D4CD4">
        <w:rPr>
          <w:bCs/>
        </w:rPr>
        <w:t>) ; Financier (</w:t>
      </w:r>
      <w:r w:rsidR="005D3686" w:rsidRPr="009D4CD4">
        <w:rPr>
          <w:bCs/>
        </w:rPr>
        <w:t xml:space="preserve">Point Finance, Banque de France, Renault Solidaire …  </w:t>
      </w:r>
      <w:r w:rsidR="00F67453" w:rsidRPr="009D4CD4">
        <w:rPr>
          <w:bCs/>
        </w:rPr>
        <w:t xml:space="preserve">) ; </w:t>
      </w:r>
    </w:p>
    <w:p w14:paraId="07739F49" w14:textId="3634B49D" w:rsidR="005D3686" w:rsidRPr="009D4CD4" w:rsidRDefault="00F67453" w:rsidP="00D66B20">
      <w:pPr>
        <w:spacing w:after="0" w:line="240" w:lineRule="auto"/>
        <w:jc w:val="left"/>
      </w:pPr>
      <w:r w:rsidRPr="009D4CD4">
        <w:rPr>
          <w:bCs/>
          <w:i/>
          <w:iCs/>
          <w:u w:val="single"/>
        </w:rPr>
        <w:t>(</w:t>
      </w:r>
      <w:r w:rsidR="005D3686" w:rsidRPr="009D4CD4">
        <w:rPr>
          <w:bCs/>
        </w:rPr>
        <w:t>Ligue contre le Cancer, Centre Ressources, Résopalid,</w:t>
      </w:r>
      <w:r w:rsidRPr="009D4CD4">
        <w:rPr>
          <w:bCs/>
        </w:rPr>
        <w:t xml:space="preserve"> </w:t>
      </w:r>
      <w:r w:rsidR="005D3686" w:rsidRPr="009D4CD4">
        <w:rPr>
          <w:bCs/>
        </w:rPr>
        <w:t>Palliance, services addictologie, les paralysés de France …</w:t>
      </w:r>
      <w:r w:rsidRPr="009D4CD4">
        <w:rPr>
          <w:bCs/>
        </w:rPr>
        <w:t>) ; Famille (</w:t>
      </w:r>
      <w:r w:rsidR="005D3686" w:rsidRPr="009D4CD4">
        <w:rPr>
          <w:bCs/>
        </w:rPr>
        <w:t>Familles rurales, Les Epiceries sociales, les Restos du Cœur, la Croix Rouge, le Secours Catholique, le Secours Populaire, Emmaüs, les Garages solidaires…</w:t>
      </w:r>
      <w:r w:rsidRPr="009D4CD4">
        <w:rPr>
          <w:bCs/>
        </w:rPr>
        <w:t xml:space="preserve">) ; Emploi ( </w:t>
      </w:r>
      <w:r w:rsidR="002F70EC">
        <w:rPr>
          <w:bCs/>
        </w:rPr>
        <w:t>m</w:t>
      </w:r>
      <w:r w:rsidR="005D3686" w:rsidRPr="009D4CD4">
        <w:rPr>
          <w:bCs/>
        </w:rPr>
        <w:t>issions locales, 60000 Rebonds, CRIT (travail temporaire), Cap Emploi …</w:t>
      </w:r>
      <w:r w:rsidRPr="009D4CD4">
        <w:rPr>
          <w:bCs/>
        </w:rPr>
        <w:t xml:space="preserve">) ; accès au droit ( </w:t>
      </w:r>
      <w:r w:rsidR="005D3686" w:rsidRPr="009D4CD4">
        <w:rPr>
          <w:bCs/>
        </w:rPr>
        <w:t>Conseil Départemental de l’accès au Droit, Centre d’Information sur le Droit des Femmes et des Familles, France service, les services de Police et de Gendarmerie, les associations d’aide aux victimes : ADDAH, allo Victimes 31, l’Avir, Paro</w:t>
      </w:r>
      <w:r w:rsidR="009400C9" w:rsidRPr="009D4CD4">
        <w:rPr>
          <w:bCs/>
        </w:rPr>
        <w:t>les de femmes, Une Autre femme..</w:t>
      </w:r>
      <w:r w:rsidR="005D3686" w:rsidRPr="009D4CD4">
        <w:rPr>
          <w:bCs/>
        </w:rPr>
        <w:t>.</w:t>
      </w:r>
      <w:r w:rsidRPr="009D4CD4">
        <w:rPr>
          <w:bCs/>
        </w:rPr>
        <w:t>)</w:t>
      </w:r>
      <w:r w:rsidR="004E796A">
        <w:rPr>
          <w:bCs/>
        </w:rPr>
        <w:t>.</w:t>
      </w:r>
    </w:p>
    <w:p w14:paraId="7FCD5E88" w14:textId="39EDF3BF" w:rsidR="000807F1" w:rsidRPr="009D4CD4" w:rsidRDefault="000807F1" w:rsidP="000807F1">
      <w:pPr>
        <w:spacing w:after="0" w:line="240" w:lineRule="auto"/>
        <w:jc w:val="left"/>
      </w:pPr>
      <w:r w:rsidRPr="009D4CD4">
        <w:t>Les paiements des cotisations d’assurance Pacifica ont été suspendus en 2021 sur une période de 6 mois dès lors que l’accès à l’emploi exigeait une mobilité.</w:t>
      </w:r>
    </w:p>
    <w:p w14:paraId="6800CC8C" w14:textId="77777777" w:rsidR="00F67453" w:rsidRPr="009D4CD4" w:rsidRDefault="00F67453" w:rsidP="00D66B20">
      <w:pPr>
        <w:spacing w:after="0" w:line="240" w:lineRule="auto"/>
        <w:jc w:val="left"/>
        <w:rPr>
          <w:color w:val="FF0000"/>
        </w:rPr>
      </w:pPr>
    </w:p>
    <w:p w14:paraId="318D161C" w14:textId="4B505153" w:rsidR="007515C5" w:rsidRPr="009D4CD4" w:rsidRDefault="000807F1" w:rsidP="000807F1">
      <w:pPr>
        <w:spacing w:after="0" w:line="240" w:lineRule="auto"/>
        <w:jc w:val="left"/>
        <w:rPr>
          <w:bCs/>
        </w:rPr>
      </w:pPr>
      <w:r w:rsidRPr="009D4CD4">
        <w:rPr>
          <w:bCs/>
        </w:rPr>
        <w:t>Par ailleurs</w:t>
      </w:r>
      <w:r w:rsidR="007515C5" w:rsidRPr="009D4CD4">
        <w:rPr>
          <w:bCs/>
        </w:rPr>
        <w:t xml:space="preserve">, la conseillère du Point Passerelle Tarn et Aveyron a participé </w:t>
      </w:r>
      <w:r w:rsidRPr="009D4CD4">
        <w:rPr>
          <w:bCs/>
        </w:rPr>
        <w:t xml:space="preserve">en 2021 </w:t>
      </w:r>
      <w:r w:rsidR="007515C5" w:rsidRPr="009D4CD4">
        <w:rPr>
          <w:bCs/>
        </w:rPr>
        <w:t>au colloque organisé par l'Association "Une autre femme" en partenariat avec le CCAS de la ville de St Sulpice, consacré aux violences intra-familiales. A cette occasion, le fonctionnement des Points Passerelle a été présenté, en présence de nombreux acteurs (médecin, notaire, avocat, psychologue, assistantes sociales et conseillères en économie sociale et familiale, gendarmerie) et élus.</w:t>
      </w:r>
    </w:p>
    <w:p w14:paraId="4BC27978" w14:textId="77777777" w:rsidR="00677357" w:rsidRDefault="00677357" w:rsidP="00677357">
      <w:pPr>
        <w:pStyle w:val="CAA-N"/>
      </w:pPr>
      <w:bookmarkStart w:id="37" w:name="_Toc32416024"/>
      <w:bookmarkStart w:id="38" w:name="_Toc59444700"/>
    </w:p>
    <w:p w14:paraId="1D43C142" w14:textId="77777777" w:rsidR="00677357" w:rsidRDefault="00677357" w:rsidP="00677357">
      <w:pPr>
        <w:pStyle w:val="CAA-N"/>
      </w:pPr>
    </w:p>
    <w:p w14:paraId="6B360A91" w14:textId="023097FF" w:rsidR="00B72A61" w:rsidRPr="009D4CD4" w:rsidRDefault="00B72A61" w:rsidP="00326D6D">
      <w:pPr>
        <w:pStyle w:val="Titre2"/>
      </w:pPr>
      <w:bookmarkStart w:id="39" w:name="_Toc96697976"/>
      <w:r w:rsidRPr="009D4CD4">
        <w:t>Apporter notre expertise à nos clients partout sur le territoire</w:t>
      </w:r>
      <w:bookmarkEnd w:id="37"/>
      <w:bookmarkEnd w:id="38"/>
      <w:bookmarkEnd w:id="39"/>
    </w:p>
    <w:p w14:paraId="224A0E30" w14:textId="77777777" w:rsidR="00B72A61" w:rsidRPr="009D4CD4" w:rsidRDefault="00B72A61" w:rsidP="00B72A61">
      <w:pPr>
        <w:spacing w:after="0" w:line="240" w:lineRule="auto"/>
        <w:jc w:val="left"/>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4"/>
        <w:gridCol w:w="1247"/>
        <w:gridCol w:w="1276"/>
        <w:gridCol w:w="1134"/>
      </w:tblGrid>
      <w:tr w:rsidR="00F84CFC" w:rsidRPr="009D4CD4" w14:paraId="54E26669" w14:textId="77777777" w:rsidTr="00523615">
        <w:trPr>
          <w:trHeight w:hRule="exact" w:val="312"/>
        </w:trPr>
        <w:tc>
          <w:tcPr>
            <w:tcW w:w="6374" w:type="dxa"/>
            <w:tcBorders>
              <w:top w:val="nil"/>
              <w:left w:val="nil"/>
              <w:bottom w:val="single" w:sz="4" w:space="0" w:color="auto"/>
              <w:right w:val="single" w:sz="4" w:space="0" w:color="auto"/>
            </w:tcBorders>
            <w:shd w:val="clear" w:color="auto" w:fill="auto"/>
          </w:tcPr>
          <w:p w14:paraId="0E0F0089" w14:textId="77777777" w:rsidR="00F84CFC" w:rsidRPr="009D4CD4" w:rsidRDefault="00F84CFC" w:rsidP="00F84CFC">
            <w:pPr>
              <w:spacing w:after="0" w:line="240" w:lineRule="auto"/>
              <w:ind w:right="140"/>
              <w:jc w:val="left"/>
              <w:rPr>
                <w:rFonts w:eastAsia="Times New Roman" w:cs="Arial"/>
              </w:rPr>
            </w:pPr>
            <w:r w:rsidRPr="009D4CD4">
              <w:rPr>
                <w:rFonts w:eastAsia="Times New Roman" w:cs="Arial"/>
                <w:b/>
                <w:i/>
                <w:sz w:val="20"/>
                <w:szCs w:val="20"/>
              </w:rPr>
              <w:t>Les chiffres – clé</w:t>
            </w:r>
          </w:p>
        </w:tc>
        <w:tc>
          <w:tcPr>
            <w:tcW w:w="1247" w:type="dxa"/>
            <w:tcBorders>
              <w:left w:val="single" w:sz="4" w:space="0" w:color="auto"/>
            </w:tcBorders>
            <w:shd w:val="clear" w:color="auto" w:fill="auto"/>
          </w:tcPr>
          <w:p w14:paraId="70944AFA" w14:textId="492A52BF" w:rsidR="00F84CFC" w:rsidRPr="009D4CD4" w:rsidRDefault="00F84CFC" w:rsidP="00F84CFC">
            <w:pPr>
              <w:spacing w:after="0" w:line="240" w:lineRule="auto"/>
              <w:ind w:right="140"/>
              <w:jc w:val="left"/>
              <w:rPr>
                <w:rFonts w:eastAsia="Times New Roman" w:cs="Arial"/>
                <w:b/>
              </w:rPr>
            </w:pPr>
            <w:r w:rsidRPr="009D4CD4">
              <w:rPr>
                <w:rFonts w:eastAsia="Times New Roman" w:cs="Arial"/>
                <w:b/>
              </w:rPr>
              <w:t>2021</w:t>
            </w:r>
          </w:p>
        </w:tc>
        <w:tc>
          <w:tcPr>
            <w:tcW w:w="1276" w:type="dxa"/>
            <w:shd w:val="clear" w:color="auto" w:fill="auto"/>
          </w:tcPr>
          <w:p w14:paraId="040D5667" w14:textId="59DA9D6F" w:rsidR="00F84CFC" w:rsidRPr="009D4CD4" w:rsidRDefault="00F84CFC" w:rsidP="00F84CFC">
            <w:pPr>
              <w:spacing w:after="0" w:line="240" w:lineRule="auto"/>
              <w:ind w:right="140"/>
              <w:jc w:val="left"/>
              <w:rPr>
                <w:rFonts w:eastAsia="Times New Roman" w:cs="Arial"/>
                <w:b/>
              </w:rPr>
            </w:pPr>
            <w:r w:rsidRPr="009D4CD4">
              <w:rPr>
                <w:rFonts w:eastAsia="Times New Roman" w:cs="Arial"/>
                <w:b/>
              </w:rPr>
              <w:t>2020</w:t>
            </w:r>
          </w:p>
        </w:tc>
        <w:tc>
          <w:tcPr>
            <w:tcW w:w="1134" w:type="dxa"/>
            <w:shd w:val="clear" w:color="auto" w:fill="auto"/>
          </w:tcPr>
          <w:p w14:paraId="0EB87162" w14:textId="69DC5825" w:rsidR="00F84CFC" w:rsidRPr="009D4CD4" w:rsidRDefault="00F84CFC" w:rsidP="00F84CFC">
            <w:pPr>
              <w:spacing w:after="0" w:line="240" w:lineRule="auto"/>
              <w:ind w:right="140"/>
              <w:jc w:val="left"/>
              <w:rPr>
                <w:rFonts w:eastAsia="Times New Roman" w:cs="Arial"/>
                <w:b/>
              </w:rPr>
            </w:pPr>
            <w:r w:rsidRPr="009D4CD4">
              <w:rPr>
                <w:rFonts w:eastAsia="Times New Roman" w:cs="Arial"/>
                <w:b/>
              </w:rPr>
              <w:t>2019</w:t>
            </w:r>
          </w:p>
        </w:tc>
      </w:tr>
      <w:tr w:rsidR="00F84CFC" w:rsidRPr="009D4CD4" w14:paraId="035CB098" w14:textId="77777777" w:rsidTr="00523615">
        <w:trPr>
          <w:trHeight w:hRule="exact" w:val="284"/>
        </w:trPr>
        <w:tc>
          <w:tcPr>
            <w:tcW w:w="6374" w:type="dxa"/>
            <w:tcBorders>
              <w:top w:val="single" w:sz="4" w:space="0" w:color="auto"/>
              <w:left w:val="single" w:sz="4" w:space="0" w:color="auto"/>
              <w:bottom w:val="single" w:sz="4" w:space="0" w:color="auto"/>
              <w:right w:val="single" w:sz="4" w:space="0" w:color="auto"/>
            </w:tcBorders>
            <w:shd w:val="clear" w:color="auto" w:fill="auto"/>
          </w:tcPr>
          <w:p w14:paraId="0C7FB1A0" w14:textId="77777777" w:rsidR="00F84CFC" w:rsidRPr="009D4CD4" w:rsidRDefault="00F84CFC" w:rsidP="00F84CFC">
            <w:pPr>
              <w:spacing w:after="0" w:line="240" w:lineRule="auto"/>
              <w:ind w:right="140"/>
              <w:jc w:val="left"/>
              <w:rPr>
                <w:rFonts w:eastAsia="Times New Roman" w:cs="Arial"/>
                <w:sz w:val="20"/>
                <w:szCs w:val="20"/>
              </w:rPr>
            </w:pPr>
            <w:r w:rsidRPr="009D4CD4">
              <w:rPr>
                <w:rFonts w:eastAsia="Times New Roman" w:cs="Arial"/>
                <w:sz w:val="20"/>
                <w:szCs w:val="20"/>
              </w:rPr>
              <w:t>Moyens financiers consacrés au parc immobilier, informatique et mobilier</w:t>
            </w: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19CDF4AF" w14:textId="34B2BAEA"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 xml:space="preserve"> </w:t>
            </w:r>
            <w:r w:rsidR="00EE7770" w:rsidRPr="009D4CD4">
              <w:rPr>
                <w:rFonts w:eastAsia="Times New Roman" w:cs="Arial"/>
                <w:sz w:val="20"/>
                <w:szCs w:val="20"/>
              </w:rPr>
              <w:t xml:space="preserve">60,2 </w:t>
            </w:r>
            <w:r w:rsidRPr="009D4CD4">
              <w:rPr>
                <w:rFonts w:eastAsia="Times New Roman" w:cs="Arial"/>
                <w:sz w:val="20"/>
                <w:szCs w:val="20"/>
              </w:rPr>
              <w:t>M€</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D30A1D6" w14:textId="2177E567"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59,4 M€</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BD546E" w14:textId="4CBD6F47"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60,5 M€</w:t>
            </w:r>
          </w:p>
        </w:tc>
      </w:tr>
      <w:tr w:rsidR="00F84CFC" w:rsidRPr="009D4CD4" w14:paraId="34E66553" w14:textId="77777777" w:rsidTr="00523615">
        <w:trPr>
          <w:trHeight w:hRule="exact" w:val="284"/>
        </w:trPr>
        <w:tc>
          <w:tcPr>
            <w:tcW w:w="6374" w:type="dxa"/>
            <w:tcBorders>
              <w:top w:val="single" w:sz="4" w:space="0" w:color="auto"/>
              <w:left w:val="single" w:sz="4" w:space="0" w:color="auto"/>
              <w:bottom w:val="single" w:sz="4" w:space="0" w:color="auto"/>
              <w:right w:val="single" w:sz="4" w:space="0" w:color="auto"/>
            </w:tcBorders>
            <w:shd w:val="clear" w:color="auto" w:fill="auto"/>
          </w:tcPr>
          <w:p w14:paraId="15EF6647" w14:textId="77777777" w:rsidR="00F84CFC" w:rsidRPr="009D4CD4" w:rsidRDefault="00F84CFC" w:rsidP="00F84CFC">
            <w:pPr>
              <w:spacing w:after="0" w:line="240" w:lineRule="auto"/>
              <w:ind w:right="140"/>
              <w:jc w:val="left"/>
              <w:rPr>
                <w:rFonts w:eastAsia="Times New Roman" w:cs="Arial"/>
                <w:sz w:val="20"/>
                <w:szCs w:val="20"/>
              </w:rPr>
            </w:pPr>
            <w:r w:rsidRPr="009D4CD4">
              <w:rPr>
                <w:rFonts w:eastAsia="Times New Roman" w:cs="Arial"/>
                <w:sz w:val="20"/>
                <w:szCs w:val="20"/>
              </w:rPr>
              <w:t>Poids dans les charges totales</w:t>
            </w: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1C3367F8" w14:textId="1E818A64"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 xml:space="preserve"> </w:t>
            </w:r>
            <w:r w:rsidR="00EE7770" w:rsidRPr="009D4CD4">
              <w:rPr>
                <w:rFonts w:eastAsia="Times New Roman" w:cs="Arial"/>
                <w:sz w:val="20"/>
                <w:szCs w:val="20"/>
              </w:rPr>
              <w:t xml:space="preserve">24,8 </w:t>
            </w:r>
            <w:r w:rsidRPr="009D4CD4">
              <w:rPr>
                <w:rFonts w:eastAsia="Times New Roman"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B285514" w14:textId="5DCAB2ED"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25,5 %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54E51D" w14:textId="1A59BA60"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25</w:t>
            </w:r>
            <w:r w:rsidR="00777592">
              <w:rPr>
                <w:rFonts w:eastAsia="Times New Roman" w:cs="Arial"/>
                <w:sz w:val="20"/>
                <w:szCs w:val="20"/>
              </w:rPr>
              <w:t>,0</w:t>
            </w:r>
            <w:r w:rsidR="00C5025A">
              <w:rPr>
                <w:rFonts w:eastAsia="Times New Roman" w:cs="Arial"/>
                <w:sz w:val="20"/>
                <w:szCs w:val="20"/>
              </w:rPr>
              <w:t>,</w:t>
            </w:r>
            <w:r w:rsidRPr="009D4CD4">
              <w:rPr>
                <w:rFonts w:eastAsia="Times New Roman" w:cs="Arial"/>
                <w:sz w:val="20"/>
                <w:szCs w:val="20"/>
              </w:rPr>
              <w:t>%</w:t>
            </w:r>
          </w:p>
        </w:tc>
      </w:tr>
    </w:tbl>
    <w:p w14:paraId="2DDD3468" w14:textId="77777777" w:rsidR="00B72A61" w:rsidRPr="009D4CD4" w:rsidRDefault="00B72A61" w:rsidP="00B72A61">
      <w:pPr>
        <w:spacing w:after="0" w:line="240" w:lineRule="auto"/>
        <w:jc w:val="left"/>
        <w:rPr>
          <w:rFonts w:eastAsia="Times New Roman"/>
          <w:lang w:eastAsia="fr-FR"/>
        </w:rPr>
      </w:pPr>
    </w:p>
    <w:p w14:paraId="1A3051C0" w14:textId="421393C7" w:rsidR="00B72A61" w:rsidRPr="009D4CD4" w:rsidRDefault="00F84CFC" w:rsidP="00B72A61">
      <w:pPr>
        <w:spacing w:after="0" w:line="240" w:lineRule="auto"/>
        <w:ind w:right="1"/>
        <w:jc w:val="left"/>
        <w:rPr>
          <w:rFonts w:cs="Arial"/>
          <w:noProof/>
          <w:lang w:eastAsia="fr-FR"/>
        </w:rPr>
      </w:pPr>
      <w:r w:rsidRPr="009D4CD4">
        <w:rPr>
          <w:rFonts w:cs="Arial"/>
          <w:noProof/>
          <w:lang w:eastAsia="fr-FR"/>
        </w:rPr>
        <w:t>L</w:t>
      </w:r>
      <w:r w:rsidR="00B72A61" w:rsidRPr="009D4CD4">
        <w:rPr>
          <w:rFonts w:cs="Arial"/>
          <w:noProof/>
          <w:lang w:eastAsia="fr-FR"/>
        </w:rPr>
        <w:t xml:space="preserve">es interlocuteurs du Crédit Agricole Nord Midi-Pyrénées apportent leur expertise partout sur le territoire de la </w:t>
      </w:r>
      <w:r w:rsidR="00A7717F">
        <w:rPr>
          <w:rFonts w:cs="Arial"/>
          <w:noProof/>
          <w:lang w:eastAsia="fr-FR"/>
        </w:rPr>
        <w:t>Caisse Régionale</w:t>
      </w:r>
      <w:r w:rsidR="00080164" w:rsidRPr="009D4CD4">
        <w:rPr>
          <w:rFonts w:cs="Arial"/>
          <w:noProof/>
          <w:lang w:eastAsia="fr-FR"/>
        </w:rPr>
        <w:t xml:space="preserve">. Pour cela, le CANMP </w:t>
      </w:r>
      <w:r w:rsidR="00B72A61" w:rsidRPr="009D4CD4">
        <w:rPr>
          <w:rFonts w:cs="Arial"/>
          <w:noProof/>
          <w:lang w:eastAsia="fr-FR"/>
        </w:rPr>
        <w:t>consacre les moyens nécessaires pour permettre aux clients de choisir les modes de contact qui leur conviennent : </w:t>
      </w:r>
      <w:r w:rsidR="00B72A61" w:rsidRPr="009D4CD4">
        <w:rPr>
          <w:rFonts w:cs="Arial"/>
          <w:noProof/>
          <w:lang w:eastAsia="fr-FR"/>
        </w:rPr>
        <w:br/>
      </w:r>
      <w:r w:rsidR="00936BED" w:rsidRPr="009D4CD4">
        <w:rPr>
          <w:rFonts w:cs="Arial"/>
          <w:noProof/>
          <w:lang w:eastAsia="fr-FR"/>
        </w:rPr>
        <w:t>&gt;</w:t>
      </w:r>
      <w:r w:rsidR="00B72A61" w:rsidRPr="009D4CD4">
        <w:rPr>
          <w:rFonts w:cs="Arial"/>
          <w:noProof/>
          <w:lang w:eastAsia="fr-FR"/>
        </w:rPr>
        <w:t xml:space="preserve"> Si les clients ont besoin de rencontrer un interlocuteur, les 4 sites administratifs et le réseau d’agences modernisé représentent les lieux où se concentre l’expertise humaine mise à leur disposition, tant au niveau de la </w:t>
      </w:r>
      <w:r w:rsidR="00A7717F">
        <w:rPr>
          <w:rFonts w:cs="Arial"/>
          <w:noProof/>
          <w:lang w:eastAsia="fr-FR"/>
        </w:rPr>
        <w:t>Caisse Régionale</w:t>
      </w:r>
      <w:r w:rsidR="00B72A61" w:rsidRPr="009D4CD4">
        <w:rPr>
          <w:rFonts w:cs="Arial"/>
          <w:noProof/>
          <w:lang w:eastAsia="fr-FR"/>
        </w:rPr>
        <w:t xml:space="preserve"> que du Groupe Crédit Agricole. </w:t>
      </w:r>
      <w:r w:rsidR="00B72A61" w:rsidRPr="009D4CD4">
        <w:rPr>
          <w:rFonts w:cs="Arial"/>
          <w:noProof/>
          <w:lang w:eastAsia="fr-FR"/>
        </w:rPr>
        <w:br/>
      </w:r>
      <w:r w:rsidR="00936BED" w:rsidRPr="009D4CD4">
        <w:rPr>
          <w:rFonts w:cs="Arial"/>
          <w:noProof/>
          <w:lang w:eastAsia="fr-FR"/>
        </w:rPr>
        <w:t>&gt;</w:t>
      </w:r>
      <w:r w:rsidR="00B72A61" w:rsidRPr="009D4CD4">
        <w:rPr>
          <w:rFonts w:cs="Arial"/>
          <w:noProof/>
          <w:lang w:eastAsia="fr-FR"/>
        </w:rPr>
        <w:t xml:space="preserve"> Si les clients souhaitent réaliser des opérations de façon autonome, le CANMP développe les canaux de communication digitalisés leur permettant de se connecter à leur banque quand et où ils le veulent.</w:t>
      </w:r>
    </w:p>
    <w:p w14:paraId="4ABCEFAB" w14:textId="77777777" w:rsidR="00B72A61" w:rsidRPr="009D4CD4" w:rsidRDefault="00B72A61" w:rsidP="00B72A61">
      <w:pPr>
        <w:spacing w:after="0" w:line="240" w:lineRule="auto"/>
        <w:jc w:val="left"/>
        <w:rPr>
          <w:rFonts w:eastAsia="Times New Roman"/>
          <w:lang w:eastAsia="fr-FR"/>
        </w:rPr>
      </w:pPr>
    </w:p>
    <w:p w14:paraId="4D434072" w14:textId="77777777" w:rsidR="00B72A61" w:rsidRPr="009D4CD4" w:rsidRDefault="00B72A61" w:rsidP="00B72A61">
      <w:pPr>
        <w:spacing w:after="0" w:line="240" w:lineRule="auto"/>
        <w:jc w:val="left"/>
        <w:rPr>
          <w:rFonts w:eastAsia="Times New Roman"/>
          <w:lang w:eastAsia="fr-FR"/>
        </w:rPr>
      </w:pPr>
      <w:r w:rsidRPr="009D4CD4">
        <w:rPr>
          <w:rFonts w:eastAsia="Times New Roman"/>
          <w:lang w:eastAsia="fr-FR"/>
        </w:rPr>
        <w:t xml:space="preserve">L’engagement relatif à l’expertise apportée aux clients partout sur le territoire est décliné selon les axes suivants : </w:t>
      </w:r>
    </w:p>
    <w:p w14:paraId="280C40A3" w14:textId="1C34147D" w:rsidR="00B72A61" w:rsidRPr="009D4CD4" w:rsidRDefault="00936BED" w:rsidP="00B72A61">
      <w:pPr>
        <w:spacing w:after="0" w:line="240" w:lineRule="auto"/>
        <w:jc w:val="left"/>
        <w:rPr>
          <w:rFonts w:eastAsia="Times New Roman"/>
          <w:lang w:eastAsia="fr-FR"/>
        </w:rPr>
      </w:pPr>
      <w:r w:rsidRPr="009D4CD4">
        <w:rPr>
          <w:rFonts w:eastAsia="Times New Roman"/>
          <w:sz w:val="20"/>
          <w:lang w:eastAsia="fr-FR"/>
        </w:rPr>
        <w:t>&gt;</w:t>
      </w:r>
      <w:r w:rsidR="00B72A61" w:rsidRPr="009D4CD4">
        <w:rPr>
          <w:rFonts w:eastAsia="Times New Roman"/>
          <w:lang w:eastAsia="fr-FR"/>
        </w:rPr>
        <w:t xml:space="preserve"> Consolider l’ancrage local du Crédit agricole Nord Midi-Pyrénées</w:t>
      </w:r>
    </w:p>
    <w:p w14:paraId="79188447" w14:textId="5A97E293" w:rsidR="00B72A61" w:rsidRPr="009D4CD4" w:rsidRDefault="00936BED" w:rsidP="00B72A61">
      <w:pPr>
        <w:spacing w:after="0" w:line="240" w:lineRule="auto"/>
        <w:jc w:val="left"/>
        <w:rPr>
          <w:rFonts w:eastAsia="Times New Roman"/>
          <w:lang w:eastAsia="fr-FR"/>
        </w:rPr>
      </w:pPr>
      <w:r w:rsidRPr="009D4CD4">
        <w:rPr>
          <w:rFonts w:eastAsia="Times New Roman"/>
          <w:lang w:eastAsia="fr-FR"/>
        </w:rPr>
        <w:t>&gt;</w:t>
      </w:r>
      <w:r w:rsidR="00B72A61" w:rsidRPr="009D4CD4">
        <w:rPr>
          <w:rFonts w:eastAsia="Times New Roman"/>
          <w:lang w:eastAsia="fr-FR"/>
        </w:rPr>
        <w:t xml:space="preserve"> Développer la banque connectée</w:t>
      </w:r>
    </w:p>
    <w:p w14:paraId="0FDC13D2" w14:textId="3723A0D8" w:rsidR="002918C8" w:rsidRPr="009D4CD4" w:rsidRDefault="002918C8" w:rsidP="00B72A61">
      <w:pPr>
        <w:spacing w:after="0" w:line="240" w:lineRule="auto"/>
        <w:jc w:val="left"/>
        <w:rPr>
          <w:rFonts w:eastAsia="Times New Roman"/>
          <w:lang w:eastAsia="fr-FR"/>
        </w:rPr>
      </w:pPr>
      <w:r w:rsidRPr="009D4CD4">
        <w:rPr>
          <w:rFonts w:eastAsia="Times New Roman"/>
          <w:lang w:eastAsia="fr-FR"/>
        </w:rPr>
        <w:t xml:space="preserve">&gt; </w:t>
      </w:r>
      <w:r w:rsidRPr="009D4CD4">
        <w:t>Mobiliser l’expertise en faveur de l’activité socio-économique et de l’innovation</w:t>
      </w:r>
    </w:p>
    <w:p w14:paraId="3C979A8B" w14:textId="2D18AF4B" w:rsidR="00B72A61" w:rsidRPr="009D4CD4" w:rsidRDefault="00B72A61" w:rsidP="00B72A61">
      <w:pPr>
        <w:spacing w:after="0" w:line="240" w:lineRule="auto"/>
        <w:jc w:val="left"/>
        <w:rPr>
          <w:rFonts w:eastAsia="Times New Roman"/>
          <w:lang w:eastAsia="fr-FR"/>
        </w:rPr>
      </w:pPr>
    </w:p>
    <w:p w14:paraId="2709A0B9" w14:textId="77777777" w:rsidR="009E57D5" w:rsidRPr="009D4CD4" w:rsidRDefault="009E57D5" w:rsidP="00B72A61">
      <w:pPr>
        <w:spacing w:after="0" w:line="240" w:lineRule="auto"/>
        <w:jc w:val="left"/>
        <w:rPr>
          <w:rFonts w:eastAsia="Times New Roman"/>
          <w:lang w:eastAsia="fr-FR"/>
        </w:rPr>
      </w:pPr>
    </w:p>
    <w:p w14:paraId="1F109EFD" w14:textId="64CCB7CC" w:rsidR="00B72A61" w:rsidRPr="009D4CD4" w:rsidRDefault="00B72A61" w:rsidP="00326D6D">
      <w:pPr>
        <w:pStyle w:val="Titre3"/>
      </w:pPr>
      <w:bookmarkStart w:id="40" w:name="_Toc32416025"/>
      <w:bookmarkStart w:id="41" w:name="_Toc59444701"/>
      <w:bookmarkStart w:id="42" w:name="_Toc96697977"/>
      <w:r w:rsidRPr="009D4CD4">
        <w:t xml:space="preserve">Consolider l’ancrage local du </w:t>
      </w:r>
      <w:bookmarkEnd w:id="40"/>
      <w:bookmarkEnd w:id="41"/>
      <w:r w:rsidR="002918C8" w:rsidRPr="009D4CD4">
        <w:t>CANMP</w:t>
      </w:r>
      <w:bookmarkEnd w:id="42"/>
      <w:r w:rsidRPr="009D4CD4">
        <w:t xml:space="preserve"> </w:t>
      </w:r>
    </w:p>
    <w:p w14:paraId="5BB0173E" w14:textId="77777777" w:rsidR="00B72A61" w:rsidRPr="009D4CD4" w:rsidRDefault="00B72A61" w:rsidP="00B72A61">
      <w:pPr>
        <w:spacing w:after="0" w:line="240" w:lineRule="auto"/>
        <w:ind w:right="1"/>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1"/>
        <w:gridCol w:w="1288"/>
        <w:gridCol w:w="1222"/>
        <w:gridCol w:w="1093"/>
      </w:tblGrid>
      <w:tr w:rsidR="00F84CFC" w:rsidRPr="009D4CD4" w14:paraId="63F10DDD" w14:textId="77777777" w:rsidTr="00523615">
        <w:trPr>
          <w:trHeight w:hRule="exact" w:val="284"/>
        </w:trPr>
        <w:tc>
          <w:tcPr>
            <w:tcW w:w="6351" w:type="dxa"/>
            <w:tcBorders>
              <w:top w:val="nil"/>
              <w:left w:val="nil"/>
              <w:bottom w:val="single" w:sz="4" w:space="0" w:color="auto"/>
              <w:right w:val="single" w:sz="4" w:space="0" w:color="auto"/>
            </w:tcBorders>
            <w:shd w:val="clear" w:color="auto" w:fill="auto"/>
          </w:tcPr>
          <w:p w14:paraId="0D787C5E" w14:textId="77777777" w:rsidR="00F84CFC" w:rsidRPr="009D4CD4" w:rsidRDefault="00F84CFC" w:rsidP="00F84CFC">
            <w:pPr>
              <w:spacing w:after="0" w:line="240" w:lineRule="auto"/>
              <w:ind w:right="140"/>
              <w:jc w:val="left"/>
              <w:rPr>
                <w:rFonts w:eastAsia="Times New Roman" w:cs="Arial"/>
              </w:rPr>
            </w:pPr>
            <w:r w:rsidRPr="009D4CD4">
              <w:rPr>
                <w:rFonts w:eastAsia="Times New Roman" w:cs="Arial"/>
                <w:b/>
                <w:i/>
                <w:sz w:val="20"/>
                <w:szCs w:val="20"/>
              </w:rPr>
              <w:t>Les chiffres – clé</w:t>
            </w:r>
          </w:p>
        </w:tc>
        <w:tc>
          <w:tcPr>
            <w:tcW w:w="1288" w:type="dxa"/>
            <w:tcBorders>
              <w:left w:val="single" w:sz="4" w:space="0" w:color="auto"/>
            </w:tcBorders>
            <w:shd w:val="clear" w:color="auto" w:fill="auto"/>
          </w:tcPr>
          <w:p w14:paraId="6247E9A1" w14:textId="707EBD0C" w:rsidR="00F84CFC" w:rsidRPr="009D4CD4" w:rsidRDefault="00F84CFC" w:rsidP="00F84CFC">
            <w:pPr>
              <w:spacing w:after="0" w:line="240" w:lineRule="auto"/>
              <w:ind w:right="140"/>
              <w:jc w:val="left"/>
              <w:rPr>
                <w:rFonts w:eastAsia="Times New Roman" w:cs="Arial"/>
                <w:b/>
              </w:rPr>
            </w:pPr>
            <w:r w:rsidRPr="009D4CD4">
              <w:rPr>
                <w:rFonts w:eastAsia="Times New Roman" w:cs="Arial"/>
                <w:b/>
              </w:rPr>
              <w:t>2021</w:t>
            </w:r>
          </w:p>
        </w:tc>
        <w:tc>
          <w:tcPr>
            <w:tcW w:w="1222" w:type="dxa"/>
            <w:shd w:val="clear" w:color="auto" w:fill="auto"/>
          </w:tcPr>
          <w:p w14:paraId="7BDAAA43" w14:textId="34617057" w:rsidR="00F84CFC" w:rsidRPr="009D4CD4" w:rsidRDefault="00F84CFC" w:rsidP="00F84CFC">
            <w:pPr>
              <w:spacing w:after="0" w:line="240" w:lineRule="auto"/>
              <w:ind w:right="140"/>
              <w:jc w:val="left"/>
              <w:rPr>
                <w:rFonts w:eastAsia="Times New Roman" w:cs="Arial"/>
                <w:b/>
              </w:rPr>
            </w:pPr>
            <w:r w:rsidRPr="009D4CD4">
              <w:rPr>
                <w:rFonts w:eastAsia="Times New Roman" w:cs="Arial"/>
                <w:b/>
              </w:rPr>
              <w:t>2020</w:t>
            </w:r>
          </w:p>
        </w:tc>
        <w:tc>
          <w:tcPr>
            <w:tcW w:w="1093" w:type="dxa"/>
            <w:shd w:val="clear" w:color="auto" w:fill="auto"/>
          </w:tcPr>
          <w:p w14:paraId="0EC2D84F" w14:textId="694BE666" w:rsidR="00F84CFC" w:rsidRPr="009D4CD4" w:rsidRDefault="00F84CFC" w:rsidP="00F84CFC">
            <w:pPr>
              <w:spacing w:after="0" w:line="240" w:lineRule="auto"/>
              <w:ind w:right="140"/>
              <w:jc w:val="left"/>
              <w:rPr>
                <w:rFonts w:eastAsia="Times New Roman" w:cs="Arial"/>
                <w:b/>
              </w:rPr>
            </w:pPr>
            <w:r w:rsidRPr="009D4CD4">
              <w:rPr>
                <w:rFonts w:eastAsia="Times New Roman" w:cs="Arial"/>
                <w:b/>
              </w:rPr>
              <w:t>2019</w:t>
            </w:r>
          </w:p>
        </w:tc>
      </w:tr>
      <w:tr w:rsidR="00F84CFC" w:rsidRPr="009D4CD4" w14:paraId="66FACA24" w14:textId="77777777" w:rsidTr="00523615">
        <w:trPr>
          <w:trHeight w:hRule="exact" w:val="255"/>
        </w:trPr>
        <w:tc>
          <w:tcPr>
            <w:tcW w:w="6351" w:type="dxa"/>
            <w:tcBorders>
              <w:top w:val="single" w:sz="4" w:space="0" w:color="auto"/>
            </w:tcBorders>
            <w:shd w:val="clear" w:color="auto" w:fill="auto"/>
          </w:tcPr>
          <w:p w14:paraId="31ADB5D9" w14:textId="77777777" w:rsidR="00F84CFC" w:rsidRPr="009D4CD4" w:rsidRDefault="00F84CFC" w:rsidP="00F84CFC">
            <w:pPr>
              <w:spacing w:after="0" w:line="240" w:lineRule="auto"/>
              <w:ind w:right="140"/>
              <w:jc w:val="left"/>
              <w:rPr>
                <w:rFonts w:eastAsia="Times New Roman" w:cs="Arial"/>
              </w:rPr>
            </w:pPr>
            <w:r w:rsidRPr="009D4CD4">
              <w:rPr>
                <w:rFonts w:eastAsia="Times New Roman" w:cs="Arial"/>
                <w:sz w:val="20"/>
                <w:szCs w:val="20"/>
              </w:rPr>
              <w:t>Agences permanentes</w:t>
            </w:r>
          </w:p>
        </w:tc>
        <w:tc>
          <w:tcPr>
            <w:tcW w:w="1288" w:type="dxa"/>
            <w:shd w:val="clear" w:color="auto" w:fill="auto"/>
          </w:tcPr>
          <w:p w14:paraId="70260226" w14:textId="5AF568B0" w:rsidR="00F84CFC" w:rsidRPr="009D4CD4" w:rsidRDefault="001732D1"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158</w:t>
            </w:r>
          </w:p>
        </w:tc>
        <w:tc>
          <w:tcPr>
            <w:tcW w:w="1222" w:type="dxa"/>
            <w:shd w:val="clear" w:color="auto" w:fill="auto"/>
          </w:tcPr>
          <w:p w14:paraId="7D2D4E1B" w14:textId="71E746B4"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158</w:t>
            </w:r>
          </w:p>
        </w:tc>
        <w:tc>
          <w:tcPr>
            <w:tcW w:w="1093" w:type="dxa"/>
            <w:shd w:val="clear" w:color="auto" w:fill="auto"/>
          </w:tcPr>
          <w:p w14:paraId="4E1A6E00" w14:textId="4E420B35"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158</w:t>
            </w:r>
          </w:p>
        </w:tc>
      </w:tr>
      <w:tr w:rsidR="00F84CFC" w:rsidRPr="009D4CD4" w14:paraId="40F66629" w14:textId="77777777" w:rsidTr="00523615">
        <w:trPr>
          <w:trHeight w:hRule="exact" w:val="255"/>
        </w:trPr>
        <w:tc>
          <w:tcPr>
            <w:tcW w:w="6351" w:type="dxa"/>
            <w:tcBorders>
              <w:top w:val="single" w:sz="4" w:space="0" w:color="auto"/>
              <w:left w:val="single" w:sz="4" w:space="0" w:color="auto"/>
              <w:bottom w:val="single" w:sz="4" w:space="0" w:color="auto"/>
              <w:right w:val="single" w:sz="4" w:space="0" w:color="auto"/>
            </w:tcBorders>
            <w:shd w:val="clear" w:color="auto" w:fill="auto"/>
          </w:tcPr>
          <w:p w14:paraId="3E29C69B" w14:textId="77777777" w:rsidR="00F84CFC" w:rsidRPr="009D4CD4" w:rsidRDefault="00F84CFC" w:rsidP="00F84CFC">
            <w:pPr>
              <w:spacing w:after="0" w:line="240" w:lineRule="auto"/>
              <w:ind w:right="140"/>
              <w:jc w:val="left"/>
              <w:rPr>
                <w:rFonts w:eastAsia="Times New Roman" w:cs="Arial"/>
                <w:sz w:val="20"/>
                <w:szCs w:val="20"/>
              </w:rPr>
            </w:pPr>
            <w:r w:rsidRPr="009D4CD4">
              <w:rPr>
                <w:rFonts w:eastAsia="Times New Roman" w:cs="Arial"/>
                <w:sz w:val="20"/>
                <w:szCs w:val="20"/>
              </w:rPr>
              <w:t>Relais CA (Points verts)</w:t>
            </w:r>
          </w:p>
        </w:tc>
        <w:tc>
          <w:tcPr>
            <w:tcW w:w="1288" w:type="dxa"/>
            <w:tcBorders>
              <w:top w:val="single" w:sz="4" w:space="0" w:color="auto"/>
              <w:left w:val="single" w:sz="4" w:space="0" w:color="auto"/>
              <w:bottom w:val="single" w:sz="4" w:space="0" w:color="auto"/>
              <w:right w:val="single" w:sz="4" w:space="0" w:color="auto"/>
            </w:tcBorders>
            <w:shd w:val="clear" w:color="auto" w:fill="auto"/>
          </w:tcPr>
          <w:p w14:paraId="63B507FD" w14:textId="2323B136" w:rsidR="00F84CFC" w:rsidRPr="009D4CD4" w:rsidRDefault="00D2411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229</w:t>
            </w:r>
          </w:p>
        </w:tc>
        <w:tc>
          <w:tcPr>
            <w:tcW w:w="1222" w:type="dxa"/>
            <w:tcBorders>
              <w:top w:val="single" w:sz="4" w:space="0" w:color="auto"/>
              <w:left w:val="single" w:sz="4" w:space="0" w:color="auto"/>
              <w:bottom w:val="single" w:sz="4" w:space="0" w:color="auto"/>
              <w:right w:val="single" w:sz="4" w:space="0" w:color="auto"/>
            </w:tcBorders>
            <w:shd w:val="clear" w:color="auto" w:fill="auto"/>
          </w:tcPr>
          <w:p w14:paraId="33007364" w14:textId="71CAE01A"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238</w:t>
            </w:r>
          </w:p>
        </w:tc>
        <w:tc>
          <w:tcPr>
            <w:tcW w:w="1093" w:type="dxa"/>
            <w:tcBorders>
              <w:top w:val="single" w:sz="4" w:space="0" w:color="auto"/>
              <w:left w:val="single" w:sz="4" w:space="0" w:color="auto"/>
              <w:bottom w:val="single" w:sz="4" w:space="0" w:color="auto"/>
              <w:right w:val="single" w:sz="4" w:space="0" w:color="auto"/>
            </w:tcBorders>
            <w:shd w:val="clear" w:color="auto" w:fill="auto"/>
          </w:tcPr>
          <w:p w14:paraId="33578E2F" w14:textId="30B1B155"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234</w:t>
            </w:r>
          </w:p>
        </w:tc>
      </w:tr>
      <w:tr w:rsidR="00F84CFC" w:rsidRPr="009D4CD4" w14:paraId="2235328E" w14:textId="77777777" w:rsidTr="00523615">
        <w:trPr>
          <w:trHeight w:hRule="exact" w:val="255"/>
        </w:trPr>
        <w:tc>
          <w:tcPr>
            <w:tcW w:w="6351" w:type="dxa"/>
            <w:shd w:val="clear" w:color="auto" w:fill="auto"/>
          </w:tcPr>
          <w:p w14:paraId="47B9F881" w14:textId="77777777" w:rsidR="00F84CFC" w:rsidRPr="009D4CD4" w:rsidRDefault="00F84CFC" w:rsidP="00F84CFC">
            <w:pPr>
              <w:spacing w:after="0" w:line="240" w:lineRule="auto"/>
              <w:ind w:right="140"/>
              <w:jc w:val="left"/>
              <w:rPr>
                <w:rFonts w:eastAsia="Times New Roman" w:cs="Arial"/>
              </w:rPr>
            </w:pPr>
            <w:r w:rsidRPr="009D4CD4">
              <w:rPr>
                <w:rFonts w:eastAsia="Times New Roman" w:cs="Arial"/>
                <w:sz w:val="20"/>
                <w:szCs w:val="20"/>
              </w:rPr>
              <w:t>Distributeurs de billets</w:t>
            </w:r>
          </w:p>
        </w:tc>
        <w:tc>
          <w:tcPr>
            <w:tcW w:w="1288" w:type="dxa"/>
            <w:shd w:val="clear" w:color="auto" w:fill="auto"/>
          </w:tcPr>
          <w:p w14:paraId="447F3CE3" w14:textId="581C7D7A" w:rsidR="00F84CFC" w:rsidRPr="009D4CD4" w:rsidRDefault="00D2411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273</w:t>
            </w:r>
          </w:p>
        </w:tc>
        <w:tc>
          <w:tcPr>
            <w:tcW w:w="1222" w:type="dxa"/>
            <w:shd w:val="clear" w:color="auto" w:fill="auto"/>
          </w:tcPr>
          <w:p w14:paraId="604FAA01" w14:textId="39678156"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273</w:t>
            </w:r>
          </w:p>
        </w:tc>
        <w:tc>
          <w:tcPr>
            <w:tcW w:w="1093" w:type="dxa"/>
            <w:shd w:val="clear" w:color="auto" w:fill="auto"/>
          </w:tcPr>
          <w:p w14:paraId="6B39C486" w14:textId="7FF35511"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273</w:t>
            </w:r>
          </w:p>
        </w:tc>
      </w:tr>
      <w:tr w:rsidR="00F84CFC" w:rsidRPr="009D4CD4" w14:paraId="556C3B5A" w14:textId="77777777" w:rsidTr="00523615">
        <w:trPr>
          <w:trHeight w:hRule="exact" w:val="255"/>
        </w:trPr>
        <w:tc>
          <w:tcPr>
            <w:tcW w:w="6351" w:type="dxa"/>
            <w:shd w:val="clear" w:color="auto" w:fill="auto"/>
          </w:tcPr>
          <w:p w14:paraId="6DE13E63" w14:textId="77777777" w:rsidR="00F84CFC" w:rsidRPr="009D4CD4" w:rsidRDefault="00F84CFC" w:rsidP="00F84CFC">
            <w:pPr>
              <w:spacing w:after="0" w:line="240" w:lineRule="auto"/>
              <w:ind w:right="140"/>
              <w:jc w:val="left"/>
              <w:rPr>
                <w:rFonts w:eastAsia="Times New Roman" w:cs="Arial"/>
              </w:rPr>
            </w:pPr>
            <w:r w:rsidRPr="009D4CD4">
              <w:rPr>
                <w:rFonts w:eastAsia="Times New Roman" w:cs="Arial"/>
                <w:sz w:val="20"/>
                <w:szCs w:val="20"/>
              </w:rPr>
              <w:t>Distributeurs de billets pour 10 000 habitants</w:t>
            </w:r>
          </w:p>
        </w:tc>
        <w:tc>
          <w:tcPr>
            <w:tcW w:w="1288" w:type="dxa"/>
            <w:shd w:val="clear" w:color="auto" w:fill="auto"/>
          </w:tcPr>
          <w:p w14:paraId="55798251" w14:textId="77777777" w:rsidR="00F84CFC" w:rsidRPr="009D4CD4" w:rsidRDefault="00D2411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2,45</w:t>
            </w:r>
          </w:p>
          <w:p w14:paraId="75233CC5" w14:textId="2CD07DDE" w:rsidR="00D2411C" w:rsidRPr="009D4CD4" w:rsidRDefault="00D2411C" w:rsidP="00F84CFC">
            <w:pPr>
              <w:autoSpaceDE w:val="0"/>
              <w:autoSpaceDN w:val="0"/>
              <w:adjustRightInd w:val="0"/>
              <w:spacing w:after="0" w:line="240" w:lineRule="auto"/>
              <w:jc w:val="left"/>
              <w:rPr>
                <w:rFonts w:eastAsia="Times New Roman" w:cs="Arial"/>
                <w:sz w:val="20"/>
                <w:szCs w:val="20"/>
              </w:rPr>
            </w:pPr>
          </w:p>
        </w:tc>
        <w:tc>
          <w:tcPr>
            <w:tcW w:w="1222" w:type="dxa"/>
            <w:shd w:val="clear" w:color="auto" w:fill="auto"/>
          </w:tcPr>
          <w:p w14:paraId="63DF457B" w14:textId="43FC23B5"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2,46</w:t>
            </w:r>
          </w:p>
        </w:tc>
        <w:tc>
          <w:tcPr>
            <w:tcW w:w="1093" w:type="dxa"/>
            <w:shd w:val="clear" w:color="auto" w:fill="auto"/>
          </w:tcPr>
          <w:p w14:paraId="07795987" w14:textId="0D7011BF" w:rsidR="00F84CFC" w:rsidRPr="009D4CD4" w:rsidRDefault="00F84CFC" w:rsidP="00F84CFC">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2,47</w:t>
            </w:r>
          </w:p>
        </w:tc>
      </w:tr>
    </w:tbl>
    <w:p w14:paraId="342DC516" w14:textId="77777777" w:rsidR="00766E40" w:rsidRPr="009D4CD4" w:rsidRDefault="00766E40" w:rsidP="00B72A61">
      <w:pPr>
        <w:spacing w:after="0" w:line="240" w:lineRule="auto"/>
        <w:ind w:right="1"/>
        <w:jc w:val="left"/>
        <w:rPr>
          <w:rFonts w:asciiTheme="minorHAnsi" w:hAnsiTheme="minorHAnsi" w:cs="Arial"/>
          <w:sz w:val="20"/>
          <w:szCs w:val="20"/>
          <w:lang w:eastAsia="fr-FR"/>
        </w:rPr>
      </w:pPr>
    </w:p>
    <w:p w14:paraId="112B4F19" w14:textId="51F98ED9" w:rsidR="00B72A61" w:rsidRPr="009D4CD4" w:rsidRDefault="00B72A61" w:rsidP="00B72A61">
      <w:pPr>
        <w:spacing w:after="0" w:line="240" w:lineRule="auto"/>
        <w:ind w:right="1"/>
        <w:jc w:val="left"/>
        <w:rPr>
          <w:rFonts w:cs="Arial"/>
        </w:rPr>
      </w:pPr>
      <w:r w:rsidRPr="009D4CD4">
        <w:rPr>
          <w:rFonts w:cs="Arial"/>
          <w:noProof/>
          <w:lang w:eastAsia="fr-FR"/>
        </w:rPr>
        <w:t>La</w:t>
      </w:r>
      <w:r w:rsidRPr="009D4CD4">
        <w:rPr>
          <w:rFonts w:cs="Arial"/>
        </w:rPr>
        <w:t xml:space="preserve"> </w:t>
      </w:r>
      <w:r w:rsidR="00A7717F">
        <w:rPr>
          <w:rFonts w:cs="Arial"/>
        </w:rPr>
        <w:t>Caisse Régionale</w:t>
      </w:r>
      <w:r w:rsidRPr="009D4CD4">
        <w:rPr>
          <w:rFonts w:cs="Arial"/>
        </w:rPr>
        <w:t xml:space="preserve"> maintient son implantation géographique sur les quatre départements de son territoire, tout en </w:t>
      </w:r>
      <w:r w:rsidR="004E796A">
        <w:rPr>
          <w:rFonts w:cs="Arial"/>
        </w:rPr>
        <w:t>achevant</w:t>
      </w:r>
      <w:r w:rsidRPr="009D4CD4">
        <w:rPr>
          <w:rFonts w:cs="Arial"/>
        </w:rPr>
        <w:t xml:space="preserve"> un important programme de rénovation, offrant ainsi aux clients un réseau d’agences dense et modernisé. Les investissements correspondants permettent de confier des travaux à des artisans et à des professionnels locaux, soutenant ainsi leur activité. </w:t>
      </w:r>
    </w:p>
    <w:p w14:paraId="437599BE" w14:textId="77777777" w:rsidR="00F84CFC" w:rsidRPr="009D4CD4" w:rsidRDefault="00F84CFC" w:rsidP="00B72A61">
      <w:pPr>
        <w:spacing w:after="0" w:line="240" w:lineRule="auto"/>
        <w:ind w:right="1"/>
        <w:jc w:val="left"/>
        <w:rPr>
          <w:rFonts w:cs="Arial"/>
        </w:rPr>
      </w:pPr>
    </w:p>
    <w:p w14:paraId="45863E0F" w14:textId="77777777" w:rsidR="00B72A61" w:rsidRPr="009D4CD4" w:rsidRDefault="00BA5C28" w:rsidP="00B72A61">
      <w:pPr>
        <w:spacing w:after="0" w:line="240" w:lineRule="auto"/>
        <w:ind w:right="1"/>
        <w:jc w:val="left"/>
        <w:rPr>
          <w:rFonts w:cs="Arial"/>
        </w:rPr>
      </w:pPr>
      <w:r w:rsidRPr="009D4CD4">
        <w:rPr>
          <w:rFonts w:cs="Arial"/>
        </w:rPr>
        <w:t>La structure renouvelée</w:t>
      </w:r>
      <w:r w:rsidR="00B72A61" w:rsidRPr="009D4CD4">
        <w:rPr>
          <w:rFonts w:cs="Arial"/>
        </w:rPr>
        <w:t xml:space="preserve"> des agences repose sur le concept d’agence collaborative. La volonté est d’apporter aux clients un service global, fondé sur des valeurs de proximité humaine et de transparence, permis par un agencement ouvert, organisé autour d’un espace de travail collectif commun, et renforcé par un recours accru aux technologies digitales et multicanales de communication. L’agence collaborative vise à</w:t>
      </w:r>
      <w:r w:rsidRPr="009D4CD4">
        <w:rPr>
          <w:rFonts w:cs="Arial"/>
        </w:rPr>
        <w:t xml:space="preserve"> </w:t>
      </w:r>
      <w:r w:rsidR="00B72A61" w:rsidRPr="009D4CD4">
        <w:rPr>
          <w:rFonts w:cs="Arial"/>
        </w:rPr>
        <w:t xml:space="preserve">augmenter l’intensité relationnelle entre le client, son conseiller et les experts du Crédit Agricole, à favoriser la coopération entre les acteurs et à renforcer l’efficacité collective. </w:t>
      </w:r>
    </w:p>
    <w:p w14:paraId="4A07A655" w14:textId="01AC01C9" w:rsidR="00B72A61" w:rsidRPr="009D4CD4" w:rsidRDefault="00B72A61" w:rsidP="00B72A61">
      <w:pPr>
        <w:spacing w:after="0" w:line="240" w:lineRule="auto"/>
        <w:ind w:right="1"/>
        <w:jc w:val="left"/>
        <w:rPr>
          <w:rFonts w:cs="Arial"/>
        </w:rPr>
      </w:pPr>
      <w:r w:rsidRPr="009D4CD4">
        <w:rPr>
          <w:rFonts w:cs="Arial"/>
        </w:rPr>
        <w:t xml:space="preserve">Le programme de rénovation des agences a été engagé en cohérence avec la démarche RSE de la </w:t>
      </w:r>
      <w:r w:rsidR="00A7717F">
        <w:rPr>
          <w:rFonts w:cs="Arial"/>
        </w:rPr>
        <w:t>Caisse Régionale</w:t>
      </w:r>
      <w:r w:rsidRPr="009D4CD4">
        <w:rPr>
          <w:rFonts w:cs="Arial"/>
        </w:rPr>
        <w:t xml:space="preserve">, notamment en ce qui concerne la qualité RSE des matériaux </w:t>
      </w:r>
      <w:r w:rsidR="002E3BD4" w:rsidRPr="009D4CD4">
        <w:rPr>
          <w:rFonts w:cs="Arial"/>
        </w:rPr>
        <w:t>utilisés,</w:t>
      </w:r>
      <w:r w:rsidRPr="009D4CD4">
        <w:rPr>
          <w:rFonts w:cs="Arial"/>
        </w:rPr>
        <w:t xml:space="preserve"> le recours aux énergies renouvelables (photovoltaïque)</w:t>
      </w:r>
      <w:r w:rsidR="002E3BD4" w:rsidRPr="009D4CD4">
        <w:rPr>
          <w:rFonts w:cs="Arial"/>
        </w:rPr>
        <w:t>,</w:t>
      </w:r>
      <w:r w:rsidRPr="009D4CD4">
        <w:rPr>
          <w:rFonts w:cs="Arial"/>
        </w:rPr>
        <w:t xml:space="preserve"> la sollicitation de fournisseurs locaux</w:t>
      </w:r>
      <w:r w:rsidR="002E3BD4" w:rsidRPr="009D4CD4">
        <w:rPr>
          <w:rFonts w:cs="Arial"/>
        </w:rPr>
        <w:t>,</w:t>
      </w:r>
      <w:r w:rsidRPr="009D4CD4">
        <w:rPr>
          <w:rFonts w:cs="Arial"/>
        </w:rPr>
        <w:t xml:space="preserve"> la gestion des déchets, l’accueil des personnes à mobilité réduites</w:t>
      </w:r>
      <w:r w:rsidR="002E3BD4" w:rsidRPr="009D4CD4">
        <w:rPr>
          <w:rFonts w:cs="Arial"/>
        </w:rPr>
        <w:t>,</w:t>
      </w:r>
      <w:r w:rsidRPr="009D4CD4">
        <w:rPr>
          <w:rFonts w:cs="Arial"/>
        </w:rPr>
        <w:t xml:space="preserve"> la promotion des mobilités douces avec l’installation de parkings à vélo dans les agences en propriété</w:t>
      </w:r>
      <w:r w:rsidR="002E3BD4" w:rsidRPr="009D4CD4">
        <w:rPr>
          <w:rFonts w:cs="Arial"/>
        </w:rPr>
        <w:t>,</w:t>
      </w:r>
      <w:r w:rsidRPr="009D4CD4">
        <w:rPr>
          <w:rFonts w:cs="Arial"/>
        </w:rPr>
        <w:t xml:space="preserve"> le dialogue avec les parties prenantes.</w:t>
      </w:r>
    </w:p>
    <w:p w14:paraId="2284DF66" w14:textId="77777777" w:rsidR="00B72A61" w:rsidRPr="009D4CD4" w:rsidRDefault="00B72A61" w:rsidP="00B72A61">
      <w:pPr>
        <w:spacing w:after="0" w:line="240" w:lineRule="auto"/>
        <w:ind w:right="1"/>
        <w:jc w:val="left"/>
        <w:rPr>
          <w:rFonts w:cs="Arial"/>
        </w:rPr>
      </w:pPr>
    </w:p>
    <w:p w14:paraId="34C89B1B" w14:textId="7F4FB05D" w:rsidR="00B72A61" w:rsidRPr="009D4CD4" w:rsidRDefault="00B72A61" w:rsidP="007160E0">
      <w:pPr>
        <w:spacing w:after="0" w:line="240" w:lineRule="auto"/>
        <w:ind w:right="1"/>
        <w:jc w:val="left"/>
      </w:pPr>
      <w:r w:rsidRPr="009D4CD4">
        <w:rPr>
          <w:rFonts w:cs="Arial"/>
        </w:rPr>
        <w:t xml:space="preserve">Le réseau d’agences et de distributeurs est complété par des « Relais CA » déployés chez des commerçants partenaires. Ce service gratuit </w:t>
      </w:r>
      <w:r w:rsidR="009C6937">
        <w:rPr>
          <w:rFonts w:cs="Arial"/>
        </w:rPr>
        <w:t xml:space="preserve">pour les </w:t>
      </w:r>
      <w:r w:rsidRPr="009D4CD4">
        <w:rPr>
          <w:rFonts w:cs="Arial"/>
        </w:rPr>
        <w:t xml:space="preserve">clients du Crédit Agricole </w:t>
      </w:r>
      <w:r w:rsidR="009C6937">
        <w:rPr>
          <w:rFonts w:cs="Arial"/>
        </w:rPr>
        <w:t xml:space="preserve">leur permet </w:t>
      </w:r>
      <w:r w:rsidRPr="009D4CD4">
        <w:rPr>
          <w:rFonts w:cs="Arial"/>
        </w:rPr>
        <w:t>de retirer de l’argent facilement. Avec le réseau de distributeurs de billets, les Relais CA complètent le dispositif déployé par le Crédit Agricole Nord Midi-Pyrénées pour que ses clients puissent accéder en proximité aux services de base partout sur le territoire.</w:t>
      </w:r>
      <w:r w:rsidR="007160E0">
        <w:rPr>
          <w:rFonts w:cs="Arial"/>
        </w:rPr>
        <w:t xml:space="preserve"> La baisse conjoncturelle constatée en 2021 est liée à des cessations d’activités.</w:t>
      </w:r>
    </w:p>
    <w:p w14:paraId="0001FC64" w14:textId="77777777" w:rsidR="001732D1" w:rsidRPr="009D4CD4" w:rsidRDefault="001732D1" w:rsidP="00B72A61">
      <w:pPr>
        <w:spacing w:after="0" w:line="240" w:lineRule="auto"/>
        <w:jc w:val="left"/>
      </w:pPr>
    </w:p>
    <w:p w14:paraId="0EF334CD" w14:textId="2446FC28" w:rsidR="00B72A61" w:rsidRPr="009D4CD4" w:rsidRDefault="00B72A61" w:rsidP="00326D6D">
      <w:pPr>
        <w:pStyle w:val="Titre3"/>
      </w:pPr>
      <w:bookmarkStart w:id="43" w:name="_Toc96095081"/>
      <w:bookmarkStart w:id="44" w:name="_Toc96095259"/>
      <w:bookmarkStart w:id="45" w:name="_Toc32416026"/>
      <w:bookmarkStart w:id="46" w:name="_Toc59444702"/>
      <w:bookmarkStart w:id="47" w:name="_Toc96697978"/>
      <w:bookmarkEnd w:id="43"/>
      <w:bookmarkEnd w:id="44"/>
      <w:r w:rsidRPr="009D4CD4">
        <w:t>Développer la banque connectée</w:t>
      </w:r>
      <w:bookmarkEnd w:id="45"/>
      <w:bookmarkEnd w:id="46"/>
      <w:bookmarkEnd w:id="47"/>
    </w:p>
    <w:p w14:paraId="233D55B8" w14:textId="77777777" w:rsidR="00B72A61" w:rsidRPr="009D4CD4" w:rsidRDefault="00B72A61" w:rsidP="00B72A61">
      <w:pPr>
        <w:spacing w:after="0" w:line="240" w:lineRule="auto"/>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86"/>
        <w:gridCol w:w="1330"/>
        <w:gridCol w:w="1218"/>
        <w:gridCol w:w="1078"/>
      </w:tblGrid>
      <w:tr w:rsidR="005E1741" w:rsidRPr="009D4CD4" w14:paraId="58340510" w14:textId="77777777" w:rsidTr="00523615">
        <w:trPr>
          <w:trHeight w:hRule="exact" w:val="284"/>
        </w:trPr>
        <w:tc>
          <w:tcPr>
            <w:tcW w:w="6086" w:type="dxa"/>
            <w:tcBorders>
              <w:top w:val="nil"/>
              <w:left w:val="nil"/>
              <w:bottom w:val="single" w:sz="4" w:space="0" w:color="auto"/>
              <w:right w:val="single" w:sz="4" w:space="0" w:color="auto"/>
            </w:tcBorders>
            <w:shd w:val="clear" w:color="auto" w:fill="auto"/>
          </w:tcPr>
          <w:p w14:paraId="030E44FF" w14:textId="77777777" w:rsidR="005E1741" w:rsidRPr="009D4CD4" w:rsidRDefault="005E1741" w:rsidP="005E1741">
            <w:pPr>
              <w:jc w:val="left"/>
            </w:pPr>
            <w:r w:rsidRPr="009D4CD4">
              <w:rPr>
                <w:rFonts w:eastAsia="Times New Roman" w:cs="Arial"/>
                <w:b/>
                <w:i/>
                <w:sz w:val="20"/>
                <w:szCs w:val="20"/>
              </w:rPr>
              <w:t>Les chiffres – clé</w:t>
            </w:r>
          </w:p>
        </w:tc>
        <w:tc>
          <w:tcPr>
            <w:tcW w:w="1330" w:type="dxa"/>
            <w:tcBorders>
              <w:left w:val="single" w:sz="4" w:space="0" w:color="auto"/>
            </w:tcBorders>
            <w:shd w:val="clear" w:color="auto" w:fill="auto"/>
          </w:tcPr>
          <w:p w14:paraId="5579933F" w14:textId="035830F9" w:rsidR="005E1741" w:rsidRPr="009D4CD4" w:rsidRDefault="005E1741" w:rsidP="005E1741">
            <w:pPr>
              <w:jc w:val="left"/>
              <w:rPr>
                <w:rFonts w:eastAsia="Times New Roman" w:cs="Arial"/>
                <w:b/>
              </w:rPr>
            </w:pPr>
            <w:r w:rsidRPr="009D4CD4">
              <w:rPr>
                <w:rFonts w:eastAsia="Times New Roman" w:cs="Arial"/>
                <w:b/>
              </w:rPr>
              <w:t>2021</w:t>
            </w:r>
          </w:p>
        </w:tc>
        <w:tc>
          <w:tcPr>
            <w:tcW w:w="1218" w:type="dxa"/>
            <w:shd w:val="clear" w:color="auto" w:fill="auto"/>
          </w:tcPr>
          <w:p w14:paraId="3412C2F6" w14:textId="18E6204C" w:rsidR="005E1741" w:rsidRPr="009D4CD4" w:rsidRDefault="005E1741" w:rsidP="005E1741">
            <w:pPr>
              <w:jc w:val="left"/>
              <w:rPr>
                <w:rFonts w:eastAsia="Times New Roman" w:cs="Arial"/>
                <w:b/>
              </w:rPr>
            </w:pPr>
            <w:r w:rsidRPr="009D4CD4">
              <w:rPr>
                <w:rFonts w:eastAsia="Times New Roman" w:cs="Arial"/>
                <w:b/>
              </w:rPr>
              <w:t>2020</w:t>
            </w:r>
          </w:p>
        </w:tc>
        <w:tc>
          <w:tcPr>
            <w:tcW w:w="1078" w:type="dxa"/>
            <w:shd w:val="clear" w:color="auto" w:fill="auto"/>
          </w:tcPr>
          <w:p w14:paraId="4ECE3780" w14:textId="5A63E353" w:rsidR="005E1741" w:rsidRPr="009D4CD4" w:rsidRDefault="005E1741" w:rsidP="005E1741">
            <w:pPr>
              <w:jc w:val="left"/>
              <w:rPr>
                <w:rFonts w:eastAsia="Times New Roman" w:cs="Arial"/>
                <w:b/>
              </w:rPr>
            </w:pPr>
            <w:r w:rsidRPr="009D4CD4">
              <w:rPr>
                <w:rFonts w:eastAsia="Times New Roman" w:cs="Arial"/>
                <w:b/>
              </w:rPr>
              <w:t>2019</w:t>
            </w:r>
          </w:p>
        </w:tc>
      </w:tr>
      <w:tr w:rsidR="005E1741" w:rsidRPr="009D4CD4" w14:paraId="1548F366" w14:textId="77777777" w:rsidTr="00523615">
        <w:trPr>
          <w:trHeight w:hRule="exact" w:val="284"/>
        </w:trPr>
        <w:tc>
          <w:tcPr>
            <w:tcW w:w="6086" w:type="dxa"/>
            <w:tcBorders>
              <w:top w:val="single" w:sz="4" w:space="0" w:color="auto"/>
            </w:tcBorders>
            <w:shd w:val="clear" w:color="auto" w:fill="auto"/>
          </w:tcPr>
          <w:p w14:paraId="5EB30F4D" w14:textId="77777777" w:rsidR="005E1741" w:rsidRPr="009D4CD4" w:rsidRDefault="005E1741" w:rsidP="005E1741">
            <w:pPr>
              <w:spacing w:after="0" w:line="240" w:lineRule="auto"/>
              <w:ind w:right="140"/>
              <w:jc w:val="left"/>
              <w:rPr>
                <w:rFonts w:eastAsia="Times New Roman" w:cs="Arial"/>
              </w:rPr>
            </w:pPr>
            <w:r w:rsidRPr="009D4CD4">
              <w:rPr>
                <w:rFonts w:eastAsia="Times New Roman" w:cs="Arial"/>
                <w:sz w:val="20"/>
                <w:szCs w:val="20"/>
              </w:rPr>
              <w:t>Visites sur ca-nmp.fr (millions)</w:t>
            </w:r>
          </w:p>
        </w:tc>
        <w:tc>
          <w:tcPr>
            <w:tcW w:w="1330" w:type="dxa"/>
            <w:shd w:val="clear" w:color="auto" w:fill="auto"/>
          </w:tcPr>
          <w:p w14:paraId="165EEAAC" w14:textId="4E628BEF" w:rsidR="005E1741" w:rsidRPr="009D4CD4" w:rsidRDefault="00D06122" w:rsidP="005E1741">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18,2</w:t>
            </w:r>
          </w:p>
        </w:tc>
        <w:tc>
          <w:tcPr>
            <w:tcW w:w="1218" w:type="dxa"/>
            <w:shd w:val="clear" w:color="auto" w:fill="auto"/>
          </w:tcPr>
          <w:p w14:paraId="525D78F6" w14:textId="49C0B07C" w:rsidR="005E1741" w:rsidRPr="009D4CD4" w:rsidRDefault="005E1741" w:rsidP="005E1741">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23,1</w:t>
            </w:r>
          </w:p>
        </w:tc>
        <w:tc>
          <w:tcPr>
            <w:tcW w:w="1078" w:type="dxa"/>
            <w:shd w:val="clear" w:color="auto" w:fill="auto"/>
          </w:tcPr>
          <w:p w14:paraId="66F66336" w14:textId="1CF3BBF0" w:rsidR="005E1741" w:rsidRPr="009D4CD4" w:rsidRDefault="005E1741" w:rsidP="005E1741">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20,4</w:t>
            </w:r>
          </w:p>
        </w:tc>
      </w:tr>
      <w:tr w:rsidR="005E1741" w:rsidRPr="009D4CD4" w14:paraId="1B6EFD68" w14:textId="77777777" w:rsidTr="00523615">
        <w:trPr>
          <w:trHeight w:hRule="exact" w:val="284"/>
        </w:trPr>
        <w:tc>
          <w:tcPr>
            <w:tcW w:w="6086" w:type="dxa"/>
            <w:shd w:val="clear" w:color="auto" w:fill="auto"/>
          </w:tcPr>
          <w:p w14:paraId="2AAE4F4C" w14:textId="77777777" w:rsidR="005E1741" w:rsidRPr="009D4CD4" w:rsidRDefault="005E1741" w:rsidP="005E1741">
            <w:pPr>
              <w:spacing w:after="0" w:line="240" w:lineRule="auto"/>
              <w:ind w:right="140"/>
              <w:jc w:val="left"/>
              <w:rPr>
                <w:rFonts w:eastAsia="Times New Roman" w:cs="Arial"/>
                <w:sz w:val="20"/>
                <w:szCs w:val="20"/>
              </w:rPr>
            </w:pPr>
            <w:r w:rsidRPr="009D4CD4">
              <w:rPr>
                <w:rFonts w:eastAsia="Times New Roman" w:cs="Arial"/>
                <w:sz w:val="20"/>
                <w:szCs w:val="20"/>
              </w:rPr>
              <w:t xml:space="preserve">Utilisateurs actifs de l’appli Ma Banque </w:t>
            </w:r>
          </w:p>
        </w:tc>
        <w:tc>
          <w:tcPr>
            <w:tcW w:w="1330" w:type="dxa"/>
            <w:shd w:val="clear" w:color="auto" w:fill="auto"/>
          </w:tcPr>
          <w:p w14:paraId="7C24D5C5" w14:textId="2361327B" w:rsidR="005E1741" w:rsidRPr="009D4CD4" w:rsidRDefault="00061277" w:rsidP="005E1741">
            <w:pPr>
              <w:autoSpaceDE w:val="0"/>
              <w:autoSpaceDN w:val="0"/>
              <w:adjustRightInd w:val="0"/>
              <w:spacing w:after="0" w:line="240" w:lineRule="auto"/>
              <w:jc w:val="left"/>
              <w:rPr>
                <w:rFonts w:eastAsia="Times New Roman" w:cs="Arial"/>
                <w:sz w:val="20"/>
                <w:szCs w:val="20"/>
              </w:rPr>
            </w:pPr>
            <w:r w:rsidRPr="00061277">
              <w:rPr>
                <w:rFonts w:eastAsia="Times New Roman" w:cs="Arial"/>
                <w:sz w:val="20"/>
                <w:szCs w:val="20"/>
              </w:rPr>
              <w:t>179 747</w:t>
            </w:r>
          </w:p>
        </w:tc>
        <w:tc>
          <w:tcPr>
            <w:tcW w:w="1218" w:type="dxa"/>
            <w:shd w:val="clear" w:color="auto" w:fill="auto"/>
          </w:tcPr>
          <w:p w14:paraId="2C29EB7E" w14:textId="67DE7EE8" w:rsidR="005E1741" w:rsidRPr="009D4CD4" w:rsidRDefault="005E1741" w:rsidP="005E1741">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137 897</w:t>
            </w:r>
          </w:p>
        </w:tc>
        <w:tc>
          <w:tcPr>
            <w:tcW w:w="1078" w:type="dxa"/>
            <w:shd w:val="clear" w:color="auto" w:fill="auto"/>
          </w:tcPr>
          <w:p w14:paraId="5F3BFD3D" w14:textId="6345FFDE" w:rsidR="005E1741" w:rsidRPr="009D4CD4" w:rsidRDefault="005E1741" w:rsidP="005E1741">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118 781</w:t>
            </w:r>
          </w:p>
        </w:tc>
      </w:tr>
      <w:tr w:rsidR="005E1741" w:rsidRPr="009D4CD4" w14:paraId="461BF508" w14:textId="77777777" w:rsidTr="00523615">
        <w:trPr>
          <w:trHeight w:hRule="exact" w:val="284"/>
        </w:trPr>
        <w:tc>
          <w:tcPr>
            <w:tcW w:w="6086" w:type="dxa"/>
            <w:shd w:val="clear" w:color="auto" w:fill="auto"/>
          </w:tcPr>
          <w:p w14:paraId="0BFC3602" w14:textId="77777777" w:rsidR="005E1741" w:rsidRPr="009D4CD4" w:rsidRDefault="005E1741" w:rsidP="005E1741">
            <w:pPr>
              <w:spacing w:after="0" w:line="240" w:lineRule="auto"/>
              <w:ind w:right="140"/>
              <w:jc w:val="left"/>
              <w:rPr>
                <w:rFonts w:eastAsia="Times New Roman" w:cs="Arial"/>
              </w:rPr>
            </w:pPr>
            <w:r w:rsidRPr="009D4CD4">
              <w:rPr>
                <w:rFonts w:eastAsia="Times New Roman" w:cs="Arial"/>
                <w:sz w:val="20"/>
                <w:szCs w:val="20"/>
              </w:rPr>
              <w:t>SMS envoyés par le CANMP (millions)</w:t>
            </w:r>
          </w:p>
        </w:tc>
        <w:tc>
          <w:tcPr>
            <w:tcW w:w="1330" w:type="dxa"/>
            <w:shd w:val="clear" w:color="auto" w:fill="auto"/>
          </w:tcPr>
          <w:p w14:paraId="65B0992E" w14:textId="6646FC76" w:rsidR="005E1741" w:rsidRPr="009D4CD4" w:rsidRDefault="004F25CC" w:rsidP="005E1741">
            <w:pPr>
              <w:tabs>
                <w:tab w:val="left" w:pos="477"/>
              </w:tabs>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5,2</w:t>
            </w:r>
          </w:p>
        </w:tc>
        <w:tc>
          <w:tcPr>
            <w:tcW w:w="1218" w:type="dxa"/>
            <w:shd w:val="clear" w:color="auto" w:fill="auto"/>
          </w:tcPr>
          <w:p w14:paraId="42F16B3A" w14:textId="34CBBBBA" w:rsidR="005E1741" w:rsidRPr="009D4CD4" w:rsidRDefault="005E1741" w:rsidP="005E1741">
            <w:pPr>
              <w:tabs>
                <w:tab w:val="left" w:pos="477"/>
              </w:tabs>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6,6</w:t>
            </w:r>
          </w:p>
        </w:tc>
        <w:tc>
          <w:tcPr>
            <w:tcW w:w="1078" w:type="dxa"/>
            <w:shd w:val="clear" w:color="auto" w:fill="auto"/>
          </w:tcPr>
          <w:p w14:paraId="42AB7107" w14:textId="66C1718C" w:rsidR="005E1741" w:rsidRPr="009D4CD4" w:rsidRDefault="005E1741" w:rsidP="005E1741">
            <w:pPr>
              <w:tabs>
                <w:tab w:val="left" w:pos="477"/>
              </w:tabs>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3,1</w:t>
            </w:r>
          </w:p>
        </w:tc>
      </w:tr>
    </w:tbl>
    <w:p w14:paraId="3994056E" w14:textId="77777777" w:rsidR="00B72A61" w:rsidRPr="009D4CD4" w:rsidRDefault="00B72A61" w:rsidP="00B72A61">
      <w:pPr>
        <w:spacing w:after="0" w:line="240" w:lineRule="auto"/>
        <w:ind w:right="1"/>
        <w:jc w:val="left"/>
        <w:rPr>
          <w:rFonts w:eastAsia="Times New Roman" w:cs="Arial"/>
          <w:sz w:val="16"/>
          <w:szCs w:val="16"/>
          <w:lang w:eastAsia="fr-FR"/>
        </w:rPr>
      </w:pPr>
    </w:p>
    <w:p w14:paraId="348CC425" w14:textId="7B3CA2EA" w:rsidR="00B72A61" w:rsidRPr="009D4CD4" w:rsidRDefault="000C3BE7" w:rsidP="00B72A61">
      <w:pPr>
        <w:spacing w:after="0" w:line="240" w:lineRule="auto"/>
        <w:ind w:right="1"/>
        <w:jc w:val="left"/>
        <w:rPr>
          <w:rFonts w:asciiTheme="minorHAnsi" w:hAnsiTheme="minorHAnsi" w:cs="Tahoma"/>
        </w:rPr>
      </w:pPr>
      <w:r w:rsidRPr="009D4CD4">
        <w:rPr>
          <w:rFonts w:cs="Arial"/>
        </w:rPr>
        <w:t>Le</w:t>
      </w:r>
      <w:r w:rsidR="00B72A61" w:rsidRPr="009D4CD4">
        <w:rPr>
          <w:rFonts w:cs="Arial"/>
        </w:rPr>
        <w:t xml:space="preserve"> Crédit Agricole Nord Midi-Pyrénées développe des canaux et des offres répondant au souhait des clients désireux de communiquer et d’échanger avec leur banque où ils le veulent et quand ils le veulent, dans des conditions de sécurité garanties. Dans ce cadre, des investissements importants sont réalisés pour mettre en place et développer de nouveaux services au niveau de la banque en ligne, de la téléphonie et des applis pour mobiles et tablettes. La démarche RSE du Crédit Agricole Nord Midi-Pyrénées se décline sur ces canaux qui permettent des échanges plus rapides, conviviaux et sécurisés, </w:t>
      </w:r>
      <w:r w:rsidR="00B72A61" w:rsidRPr="009D4CD4">
        <w:rPr>
          <w:rFonts w:asciiTheme="minorHAnsi" w:hAnsiTheme="minorHAnsi" w:cs="Tahoma"/>
        </w:rPr>
        <w:t>tout en s’assurant de la conformité des opérations traitées et en réduisant les consommations de papier.</w:t>
      </w:r>
    </w:p>
    <w:p w14:paraId="7F8B1539" w14:textId="77777777" w:rsidR="0044035B" w:rsidRPr="009D4CD4" w:rsidRDefault="0044035B" w:rsidP="00B72A61">
      <w:pPr>
        <w:spacing w:after="0" w:line="240" w:lineRule="auto"/>
        <w:ind w:right="1"/>
        <w:jc w:val="left"/>
        <w:rPr>
          <w:rFonts w:asciiTheme="minorHAnsi" w:hAnsiTheme="minorHAnsi" w:cs="Tahoma"/>
        </w:rPr>
      </w:pPr>
    </w:p>
    <w:p w14:paraId="0D13C938" w14:textId="2F340278" w:rsidR="00057C11" w:rsidRPr="009D4CD4" w:rsidRDefault="00057C11" w:rsidP="00057C11">
      <w:pPr>
        <w:pStyle w:val="NormalWeb"/>
        <w:spacing w:before="0" w:beforeAutospacing="0" w:after="0" w:afterAutospacing="0"/>
        <w:rPr>
          <w:rFonts w:ascii="Calibri" w:eastAsia="Calibri" w:hAnsi="Calibri" w:cs="Arial"/>
          <w:sz w:val="22"/>
          <w:szCs w:val="22"/>
          <w:lang w:eastAsia="en-US"/>
        </w:rPr>
      </w:pPr>
      <w:r w:rsidRPr="009D4CD4">
        <w:rPr>
          <w:rFonts w:ascii="Calibri" w:eastAsia="Calibri" w:hAnsi="Calibri" w:cs="Arial"/>
          <w:sz w:val="22"/>
          <w:szCs w:val="22"/>
          <w:lang w:eastAsia="en-US"/>
        </w:rPr>
        <w:t>En 2021, l'ensemble des conseillers, tous réseaux confondus, a été formé à la solution de visio conférence Webex.  Les clients, tous marchés confondus, peuvent donc désormais bénéficier de cette solution. Sur le marché des Particuliers et la Banque privée, les rendez-vous clients en visio conférence ont représenté 1,5% de l’ensemble des RV tous canaux confondus (à l’agence, téléphone, visio ou à domicile).</w:t>
      </w:r>
    </w:p>
    <w:p w14:paraId="7FE3DDB5" w14:textId="339702F2" w:rsidR="009C6937" w:rsidRPr="009D4CD4" w:rsidRDefault="009C6937" w:rsidP="00D259D6">
      <w:pPr>
        <w:spacing w:after="0" w:line="240" w:lineRule="auto"/>
        <w:ind w:right="1"/>
        <w:jc w:val="left"/>
      </w:pPr>
      <w:r>
        <w:t>Toujours e</w:t>
      </w:r>
      <w:r w:rsidRPr="009D4CD4">
        <w:t>n 2021</w:t>
      </w:r>
      <w:r>
        <w:t>, une</w:t>
      </w:r>
      <w:r w:rsidRPr="009D4CD4">
        <w:t xml:space="preserve"> Boutique en ligne </w:t>
      </w:r>
      <w:r>
        <w:t xml:space="preserve">est lancée </w:t>
      </w:r>
      <w:r w:rsidRPr="004E796A">
        <w:t>permettant l’accès à un ensemble d’offres et à leur souscription en toute</w:t>
      </w:r>
      <w:r w:rsidRPr="009D4CD4">
        <w:rPr>
          <w:color w:val="1F497D"/>
        </w:rPr>
        <w:t xml:space="preserve"> </w:t>
      </w:r>
      <w:r w:rsidRPr="009D4CD4">
        <w:t>transparence et autonomie.</w:t>
      </w:r>
    </w:p>
    <w:p w14:paraId="4B4F2497" w14:textId="77777777" w:rsidR="00B72A61" w:rsidRPr="009D4CD4" w:rsidRDefault="00B72A61" w:rsidP="00B72A61">
      <w:pPr>
        <w:spacing w:after="0" w:line="240" w:lineRule="auto"/>
        <w:jc w:val="left"/>
        <w:rPr>
          <w:rFonts w:cs="Arial"/>
        </w:rPr>
      </w:pPr>
    </w:p>
    <w:p w14:paraId="263A22D3" w14:textId="77777777" w:rsidR="00FF6AE1" w:rsidRPr="009D4CD4" w:rsidRDefault="00FF6AE1" w:rsidP="00FF6AE1">
      <w:pPr>
        <w:pStyle w:val="Titre3"/>
      </w:pPr>
      <w:bookmarkStart w:id="48" w:name="_Toc32416030"/>
      <w:bookmarkStart w:id="49" w:name="_Toc59444706"/>
      <w:bookmarkStart w:id="50" w:name="_Toc32416027"/>
      <w:bookmarkStart w:id="51" w:name="_Toc59444703"/>
      <w:bookmarkStart w:id="52" w:name="_Toc96697979"/>
      <w:r w:rsidRPr="009D4CD4">
        <w:t>Mobiliser l’expertise en faveur de l’activité socio-économique et de l’innovation</w:t>
      </w:r>
      <w:bookmarkEnd w:id="48"/>
      <w:bookmarkEnd w:id="49"/>
      <w:bookmarkEnd w:id="52"/>
    </w:p>
    <w:p w14:paraId="28BCE832" w14:textId="6CE794B6" w:rsidR="00FF6AE1" w:rsidRPr="009D4CD4" w:rsidRDefault="00FF6AE1" w:rsidP="00484FF7">
      <w:pPr>
        <w:pStyle w:val="Titre4"/>
      </w:pPr>
      <w:bookmarkStart w:id="53" w:name="_Toc96697980"/>
      <w:r w:rsidRPr="009D4CD4">
        <w:t>Les Cafés de la Création</w:t>
      </w:r>
      <w:bookmarkEnd w:id="53"/>
    </w:p>
    <w:p w14:paraId="722495BC" w14:textId="13D299E5" w:rsidR="00FF6AE1" w:rsidRPr="009D4CD4" w:rsidRDefault="00FF6AE1" w:rsidP="00FF6AE1">
      <w:pPr>
        <w:spacing w:after="0" w:line="240" w:lineRule="auto"/>
        <w:jc w:val="left"/>
        <w:rPr>
          <w:rFonts w:cs="Arial"/>
        </w:rPr>
      </w:pPr>
      <w:r w:rsidRPr="009D4CD4">
        <w:rPr>
          <w:rFonts w:cs="Arial"/>
        </w:rPr>
        <w:t xml:space="preserve">La </w:t>
      </w:r>
      <w:r w:rsidR="00A7717F">
        <w:rPr>
          <w:rFonts w:cs="Arial"/>
        </w:rPr>
        <w:t>Caisse Régionale</w:t>
      </w:r>
      <w:r w:rsidRPr="009D4CD4">
        <w:rPr>
          <w:rFonts w:cs="Arial"/>
        </w:rPr>
        <w:t xml:space="preserve"> organise des « Cafés de la Création » dont les objectifs sont de mettre en relation des parties prenantes aux projets de création d'entreprise, avec, en ligne de mire, la concrétisation des projets.</w:t>
      </w:r>
    </w:p>
    <w:p w14:paraId="009149C2" w14:textId="77777777" w:rsidR="00FF6AE1" w:rsidRPr="009D4CD4" w:rsidRDefault="00FF6AE1" w:rsidP="00FF6AE1">
      <w:pPr>
        <w:spacing w:after="0" w:line="240" w:lineRule="auto"/>
        <w:jc w:val="left"/>
        <w:rPr>
          <w:rFonts w:cs="Arial"/>
        </w:rPr>
      </w:pPr>
      <w:r w:rsidRPr="009D4CD4">
        <w:rPr>
          <w:rFonts w:cs="Arial"/>
        </w:rPr>
        <w:t>Depuis le lancement de ce dispositif en 2017, 22 rencontres ont été organisées et 326 porteurs de projet accueillis.</w:t>
      </w:r>
    </w:p>
    <w:p w14:paraId="60C73FB6" w14:textId="77777777" w:rsidR="00FF6AE1" w:rsidRPr="009D4CD4" w:rsidRDefault="00FF6AE1" w:rsidP="00FF6AE1">
      <w:pPr>
        <w:spacing w:after="0" w:line="240" w:lineRule="auto"/>
        <w:jc w:val="left"/>
        <w:rPr>
          <w:rFonts w:cs="Arial"/>
        </w:rPr>
      </w:pPr>
      <w:r w:rsidRPr="009D4CD4">
        <w:rPr>
          <w:rFonts w:cs="Arial"/>
        </w:rPr>
        <w:t>Invités dans des bars-restaurants en centre-ville, de futurs créateurs d’entreprise, quel que soit leur âge ou leur activité, rencontrent gratuitement de nombreux acteurs pour échanger sur leur projet et tisser leurs réseaux : experts du Crédit Agricole, avocats, notaires, experts comptables, représentants de la Chambre de Commerce et d’Industrie, de la Chambre de Métiers et d’Artisanat, du réseau France Initiatives, du réseau Entreprendre, de Pôle Emploi, ou de l’URSSAF.</w:t>
      </w:r>
    </w:p>
    <w:p w14:paraId="56E417B6" w14:textId="77777777" w:rsidR="00FF6AE1" w:rsidRPr="009D4CD4" w:rsidRDefault="00FF6AE1" w:rsidP="00FF6AE1">
      <w:pPr>
        <w:spacing w:after="0" w:line="240" w:lineRule="auto"/>
        <w:jc w:val="left"/>
        <w:rPr>
          <w:rFonts w:cs="Arial"/>
        </w:rPr>
      </w:pPr>
      <w:r w:rsidRPr="009D4CD4">
        <w:rPr>
          <w:rFonts w:cs="Arial"/>
        </w:rPr>
        <w:t>Autour d’un café ou d’un jus de fruits, les porteurs de projet étudiants, salariés, demandeurs d’emplois etc., clients ou non du Crédit Agricole, sont accueillis pour obtenir de précieux conseils et des réponses à leurs différentes interrogations. Le champ des sujets abordés est sans limite : comment construire mon projet ? Quel statut juridique choisir ? Quels financements et quelles aides puis-je obtenir ? Quid de la protection sociale ? Etc.</w:t>
      </w:r>
    </w:p>
    <w:p w14:paraId="36BD202A" w14:textId="2192F894" w:rsidR="00FF6AE1" w:rsidRPr="004E796A" w:rsidRDefault="00FF6AE1" w:rsidP="00FF6AE1">
      <w:pPr>
        <w:spacing w:after="0" w:line="240" w:lineRule="auto"/>
        <w:jc w:val="left"/>
        <w:rPr>
          <w:rFonts w:cs="Arial"/>
        </w:rPr>
      </w:pPr>
      <w:r w:rsidRPr="009D4CD4">
        <w:rPr>
          <w:rFonts w:cs="Arial"/>
        </w:rPr>
        <w:t xml:space="preserve">En 2021, </w:t>
      </w:r>
      <w:r w:rsidR="009C6937">
        <w:rPr>
          <w:rFonts w:cs="Arial"/>
        </w:rPr>
        <w:t>4 C</w:t>
      </w:r>
      <w:r w:rsidRPr="009D4CD4">
        <w:rPr>
          <w:rFonts w:cs="Arial"/>
        </w:rPr>
        <w:t xml:space="preserve">afés ont été </w:t>
      </w:r>
      <w:r w:rsidR="009C6937">
        <w:rPr>
          <w:rFonts w:cs="Arial"/>
        </w:rPr>
        <w:t>organisés en distanciel</w:t>
      </w:r>
      <w:r w:rsidRPr="009D4CD4">
        <w:rPr>
          <w:rFonts w:cs="Arial"/>
        </w:rPr>
        <w:t xml:space="preserve"> en raison de la situation sanitaire</w:t>
      </w:r>
      <w:r w:rsidR="00A7717F">
        <w:rPr>
          <w:rFonts w:cs="Arial"/>
        </w:rPr>
        <w:t xml:space="preserve"> (e-cafés)</w:t>
      </w:r>
      <w:r w:rsidRPr="009D4CD4">
        <w:rPr>
          <w:rFonts w:cs="Arial"/>
        </w:rPr>
        <w:t>.</w:t>
      </w:r>
    </w:p>
    <w:p w14:paraId="1087C3D4" w14:textId="77777777" w:rsidR="00FF6AE1" w:rsidRPr="009D4CD4" w:rsidRDefault="00FF6AE1" w:rsidP="00484FF7">
      <w:pPr>
        <w:pStyle w:val="Titre4"/>
      </w:pPr>
      <w:bookmarkStart w:id="54" w:name="_Toc96697981"/>
      <w:r w:rsidRPr="009D4CD4">
        <w:t>Les cafés de l’international</w:t>
      </w:r>
      <w:bookmarkEnd w:id="54"/>
      <w:r w:rsidRPr="009D4CD4">
        <w:t xml:space="preserve"> </w:t>
      </w:r>
    </w:p>
    <w:p w14:paraId="61B02341" w14:textId="77777777" w:rsidR="003D241D" w:rsidRDefault="008953C6" w:rsidP="003D241D">
      <w:pPr>
        <w:spacing w:after="0" w:line="240" w:lineRule="auto"/>
        <w:jc w:val="left"/>
        <w:rPr>
          <w:rFonts w:cs="Arial"/>
        </w:rPr>
      </w:pPr>
      <w:r>
        <w:t xml:space="preserve">Variante des cafés de la </w:t>
      </w:r>
      <w:r w:rsidR="003D241D">
        <w:t>création, les cafés de l’international permettent</w:t>
      </w:r>
      <w:r>
        <w:t xml:space="preserve"> aux entreprises souhaitant se développer à l’import/export de rencontrer les experts </w:t>
      </w:r>
      <w:r w:rsidR="003D241D">
        <w:t>du CANMP</w:t>
      </w:r>
      <w:r>
        <w:t xml:space="preserve"> et du Groupe Crédit Agricole, ainsi que d’autres structures partenaires de l’événement (BPI et ALTIOS notamment). Une aide précieuse pour dénicher de nouveaux marchés ou des fournisseurs et s’ouvrir ainsi de nouveaux horizons à l’international.</w:t>
      </w:r>
      <w:r w:rsidR="003D241D">
        <w:t xml:space="preserve"> </w:t>
      </w:r>
      <w:r w:rsidR="003D241D" w:rsidRPr="009D4CD4">
        <w:rPr>
          <w:rFonts w:cs="Arial"/>
        </w:rPr>
        <w:t>Les éditions prévues en 2020 et 2021 n’ont pu avoir lieu en raison de la crise sanitaire.</w:t>
      </w:r>
    </w:p>
    <w:p w14:paraId="05833799" w14:textId="77777777" w:rsidR="00484FF7" w:rsidRPr="009D4CD4" w:rsidRDefault="00FF6AE1" w:rsidP="00484FF7">
      <w:pPr>
        <w:pStyle w:val="Titre4"/>
        <w:rPr>
          <w:bCs w:val="0"/>
        </w:rPr>
      </w:pPr>
      <w:bookmarkStart w:id="55" w:name="_Toc96697982"/>
      <w:r w:rsidRPr="009D4CD4">
        <w:rPr>
          <w:bCs w:val="0"/>
        </w:rPr>
        <w:t>Le soutien à l’innovation avec le Pôle de compétitivité Agri Sud-Ouest Innovation</w:t>
      </w:r>
      <w:bookmarkEnd w:id="55"/>
    </w:p>
    <w:p w14:paraId="3ED5D510" w14:textId="654A18CB" w:rsidR="00FF6AE1" w:rsidRPr="009D4CD4" w:rsidRDefault="00FF6AE1" w:rsidP="00FF6AE1">
      <w:pPr>
        <w:spacing w:after="0" w:line="240" w:lineRule="auto"/>
        <w:jc w:val="left"/>
      </w:pPr>
      <w:r w:rsidRPr="009D4CD4">
        <w:t>La Crédit Agricole Nord Midi-Pyrénées a passé une convention avec le pôle de compétitivité Agri Sud-Ouest Innovation dédié à l’innovation collaborative dans les secteurs agricole, agro-alimentaire et agro-industriel. Avec 350 adhérents dont 240 entreprises, 47 centres de recherche et 63 Institutions, le Pôle déploie ses services dans les régions Nouvelle Aquitaine et Occitanie. Il offre aux responsables d’entreprise et aux porteurs de projets la possibilité de participer à̀ une dynamique de recherche et d’innovation collaborative. Le Pôle génère des synergies grâce à ses actions de mise en réseaux (afterworks, clubs de l’innovation, réunions relais etc.). Il offre aux entreprises adhérentes des services pour le montage de projets d’innovation collaboratifs entre le chef d’entreprise et la recherche publique. Le label qu’il délivre est reconnu et permet d’accéder à̀ des sources de financement spécifiques</w:t>
      </w:r>
      <w:r w:rsidR="002D0797">
        <w:t>.</w:t>
      </w:r>
    </w:p>
    <w:p w14:paraId="6A03DDA7" w14:textId="1E56F9FE" w:rsidR="004E796A" w:rsidRPr="004E796A" w:rsidRDefault="00FF6AE1" w:rsidP="00FF6AE1">
      <w:pPr>
        <w:spacing w:after="0" w:line="240" w:lineRule="auto"/>
        <w:jc w:val="left"/>
      </w:pPr>
      <w:r w:rsidRPr="009D4CD4">
        <w:t>En 2021 a été réalisé</w:t>
      </w:r>
      <w:r w:rsidR="002D0797">
        <w:t>e</w:t>
      </w:r>
      <w:r w:rsidRPr="009D4CD4">
        <w:t xml:space="preserve"> une intervention auprès des chargés d’affaires Entreprises pour présenter les modalités d’accompagnement des entreprises en matière d’innovation.</w:t>
      </w:r>
    </w:p>
    <w:p w14:paraId="50408E95" w14:textId="77777777" w:rsidR="00FF6AE1" w:rsidRPr="004E796A" w:rsidRDefault="00FF6AE1" w:rsidP="004E796A">
      <w:pPr>
        <w:pStyle w:val="Titre4"/>
        <w:rPr>
          <w:bCs w:val="0"/>
        </w:rPr>
      </w:pPr>
      <w:bookmarkStart w:id="56" w:name="_Toc96697983"/>
      <w:r w:rsidRPr="004E796A">
        <w:rPr>
          <w:bCs w:val="0"/>
        </w:rPr>
        <w:t>La matinale du Numérique</w:t>
      </w:r>
      <w:bookmarkEnd w:id="56"/>
    </w:p>
    <w:p w14:paraId="4FD8F3FC" w14:textId="77777777" w:rsidR="00FF6AE1" w:rsidRPr="009D4CD4" w:rsidRDefault="00FF6AE1" w:rsidP="00FF6AE1">
      <w:pPr>
        <w:pStyle w:val="CAA-N"/>
        <w:spacing w:after="0"/>
        <w:rPr>
          <w:rFonts w:ascii="Calibri" w:hAnsi="Calibri"/>
          <w:color w:val="auto"/>
          <w:sz w:val="22"/>
          <w:szCs w:val="22"/>
        </w:rPr>
      </w:pPr>
      <w:r w:rsidRPr="009D4CD4">
        <w:rPr>
          <w:rFonts w:ascii="Calibri" w:hAnsi="Calibri"/>
          <w:color w:val="auto"/>
          <w:sz w:val="22"/>
          <w:szCs w:val="22"/>
        </w:rPr>
        <w:t>La « Matinale du Numérique » est un webinaire organisé par le CANMP fin mars 2021 en partenariat avec la CCI du Tarn sur le thème «</w:t>
      </w:r>
      <w:r w:rsidRPr="009D4CD4">
        <w:rPr>
          <w:rFonts w:ascii="Calibri" w:hAnsi="Calibri"/>
          <w:bCs/>
          <w:color w:val="auto"/>
          <w:sz w:val="22"/>
          <w:szCs w:val="22"/>
        </w:rPr>
        <w:t xml:space="preserve"> Le numérique, un outil pour rester en phase avec ses clients et améliorer ses ventes ». Le webinaire présente</w:t>
      </w:r>
      <w:r w:rsidRPr="009D4CD4">
        <w:rPr>
          <w:rFonts w:ascii="Calibri" w:hAnsi="Calibri"/>
          <w:b/>
          <w:bCs/>
          <w:color w:val="auto"/>
          <w:sz w:val="22"/>
          <w:szCs w:val="22"/>
        </w:rPr>
        <w:t xml:space="preserve"> </w:t>
      </w:r>
      <w:r w:rsidRPr="009D4CD4">
        <w:rPr>
          <w:rFonts w:ascii="Calibri" w:hAnsi="Calibri"/>
          <w:color w:val="auto"/>
          <w:sz w:val="22"/>
          <w:szCs w:val="22"/>
        </w:rPr>
        <w:t>les enjeux de l'e-commerce, du click &amp; collect et des attentes des clients afin de réussir la digitalisation de leur entreprise, avec trois temps forts : </w:t>
      </w:r>
    </w:p>
    <w:p w14:paraId="5114F492" w14:textId="2CD93EA7" w:rsidR="00FF6AE1" w:rsidRPr="009D4CD4" w:rsidRDefault="00FF6AE1" w:rsidP="00FF6AE1">
      <w:pPr>
        <w:pStyle w:val="CAA-N"/>
        <w:spacing w:after="0"/>
        <w:rPr>
          <w:rFonts w:ascii="Calibri" w:hAnsi="Calibri"/>
          <w:color w:val="auto"/>
          <w:sz w:val="22"/>
          <w:szCs w:val="22"/>
        </w:rPr>
      </w:pPr>
      <w:r w:rsidRPr="009D4CD4">
        <w:rPr>
          <w:rFonts w:ascii="Calibri" w:hAnsi="Calibri"/>
          <w:bCs/>
          <w:color w:val="auto"/>
          <w:sz w:val="22"/>
          <w:szCs w:val="22"/>
        </w:rPr>
        <w:t>&gt;Une conférence</w:t>
      </w:r>
      <w:r w:rsidRPr="009D4CD4">
        <w:rPr>
          <w:rFonts w:ascii="Calibri" w:hAnsi="Calibri"/>
          <w:color w:val="auto"/>
          <w:sz w:val="22"/>
          <w:szCs w:val="22"/>
        </w:rPr>
        <w:t xml:space="preserve"> : contexte et chiffres clés du e-commerce, check liste d'une stratégie de e-commerce réussie</w:t>
      </w:r>
      <w:r w:rsidR="004E796A">
        <w:rPr>
          <w:rFonts w:ascii="Calibri" w:hAnsi="Calibri"/>
          <w:color w:val="auto"/>
          <w:sz w:val="22"/>
          <w:szCs w:val="22"/>
        </w:rPr>
        <w:t>,</w:t>
      </w:r>
    </w:p>
    <w:p w14:paraId="2BF75FB4" w14:textId="52042FE2" w:rsidR="00FF6AE1" w:rsidRPr="009D4CD4" w:rsidRDefault="00FF6AE1" w:rsidP="00FF6AE1">
      <w:pPr>
        <w:pStyle w:val="CAA-N"/>
        <w:spacing w:after="0"/>
        <w:rPr>
          <w:rFonts w:ascii="Calibri" w:hAnsi="Calibri"/>
          <w:color w:val="auto"/>
          <w:sz w:val="22"/>
          <w:szCs w:val="22"/>
        </w:rPr>
      </w:pPr>
      <w:r w:rsidRPr="009D4CD4">
        <w:rPr>
          <w:rFonts w:ascii="Calibri" w:hAnsi="Calibri"/>
          <w:bCs/>
          <w:color w:val="auto"/>
          <w:sz w:val="22"/>
          <w:szCs w:val="22"/>
        </w:rPr>
        <w:t>&gt;Une table ronde</w:t>
      </w:r>
      <w:r w:rsidRPr="009D4CD4">
        <w:rPr>
          <w:rFonts w:ascii="Calibri" w:hAnsi="Calibri"/>
          <w:color w:val="auto"/>
          <w:sz w:val="22"/>
          <w:szCs w:val="22"/>
        </w:rPr>
        <w:t> : témoignages d'entrepreneurs du territoire sur leur stratégie, témoignage de la CCI sur une expérience B to B</w:t>
      </w:r>
      <w:r w:rsidR="004E796A">
        <w:rPr>
          <w:rFonts w:ascii="Calibri" w:hAnsi="Calibri"/>
          <w:color w:val="auto"/>
          <w:sz w:val="22"/>
          <w:szCs w:val="22"/>
        </w:rPr>
        <w:t>,</w:t>
      </w:r>
    </w:p>
    <w:p w14:paraId="4C1F4DFD" w14:textId="4FBF9DA9" w:rsidR="00FF6AE1" w:rsidRDefault="00FF6AE1" w:rsidP="00FF6AE1">
      <w:pPr>
        <w:pStyle w:val="CAA-N"/>
        <w:spacing w:after="0"/>
        <w:rPr>
          <w:rFonts w:ascii="Calibri" w:hAnsi="Calibri"/>
          <w:color w:val="auto"/>
          <w:sz w:val="22"/>
          <w:szCs w:val="22"/>
        </w:rPr>
      </w:pPr>
      <w:r w:rsidRPr="009D4CD4">
        <w:rPr>
          <w:rFonts w:ascii="Calibri" w:hAnsi="Calibri"/>
          <w:bCs/>
          <w:color w:val="auto"/>
          <w:sz w:val="22"/>
          <w:szCs w:val="22"/>
        </w:rPr>
        <w:t>&gt;Des solutions</w:t>
      </w:r>
      <w:r w:rsidRPr="009D4CD4">
        <w:rPr>
          <w:rFonts w:ascii="Calibri" w:hAnsi="Calibri"/>
          <w:b/>
          <w:bCs/>
          <w:color w:val="auto"/>
          <w:sz w:val="22"/>
          <w:szCs w:val="22"/>
        </w:rPr>
        <w:t> </w:t>
      </w:r>
      <w:r w:rsidRPr="009D4CD4">
        <w:rPr>
          <w:rFonts w:ascii="Calibri" w:hAnsi="Calibri"/>
          <w:color w:val="auto"/>
          <w:sz w:val="22"/>
          <w:szCs w:val="22"/>
        </w:rPr>
        <w:t>: plateforme Achat-Tarn 100% locale et solidaire par la CCI ; solutions de paiements et de fidélité du CANMP</w:t>
      </w:r>
      <w:r w:rsidR="004E796A">
        <w:rPr>
          <w:rFonts w:ascii="Calibri" w:hAnsi="Calibri"/>
          <w:color w:val="auto"/>
          <w:sz w:val="22"/>
          <w:szCs w:val="22"/>
        </w:rPr>
        <w:t>.</w:t>
      </w:r>
    </w:p>
    <w:p w14:paraId="0510406D" w14:textId="77777777" w:rsidR="00910017" w:rsidRPr="009D4CD4" w:rsidRDefault="00910017" w:rsidP="00FF6AE1">
      <w:pPr>
        <w:pStyle w:val="CAA-N"/>
        <w:spacing w:after="0"/>
        <w:rPr>
          <w:rFonts w:ascii="Calibri" w:hAnsi="Calibri"/>
          <w:color w:val="auto"/>
          <w:sz w:val="22"/>
          <w:szCs w:val="22"/>
        </w:rPr>
      </w:pPr>
    </w:p>
    <w:p w14:paraId="67FFB554" w14:textId="77777777" w:rsidR="00FF6AE1" w:rsidRPr="009D4CD4" w:rsidRDefault="00FF6AE1" w:rsidP="00FF6AE1">
      <w:pPr>
        <w:pStyle w:val="CAA-N"/>
        <w:spacing w:after="0"/>
        <w:rPr>
          <w:rFonts w:ascii="Calibri" w:hAnsi="Calibri"/>
          <w:color w:val="auto"/>
          <w:sz w:val="22"/>
          <w:szCs w:val="22"/>
        </w:rPr>
      </w:pPr>
    </w:p>
    <w:p w14:paraId="363BA313" w14:textId="1338934F" w:rsidR="00B72A61" w:rsidRPr="009D4CD4" w:rsidRDefault="005B2FC9" w:rsidP="00326D6D">
      <w:pPr>
        <w:pStyle w:val="Titre2"/>
      </w:pPr>
      <w:bookmarkStart w:id="57" w:name="_Toc96697984"/>
      <w:bookmarkEnd w:id="50"/>
      <w:bookmarkEnd w:id="51"/>
      <w:r w:rsidRPr="009D4CD4">
        <w:t>Accompagner les transitions</w:t>
      </w:r>
      <w:r w:rsidR="00A440E0" w:rsidRPr="009D4CD4">
        <w:t xml:space="preserve"> sociétales et </w:t>
      </w:r>
      <w:r w:rsidR="00944444" w:rsidRPr="009D4CD4">
        <w:t>environnementales</w:t>
      </w:r>
      <w:bookmarkEnd w:id="57"/>
    </w:p>
    <w:p w14:paraId="7E8F82E3" w14:textId="7CC94403" w:rsidR="00B72A61" w:rsidRPr="009D4CD4" w:rsidRDefault="00B72A61" w:rsidP="00DC5AAB">
      <w:pPr>
        <w:pStyle w:val="CAA-N"/>
        <w:spacing w:after="0"/>
        <w:rPr>
          <w:rFonts w:ascii="Calibri" w:hAnsi="Calibri"/>
          <w:color w:val="auto"/>
          <w:sz w:val="22"/>
          <w:szCs w:val="22"/>
        </w:rPr>
      </w:pPr>
    </w:p>
    <w:p w14:paraId="691A5FED" w14:textId="2CAB4D58" w:rsidR="00DC5AAB" w:rsidRPr="009D4CD4" w:rsidRDefault="00DC5AAB" w:rsidP="00DC5AAB">
      <w:pPr>
        <w:pStyle w:val="CAA-N"/>
        <w:spacing w:after="0"/>
        <w:rPr>
          <w:rFonts w:ascii="Calibri" w:hAnsi="Calibri"/>
          <w:color w:val="auto"/>
          <w:sz w:val="22"/>
          <w:szCs w:val="22"/>
        </w:rPr>
      </w:pPr>
      <w:r w:rsidRPr="009D4CD4">
        <w:rPr>
          <w:rFonts w:ascii="Calibri" w:hAnsi="Calibri"/>
          <w:color w:val="auto"/>
          <w:sz w:val="22"/>
          <w:szCs w:val="22"/>
        </w:rPr>
        <w:t>En agissant tous les jours dans l’intérêt de ses clients et de la société, le Crédit Agricole Nord Midi-Pyrénées s’engage pleinement à accompagner les transitions sociétales et environnementales de son territoire. Banque coopérative, le CANMP exerce ses responsabilités dans toutes ses activités en répondant aux besoins de ses clients tout en veillant à l’intérêt collectif et à la préservation des équilibres écologiques, économiques et sociaux. Sa signature « Notre Territoire Votre Avenir », déclinée sur tous les canaux de communication, traduit cet engagement durable sur tous ses marchés et auprès de l’ensemble de ses clientèles (particuliers, professionnels, agriculteurs et entreprises).</w:t>
      </w:r>
    </w:p>
    <w:p w14:paraId="33DEFD30" w14:textId="77777777" w:rsidR="00DC5AAB" w:rsidRPr="009D4CD4" w:rsidRDefault="00DC5AAB" w:rsidP="00DC5AAB">
      <w:pPr>
        <w:pStyle w:val="CAA-N"/>
        <w:spacing w:after="0"/>
        <w:rPr>
          <w:rFonts w:ascii="Calibri" w:hAnsi="Calibri"/>
          <w:color w:val="auto"/>
          <w:sz w:val="22"/>
          <w:szCs w:val="22"/>
        </w:rPr>
      </w:pPr>
    </w:p>
    <w:p w14:paraId="77D47DBB" w14:textId="3B015482" w:rsidR="005B2FC9" w:rsidRPr="009D4CD4" w:rsidRDefault="005B2FC9" w:rsidP="00A440E0">
      <w:pPr>
        <w:spacing w:after="0" w:line="240" w:lineRule="auto"/>
        <w:jc w:val="left"/>
      </w:pPr>
    </w:p>
    <w:p w14:paraId="0B89FBDE" w14:textId="0183A4A7" w:rsidR="00A440E0" w:rsidRPr="009D4CD4" w:rsidRDefault="00A440E0" w:rsidP="00326D6D">
      <w:pPr>
        <w:pStyle w:val="Titre3"/>
      </w:pPr>
      <w:bookmarkStart w:id="58" w:name="_Toc96697985"/>
      <w:r w:rsidRPr="009D4CD4">
        <w:t>Accompagner les transitions sur le marché des Particuliers</w:t>
      </w:r>
      <w:bookmarkEnd w:id="58"/>
    </w:p>
    <w:p w14:paraId="645EDA2A" w14:textId="5F45DD83" w:rsidR="0003278F" w:rsidRPr="009D4CD4" w:rsidRDefault="0003278F" w:rsidP="0003278F">
      <w:pPr>
        <w:spacing w:after="0" w:line="240" w:lineRule="auto"/>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4"/>
        <w:gridCol w:w="1133"/>
        <w:gridCol w:w="1134"/>
        <w:gridCol w:w="1275"/>
      </w:tblGrid>
      <w:tr w:rsidR="006C6B28" w:rsidRPr="009D4CD4" w14:paraId="18A8AA76" w14:textId="77777777" w:rsidTr="00461501">
        <w:trPr>
          <w:trHeight w:hRule="exact" w:val="284"/>
          <w:jc w:val="center"/>
        </w:trPr>
        <w:tc>
          <w:tcPr>
            <w:tcW w:w="5954" w:type="dxa"/>
            <w:tcBorders>
              <w:top w:val="nil"/>
              <w:left w:val="nil"/>
              <w:bottom w:val="single" w:sz="4" w:space="0" w:color="auto"/>
              <w:right w:val="single" w:sz="4" w:space="0" w:color="auto"/>
            </w:tcBorders>
            <w:shd w:val="clear" w:color="auto" w:fill="auto"/>
          </w:tcPr>
          <w:p w14:paraId="25E46257" w14:textId="77777777" w:rsidR="006C6B28" w:rsidRPr="009D4CD4" w:rsidRDefault="006C6B28" w:rsidP="006C6B28">
            <w:pPr>
              <w:spacing w:after="0" w:line="240" w:lineRule="auto"/>
              <w:ind w:right="140"/>
              <w:jc w:val="left"/>
              <w:rPr>
                <w:rFonts w:eastAsia="Times New Roman" w:cs="Arial"/>
              </w:rPr>
            </w:pPr>
            <w:r w:rsidRPr="009D4CD4">
              <w:rPr>
                <w:rFonts w:eastAsia="Times New Roman" w:cs="Arial"/>
                <w:b/>
                <w:i/>
                <w:sz w:val="20"/>
                <w:szCs w:val="20"/>
              </w:rPr>
              <w:t>Les chiffres – clé</w:t>
            </w:r>
          </w:p>
        </w:tc>
        <w:tc>
          <w:tcPr>
            <w:tcW w:w="1133" w:type="dxa"/>
            <w:tcBorders>
              <w:left w:val="single" w:sz="4" w:space="0" w:color="auto"/>
            </w:tcBorders>
            <w:shd w:val="clear" w:color="auto" w:fill="auto"/>
          </w:tcPr>
          <w:p w14:paraId="459D585B" w14:textId="7D883F77" w:rsidR="006C6B28" w:rsidRPr="009D4CD4" w:rsidRDefault="006C6B28" w:rsidP="006C6B28">
            <w:pPr>
              <w:spacing w:after="0" w:line="240" w:lineRule="auto"/>
              <w:ind w:right="140"/>
              <w:jc w:val="left"/>
              <w:rPr>
                <w:rFonts w:eastAsia="Times New Roman" w:cs="Arial"/>
                <w:b/>
              </w:rPr>
            </w:pPr>
            <w:r w:rsidRPr="009D4CD4">
              <w:rPr>
                <w:rFonts w:eastAsia="Times New Roman" w:cs="Arial"/>
                <w:b/>
              </w:rPr>
              <w:t>2021</w:t>
            </w:r>
          </w:p>
        </w:tc>
        <w:tc>
          <w:tcPr>
            <w:tcW w:w="1134" w:type="dxa"/>
            <w:shd w:val="clear" w:color="auto" w:fill="auto"/>
          </w:tcPr>
          <w:p w14:paraId="4053701A" w14:textId="2CEFD090" w:rsidR="006C6B28" w:rsidRPr="009D4CD4" w:rsidRDefault="006C6B28" w:rsidP="006C6B28">
            <w:pPr>
              <w:spacing w:after="0" w:line="240" w:lineRule="auto"/>
              <w:ind w:right="140"/>
              <w:jc w:val="left"/>
              <w:rPr>
                <w:rFonts w:eastAsia="Times New Roman" w:cs="Arial"/>
                <w:b/>
              </w:rPr>
            </w:pPr>
            <w:r w:rsidRPr="009D4CD4">
              <w:rPr>
                <w:rFonts w:eastAsia="Times New Roman" w:cs="Arial"/>
                <w:b/>
              </w:rPr>
              <w:t>2020</w:t>
            </w:r>
          </w:p>
        </w:tc>
        <w:tc>
          <w:tcPr>
            <w:tcW w:w="1275" w:type="dxa"/>
            <w:shd w:val="clear" w:color="auto" w:fill="auto"/>
          </w:tcPr>
          <w:p w14:paraId="5C007581" w14:textId="1333E459" w:rsidR="006C6B28" w:rsidRPr="009D4CD4" w:rsidRDefault="006C6B28" w:rsidP="006C6B28">
            <w:pPr>
              <w:spacing w:after="0" w:line="240" w:lineRule="auto"/>
              <w:ind w:right="140"/>
              <w:jc w:val="left"/>
              <w:rPr>
                <w:rFonts w:eastAsia="Times New Roman" w:cs="Arial"/>
                <w:b/>
              </w:rPr>
            </w:pPr>
            <w:r w:rsidRPr="009D4CD4">
              <w:rPr>
                <w:rFonts w:eastAsia="Times New Roman" w:cs="Arial"/>
                <w:b/>
              </w:rPr>
              <w:t>2019</w:t>
            </w:r>
          </w:p>
        </w:tc>
      </w:tr>
      <w:tr w:rsidR="006C6B28" w:rsidRPr="009D4CD4" w14:paraId="66F08344" w14:textId="77777777" w:rsidTr="00461501">
        <w:trPr>
          <w:trHeight w:hRule="exact" w:val="284"/>
          <w:jc w:val="center"/>
        </w:trPr>
        <w:tc>
          <w:tcPr>
            <w:tcW w:w="5954" w:type="dxa"/>
            <w:tcBorders>
              <w:top w:val="single" w:sz="4" w:space="0" w:color="auto"/>
            </w:tcBorders>
            <w:shd w:val="clear" w:color="auto" w:fill="auto"/>
          </w:tcPr>
          <w:p w14:paraId="19A0271E" w14:textId="77777777" w:rsidR="006C6B28" w:rsidRPr="009D4CD4" w:rsidRDefault="006C6B28" w:rsidP="006C6B28">
            <w:pPr>
              <w:spacing w:after="0" w:line="240" w:lineRule="auto"/>
              <w:ind w:right="140"/>
              <w:jc w:val="left"/>
              <w:rPr>
                <w:rFonts w:eastAsia="Times New Roman" w:cs="Arial"/>
              </w:rPr>
            </w:pPr>
            <w:r w:rsidRPr="009D4CD4">
              <w:rPr>
                <w:rFonts w:eastAsia="Times New Roman" w:cs="Arial"/>
                <w:sz w:val="20"/>
                <w:szCs w:val="20"/>
              </w:rPr>
              <w:t>Encours Parts sociales (M€)</w:t>
            </w:r>
          </w:p>
        </w:tc>
        <w:tc>
          <w:tcPr>
            <w:tcW w:w="1133" w:type="dxa"/>
            <w:shd w:val="clear" w:color="auto" w:fill="auto"/>
          </w:tcPr>
          <w:p w14:paraId="300970DB" w14:textId="02CBE217" w:rsidR="006C6B28" w:rsidRPr="009D4CD4" w:rsidRDefault="00AA403D"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273</w:t>
            </w:r>
          </w:p>
        </w:tc>
        <w:tc>
          <w:tcPr>
            <w:tcW w:w="1134" w:type="dxa"/>
            <w:shd w:val="clear" w:color="auto" w:fill="auto"/>
          </w:tcPr>
          <w:p w14:paraId="753B5BEB" w14:textId="537E780A"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262</w:t>
            </w:r>
          </w:p>
        </w:tc>
        <w:tc>
          <w:tcPr>
            <w:tcW w:w="1275" w:type="dxa"/>
            <w:shd w:val="clear" w:color="auto" w:fill="auto"/>
          </w:tcPr>
          <w:p w14:paraId="014248D3" w14:textId="04DFC719"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256</w:t>
            </w:r>
          </w:p>
        </w:tc>
      </w:tr>
      <w:tr w:rsidR="006C6B28" w:rsidRPr="009D4CD4" w14:paraId="79B31B3B" w14:textId="77777777" w:rsidTr="00461501">
        <w:trPr>
          <w:trHeight w:hRule="exact" w:val="284"/>
          <w:jc w:val="center"/>
        </w:trPr>
        <w:tc>
          <w:tcPr>
            <w:tcW w:w="5954" w:type="dxa"/>
            <w:shd w:val="clear" w:color="auto" w:fill="auto"/>
          </w:tcPr>
          <w:p w14:paraId="33E8C5E2" w14:textId="77777777" w:rsidR="006C6B28" w:rsidRPr="009D4CD4" w:rsidRDefault="006C6B28" w:rsidP="006C6B28">
            <w:pPr>
              <w:spacing w:after="0" w:line="240" w:lineRule="auto"/>
              <w:ind w:right="140"/>
              <w:jc w:val="left"/>
              <w:rPr>
                <w:rFonts w:eastAsia="Times New Roman" w:cs="Arial"/>
              </w:rPr>
            </w:pPr>
            <w:r w:rsidRPr="009D4CD4">
              <w:rPr>
                <w:rFonts w:eastAsia="Times New Roman" w:cs="Arial"/>
                <w:sz w:val="20"/>
                <w:szCs w:val="20"/>
              </w:rPr>
              <w:t>Encours Investissements Responsables (M€)</w:t>
            </w:r>
          </w:p>
        </w:tc>
        <w:tc>
          <w:tcPr>
            <w:tcW w:w="1133" w:type="dxa"/>
            <w:shd w:val="clear" w:color="auto" w:fill="auto"/>
          </w:tcPr>
          <w:p w14:paraId="03FC4FEA" w14:textId="0021CDC4" w:rsidR="006C6B28" w:rsidRPr="009D4CD4" w:rsidRDefault="00C822D1"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1 043,8</w:t>
            </w:r>
          </w:p>
        </w:tc>
        <w:tc>
          <w:tcPr>
            <w:tcW w:w="1134" w:type="dxa"/>
            <w:shd w:val="clear" w:color="auto" w:fill="auto"/>
          </w:tcPr>
          <w:p w14:paraId="692736ED" w14:textId="17E5CB59"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357,0</w:t>
            </w:r>
          </w:p>
        </w:tc>
        <w:tc>
          <w:tcPr>
            <w:tcW w:w="1275" w:type="dxa"/>
            <w:shd w:val="clear" w:color="auto" w:fill="auto"/>
          </w:tcPr>
          <w:p w14:paraId="31761109" w14:textId="77777777"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272,6</w:t>
            </w:r>
          </w:p>
          <w:p w14:paraId="2073132B" w14:textId="65B6D0D3" w:rsidR="006C6B28" w:rsidRPr="009D4CD4" w:rsidRDefault="006C6B28" w:rsidP="006C6B28">
            <w:pPr>
              <w:autoSpaceDE w:val="0"/>
              <w:autoSpaceDN w:val="0"/>
              <w:adjustRightInd w:val="0"/>
              <w:spacing w:after="0" w:line="240" w:lineRule="auto"/>
              <w:jc w:val="left"/>
              <w:rPr>
                <w:rFonts w:eastAsia="Times New Roman" w:cs="Arial"/>
                <w:sz w:val="20"/>
                <w:szCs w:val="20"/>
              </w:rPr>
            </w:pPr>
          </w:p>
        </w:tc>
      </w:tr>
      <w:tr w:rsidR="006C6B28" w:rsidRPr="009D4CD4" w14:paraId="5B8025E3" w14:textId="77777777" w:rsidTr="00461501">
        <w:trPr>
          <w:trHeight w:hRule="exact" w:val="284"/>
          <w:jc w:val="center"/>
        </w:trPr>
        <w:tc>
          <w:tcPr>
            <w:tcW w:w="5954" w:type="dxa"/>
            <w:tcBorders>
              <w:bottom w:val="single" w:sz="4" w:space="0" w:color="auto"/>
            </w:tcBorders>
            <w:shd w:val="clear" w:color="auto" w:fill="auto"/>
          </w:tcPr>
          <w:p w14:paraId="672892A1" w14:textId="77777777" w:rsidR="006C6B28" w:rsidRPr="009D4CD4" w:rsidRDefault="006C6B28" w:rsidP="006C6B28">
            <w:pPr>
              <w:spacing w:after="0" w:line="240" w:lineRule="auto"/>
              <w:ind w:right="140"/>
              <w:jc w:val="left"/>
              <w:rPr>
                <w:rFonts w:eastAsia="Times New Roman" w:cs="Arial"/>
                <w:sz w:val="20"/>
                <w:szCs w:val="20"/>
              </w:rPr>
            </w:pPr>
            <w:r w:rsidRPr="009D4CD4">
              <w:rPr>
                <w:rFonts w:eastAsia="Times New Roman" w:cs="Arial"/>
                <w:sz w:val="20"/>
                <w:szCs w:val="20"/>
              </w:rPr>
              <w:t>Part de l’Investissement Responsable dans l’investissement total</w:t>
            </w:r>
          </w:p>
        </w:tc>
        <w:tc>
          <w:tcPr>
            <w:tcW w:w="1133" w:type="dxa"/>
            <w:tcBorders>
              <w:bottom w:val="single" w:sz="4" w:space="0" w:color="auto"/>
            </w:tcBorders>
            <w:shd w:val="clear" w:color="auto" w:fill="auto"/>
          </w:tcPr>
          <w:p w14:paraId="1A8E0F6B" w14:textId="289ED304" w:rsidR="006C6B28" w:rsidRPr="009D4CD4" w:rsidRDefault="008A3F63"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54,7%</w:t>
            </w:r>
          </w:p>
        </w:tc>
        <w:tc>
          <w:tcPr>
            <w:tcW w:w="1134" w:type="dxa"/>
            <w:tcBorders>
              <w:bottom w:val="single" w:sz="4" w:space="0" w:color="auto"/>
            </w:tcBorders>
            <w:shd w:val="clear" w:color="auto" w:fill="auto"/>
          </w:tcPr>
          <w:p w14:paraId="27E92EA6" w14:textId="19784CB4"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20,9%</w:t>
            </w:r>
          </w:p>
        </w:tc>
        <w:tc>
          <w:tcPr>
            <w:tcW w:w="1275" w:type="dxa"/>
            <w:tcBorders>
              <w:bottom w:val="single" w:sz="4" w:space="0" w:color="auto"/>
            </w:tcBorders>
            <w:shd w:val="clear" w:color="auto" w:fill="auto"/>
          </w:tcPr>
          <w:p w14:paraId="63F38D2D" w14:textId="77777777"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16,6 %</w:t>
            </w:r>
          </w:p>
          <w:p w14:paraId="37AF4F40" w14:textId="37236557" w:rsidR="006C6B28" w:rsidRPr="009D4CD4" w:rsidRDefault="006C6B28" w:rsidP="006C6B28">
            <w:pPr>
              <w:autoSpaceDE w:val="0"/>
              <w:autoSpaceDN w:val="0"/>
              <w:adjustRightInd w:val="0"/>
              <w:spacing w:after="0" w:line="240" w:lineRule="auto"/>
              <w:jc w:val="left"/>
              <w:rPr>
                <w:rFonts w:eastAsia="Times New Roman" w:cs="Arial"/>
                <w:sz w:val="20"/>
                <w:szCs w:val="20"/>
              </w:rPr>
            </w:pPr>
          </w:p>
        </w:tc>
      </w:tr>
      <w:tr w:rsidR="006C6B28" w:rsidRPr="009D4CD4" w14:paraId="568E4233" w14:textId="77777777" w:rsidTr="00461501">
        <w:trPr>
          <w:trHeight w:hRule="exact" w:val="284"/>
          <w:jc w:val="center"/>
        </w:trPr>
        <w:tc>
          <w:tcPr>
            <w:tcW w:w="5954" w:type="dxa"/>
            <w:tcBorders>
              <w:bottom w:val="single" w:sz="4" w:space="0" w:color="auto"/>
            </w:tcBorders>
            <w:shd w:val="clear" w:color="auto" w:fill="auto"/>
          </w:tcPr>
          <w:p w14:paraId="5E3A54EC" w14:textId="58232776" w:rsidR="006C6B28" w:rsidRPr="009D4CD4" w:rsidRDefault="0013410D" w:rsidP="0013410D">
            <w:pPr>
              <w:spacing w:after="0" w:line="240" w:lineRule="auto"/>
              <w:ind w:right="140"/>
              <w:jc w:val="left"/>
              <w:rPr>
                <w:rFonts w:eastAsia="Times New Roman" w:cs="Arial"/>
                <w:sz w:val="20"/>
                <w:szCs w:val="20"/>
              </w:rPr>
            </w:pPr>
            <w:r>
              <w:rPr>
                <w:rFonts w:eastAsia="Times New Roman" w:cs="Arial"/>
                <w:sz w:val="20"/>
                <w:szCs w:val="20"/>
              </w:rPr>
              <w:t>Dont e</w:t>
            </w:r>
            <w:r w:rsidR="006C6B28" w:rsidRPr="009D4CD4">
              <w:rPr>
                <w:rFonts w:eastAsia="Times New Roman" w:cs="Arial"/>
                <w:sz w:val="20"/>
                <w:szCs w:val="20"/>
              </w:rPr>
              <w:t>ncours Amundi Valeurs Durables (M€)</w:t>
            </w:r>
          </w:p>
        </w:tc>
        <w:tc>
          <w:tcPr>
            <w:tcW w:w="1133" w:type="dxa"/>
            <w:tcBorders>
              <w:bottom w:val="single" w:sz="4" w:space="0" w:color="auto"/>
            </w:tcBorders>
            <w:shd w:val="clear" w:color="auto" w:fill="auto"/>
          </w:tcPr>
          <w:p w14:paraId="5DFC6CEA" w14:textId="79C0CDDB" w:rsidR="006C6B28" w:rsidRPr="009D4CD4" w:rsidRDefault="00E56A52"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76,3</w:t>
            </w:r>
          </w:p>
        </w:tc>
        <w:tc>
          <w:tcPr>
            <w:tcW w:w="1134" w:type="dxa"/>
            <w:tcBorders>
              <w:bottom w:val="single" w:sz="4" w:space="0" w:color="auto"/>
            </w:tcBorders>
            <w:shd w:val="clear" w:color="auto" w:fill="auto"/>
          </w:tcPr>
          <w:p w14:paraId="570C24FC" w14:textId="77777777"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55,9</w:t>
            </w:r>
          </w:p>
          <w:p w14:paraId="37EB3755" w14:textId="117BD7A2" w:rsidR="006C6B28" w:rsidRPr="009D4CD4" w:rsidRDefault="006C6B28" w:rsidP="006C6B28">
            <w:pPr>
              <w:autoSpaceDE w:val="0"/>
              <w:autoSpaceDN w:val="0"/>
              <w:adjustRightInd w:val="0"/>
              <w:spacing w:after="0" w:line="240" w:lineRule="auto"/>
              <w:jc w:val="left"/>
              <w:rPr>
                <w:rFonts w:eastAsia="Times New Roman" w:cs="Arial"/>
                <w:sz w:val="20"/>
                <w:szCs w:val="20"/>
              </w:rPr>
            </w:pPr>
          </w:p>
        </w:tc>
        <w:tc>
          <w:tcPr>
            <w:tcW w:w="1275" w:type="dxa"/>
            <w:tcBorders>
              <w:bottom w:val="single" w:sz="4" w:space="0" w:color="auto"/>
            </w:tcBorders>
            <w:shd w:val="clear" w:color="auto" w:fill="auto"/>
          </w:tcPr>
          <w:p w14:paraId="55B6880D" w14:textId="2F38C2FA"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41,1</w:t>
            </w:r>
          </w:p>
        </w:tc>
      </w:tr>
      <w:tr w:rsidR="00F77606" w:rsidRPr="009D4CD4" w14:paraId="463D0424" w14:textId="77777777" w:rsidTr="00461501">
        <w:trPr>
          <w:trHeight w:hRule="exact" w:val="284"/>
          <w:jc w:val="center"/>
        </w:trPr>
        <w:tc>
          <w:tcPr>
            <w:tcW w:w="5954" w:type="dxa"/>
            <w:tcBorders>
              <w:bottom w:val="single" w:sz="4" w:space="0" w:color="auto"/>
            </w:tcBorders>
            <w:shd w:val="clear" w:color="auto" w:fill="auto"/>
          </w:tcPr>
          <w:p w14:paraId="2F469F40" w14:textId="57ADABD6" w:rsidR="00F77606" w:rsidRPr="009D4CD4" w:rsidRDefault="0013410D" w:rsidP="0013410D">
            <w:pPr>
              <w:spacing w:after="0" w:line="240" w:lineRule="auto"/>
              <w:ind w:right="140"/>
              <w:jc w:val="left"/>
              <w:rPr>
                <w:rFonts w:eastAsia="Times New Roman" w:cs="Arial"/>
                <w:sz w:val="20"/>
                <w:szCs w:val="20"/>
              </w:rPr>
            </w:pPr>
            <w:r>
              <w:rPr>
                <w:rFonts w:eastAsia="Times New Roman" w:cs="Arial"/>
                <w:sz w:val="20"/>
                <w:szCs w:val="20"/>
              </w:rPr>
              <w:t>Dont e</w:t>
            </w:r>
            <w:r w:rsidR="00F77606" w:rsidRPr="009D4CD4">
              <w:rPr>
                <w:rFonts w:eastAsia="Times New Roman" w:cs="Arial"/>
                <w:sz w:val="20"/>
                <w:szCs w:val="20"/>
              </w:rPr>
              <w:t>ncours Premopcimmo (M€)</w:t>
            </w:r>
          </w:p>
        </w:tc>
        <w:tc>
          <w:tcPr>
            <w:tcW w:w="1133" w:type="dxa"/>
            <w:tcBorders>
              <w:bottom w:val="single" w:sz="4" w:space="0" w:color="auto"/>
            </w:tcBorders>
            <w:shd w:val="clear" w:color="auto" w:fill="auto"/>
          </w:tcPr>
          <w:p w14:paraId="435820E8" w14:textId="483F2049" w:rsidR="00F77606" w:rsidRPr="009D4CD4" w:rsidRDefault="00E56A52"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198,1</w:t>
            </w:r>
          </w:p>
        </w:tc>
        <w:tc>
          <w:tcPr>
            <w:tcW w:w="1134" w:type="dxa"/>
            <w:tcBorders>
              <w:bottom w:val="single" w:sz="4" w:space="0" w:color="auto"/>
            </w:tcBorders>
            <w:shd w:val="clear" w:color="auto" w:fill="auto"/>
          </w:tcPr>
          <w:p w14:paraId="502A01F4" w14:textId="77777777" w:rsidR="00F77606" w:rsidRPr="009D4CD4" w:rsidRDefault="00E56A52"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195,7</w:t>
            </w:r>
          </w:p>
          <w:p w14:paraId="26F34923" w14:textId="2F9DB4B3" w:rsidR="00E56A52" w:rsidRPr="009D4CD4" w:rsidRDefault="00E56A52" w:rsidP="006C6B28">
            <w:pPr>
              <w:autoSpaceDE w:val="0"/>
              <w:autoSpaceDN w:val="0"/>
              <w:adjustRightInd w:val="0"/>
              <w:spacing w:after="0" w:line="240" w:lineRule="auto"/>
              <w:jc w:val="left"/>
              <w:rPr>
                <w:rFonts w:eastAsia="Times New Roman" w:cs="Arial"/>
                <w:sz w:val="20"/>
                <w:szCs w:val="20"/>
              </w:rPr>
            </w:pPr>
          </w:p>
        </w:tc>
        <w:tc>
          <w:tcPr>
            <w:tcW w:w="1275" w:type="dxa"/>
            <w:tcBorders>
              <w:bottom w:val="single" w:sz="4" w:space="0" w:color="auto"/>
            </w:tcBorders>
            <w:shd w:val="clear" w:color="auto" w:fill="auto"/>
          </w:tcPr>
          <w:p w14:paraId="5E4989EC" w14:textId="20EB7927" w:rsidR="00F77606" w:rsidRPr="009D4CD4" w:rsidRDefault="001C238E"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ND</w:t>
            </w:r>
          </w:p>
        </w:tc>
      </w:tr>
      <w:tr w:rsidR="00294ADA" w:rsidRPr="009D4CD4" w14:paraId="18A2511A" w14:textId="77777777" w:rsidTr="00461501">
        <w:trPr>
          <w:trHeight w:hRule="exact" w:val="284"/>
          <w:jc w:val="center"/>
        </w:trPr>
        <w:tc>
          <w:tcPr>
            <w:tcW w:w="5954" w:type="dxa"/>
            <w:tcBorders>
              <w:bottom w:val="single" w:sz="4" w:space="0" w:color="auto"/>
            </w:tcBorders>
            <w:shd w:val="clear" w:color="auto" w:fill="auto"/>
          </w:tcPr>
          <w:p w14:paraId="038064A6" w14:textId="45D4B3D2" w:rsidR="00294ADA" w:rsidRPr="009D4CD4" w:rsidRDefault="00294ADA" w:rsidP="00461501">
            <w:pPr>
              <w:spacing w:after="0" w:line="240" w:lineRule="auto"/>
              <w:ind w:right="140"/>
              <w:jc w:val="left"/>
              <w:rPr>
                <w:rFonts w:eastAsia="Times New Roman" w:cs="Arial"/>
                <w:sz w:val="20"/>
                <w:szCs w:val="20"/>
              </w:rPr>
            </w:pPr>
            <w:r w:rsidRPr="009D4CD4">
              <w:rPr>
                <w:rFonts w:eastAsia="Times New Roman" w:cs="Arial"/>
                <w:sz w:val="20"/>
                <w:szCs w:val="20"/>
              </w:rPr>
              <w:t>Nombre d’Eco P</w:t>
            </w:r>
            <w:r w:rsidR="00461501" w:rsidRPr="009D4CD4">
              <w:rPr>
                <w:rFonts w:eastAsia="Times New Roman" w:cs="Arial"/>
                <w:sz w:val="20"/>
                <w:szCs w:val="20"/>
              </w:rPr>
              <w:t>rêt à taux zéro</w:t>
            </w:r>
          </w:p>
        </w:tc>
        <w:tc>
          <w:tcPr>
            <w:tcW w:w="1133" w:type="dxa"/>
            <w:tcBorders>
              <w:bottom w:val="single" w:sz="4" w:space="0" w:color="auto"/>
            </w:tcBorders>
            <w:shd w:val="clear" w:color="auto" w:fill="auto"/>
          </w:tcPr>
          <w:p w14:paraId="6FA1EE13" w14:textId="2A7754AB" w:rsidR="00294ADA" w:rsidRPr="009D4CD4" w:rsidRDefault="00461501"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558</w:t>
            </w:r>
          </w:p>
        </w:tc>
        <w:tc>
          <w:tcPr>
            <w:tcW w:w="1134" w:type="dxa"/>
            <w:tcBorders>
              <w:bottom w:val="single" w:sz="4" w:space="0" w:color="auto"/>
            </w:tcBorders>
            <w:shd w:val="clear" w:color="auto" w:fill="auto"/>
          </w:tcPr>
          <w:p w14:paraId="323735F6" w14:textId="3848A7EF" w:rsidR="00294ADA" w:rsidRPr="009D4CD4" w:rsidRDefault="00461501"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409</w:t>
            </w:r>
          </w:p>
        </w:tc>
        <w:tc>
          <w:tcPr>
            <w:tcW w:w="1275" w:type="dxa"/>
            <w:tcBorders>
              <w:bottom w:val="single" w:sz="4" w:space="0" w:color="auto"/>
            </w:tcBorders>
            <w:shd w:val="clear" w:color="auto" w:fill="auto"/>
          </w:tcPr>
          <w:p w14:paraId="0B1DFDE8" w14:textId="3BA93C46" w:rsidR="00294ADA" w:rsidRPr="009D4CD4" w:rsidRDefault="00461501"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388</w:t>
            </w:r>
          </w:p>
        </w:tc>
      </w:tr>
      <w:tr w:rsidR="00294ADA" w:rsidRPr="009D4CD4" w14:paraId="14E09544" w14:textId="77777777" w:rsidTr="00461501">
        <w:trPr>
          <w:trHeight w:hRule="exact" w:val="280"/>
          <w:jc w:val="center"/>
        </w:trPr>
        <w:tc>
          <w:tcPr>
            <w:tcW w:w="5954" w:type="dxa"/>
            <w:tcBorders>
              <w:bottom w:val="single" w:sz="4" w:space="0" w:color="auto"/>
            </w:tcBorders>
            <w:shd w:val="clear" w:color="auto" w:fill="auto"/>
          </w:tcPr>
          <w:p w14:paraId="48CB1D18" w14:textId="4010CFD0" w:rsidR="00294ADA" w:rsidRPr="009D4CD4" w:rsidRDefault="00294ADA" w:rsidP="00000D1A">
            <w:pPr>
              <w:spacing w:after="0" w:line="240" w:lineRule="auto"/>
              <w:ind w:right="140"/>
              <w:jc w:val="left"/>
              <w:rPr>
                <w:rFonts w:eastAsia="Times New Roman" w:cs="Arial"/>
                <w:sz w:val="20"/>
                <w:szCs w:val="20"/>
              </w:rPr>
            </w:pPr>
            <w:r w:rsidRPr="009D4CD4">
              <w:rPr>
                <w:rFonts w:eastAsia="Times New Roman" w:cs="Arial"/>
                <w:sz w:val="20"/>
                <w:szCs w:val="20"/>
              </w:rPr>
              <w:t>Part des prêts verts auto sur l</w:t>
            </w:r>
            <w:r w:rsidR="00000D1A" w:rsidRPr="009D4CD4">
              <w:rPr>
                <w:rFonts w:eastAsia="Times New Roman" w:cs="Arial"/>
                <w:sz w:val="20"/>
                <w:szCs w:val="20"/>
              </w:rPr>
              <w:t xml:space="preserve">e </w:t>
            </w:r>
            <w:r w:rsidR="00461501" w:rsidRPr="009D4CD4">
              <w:rPr>
                <w:rFonts w:eastAsia="Times New Roman" w:cs="Arial"/>
                <w:sz w:val="20"/>
                <w:szCs w:val="20"/>
              </w:rPr>
              <w:t xml:space="preserve">nombre </w:t>
            </w:r>
            <w:r w:rsidR="00000D1A" w:rsidRPr="009D4CD4">
              <w:rPr>
                <w:rFonts w:eastAsia="Times New Roman" w:cs="Arial"/>
                <w:sz w:val="20"/>
                <w:szCs w:val="20"/>
              </w:rPr>
              <w:t>total</w:t>
            </w:r>
            <w:r w:rsidRPr="009D4CD4">
              <w:rPr>
                <w:rFonts w:eastAsia="Times New Roman" w:cs="Arial"/>
                <w:sz w:val="20"/>
                <w:szCs w:val="20"/>
              </w:rPr>
              <w:t xml:space="preserve"> de</w:t>
            </w:r>
            <w:r w:rsidR="00000D1A" w:rsidRPr="009D4CD4">
              <w:rPr>
                <w:rFonts w:eastAsia="Times New Roman" w:cs="Arial"/>
                <w:sz w:val="20"/>
                <w:szCs w:val="20"/>
              </w:rPr>
              <w:t>s</w:t>
            </w:r>
            <w:r w:rsidRPr="009D4CD4">
              <w:rPr>
                <w:rFonts w:eastAsia="Times New Roman" w:cs="Arial"/>
                <w:sz w:val="20"/>
                <w:szCs w:val="20"/>
              </w:rPr>
              <w:t xml:space="preserve"> prêts auto (réalisation)</w:t>
            </w:r>
          </w:p>
        </w:tc>
        <w:tc>
          <w:tcPr>
            <w:tcW w:w="1133" w:type="dxa"/>
            <w:tcBorders>
              <w:bottom w:val="single" w:sz="4" w:space="0" w:color="auto"/>
            </w:tcBorders>
            <w:shd w:val="clear" w:color="auto" w:fill="auto"/>
          </w:tcPr>
          <w:p w14:paraId="3327F2A4" w14:textId="0423AFB6" w:rsidR="00294ADA" w:rsidRPr="009D4CD4" w:rsidRDefault="00461501"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18,0%</w:t>
            </w:r>
          </w:p>
        </w:tc>
        <w:tc>
          <w:tcPr>
            <w:tcW w:w="1134" w:type="dxa"/>
            <w:tcBorders>
              <w:bottom w:val="single" w:sz="4" w:space="0" w:color="auto"/>
            </w:tcBorders>
            <w:shd w:val="clear" w:color="auto" w:fill="auto"/>
          </w:tcPr>
          <w:p w14:paraId="4C89A9E2" w14:textId="77777777" w:rsidR="00294ADA" w:rsidRPr="009D4CD4" w:rsidRDefault="00461501"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14,1%</w:t>
            </w:r>
          </w:p>
          <w:p w14:paraId="1E945E03" w14:textId="679EA76B" w:rsidR="00461501" w:rsidRPr="009D4CD4" w:rsidRDefault="00461501" w:rsidP="006C6B28">
            <w:pPr>
              <w:autoSpaceDE w:val="0"/>
              <w:autoSpaceDN w:val="0"/>
              <w:adjustRightInd w:val="0"/>
              <w:spacing w:after="0" w:line="240" w:lineRule="auto"/>
              <w:jc w:val="left"/>
              <w:rPr>
                <w:rFonts w:eastAsia="Times New Roman" w:cs="Arial"/>
                <w:sz w:val="20"/>
                <w:szCs w:val="20"/>
              </w:rPr>
            </w:pPr>
          </w:p>
        </w:tc>
        <w:tc>
          <w:tcPr>
            <w:tcW w:w="1275" w:type="dxa"/>
            <w:tcBorders>
              <w:bottom w:val="single" w:sz="4" w:space="0" w:color="auto"/>
            </w:tcBorders>
            <w:shd w:val="clear" w:color="auto" w:fill="auto"/>
          </w:tcPr>
          <w:p w14:paraId="3CE76A2A" w14:textId="39564989" w:rsidR="00294ADA" w:rsidRPr="009D4CD4" w:rsidRDefault="00294ADA"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ND</w:t>
            </w:r>
          </w:p>
        </w:tc>
      </w:tr>
      <w:tr w:rsidR="006C6B28" w:rsidRPr="009D4CD4" w14:paraId="302FEF4A" w14:textId="77777777" w:rsidTr="00461501">
        <w:trPr>
          <w:trHeight w:hRule="exact" w:val="284"/>
          <w:jc w:val="center"/>
        </w:trPr>
        <w:tc>
          <w:tcPr>
            <w:tcW w:w="5954" w:type="dxa"/>
            <w:tcBorders>
              <w:bottom w:val="single" w:sz="4" w:space="0" w:color="auto"/>
            </w:tcBorders>
            <w:shd w:val="clear" w:color="auto" w:fill="auto"/>
          </w:tcPr>
          <w:p w14:paraId="2A8E7273" w14:textId="54DC7C6A" w:rsidR="006C6B28" w:rsidRPr="009D4CD4" w:rsidRDefault="00414A84" w:rsidP="006C6B28">
            <w:pPr>
              <w:spacing w:after="0" w:line="240" w:lineRule="auto"/>
              <w:ind w:right="140"/>
              <w:jc w:val="left"/>
              <w:rPr>
                <w:rFonts w:eastAsia="Times New Roman" w:cs="Arial"/>
                <w:sz w:val="20"/>
                <w:szCs w:val="20"/>
              </w:rPr>
            </w:pPr>
            <w:r w:rsidRPr="009D4CD4">
              <w:rPr>
                <w:rFonts w:eastAsia="Times New Roman" w:cs="Arial"/>
                <w:sz w:val="20"/>
                <w:szCs w:val="20"/>
              </w:rPr>
              <w:t>Cartes sociétaires (nombre)</w:t>
            </w:r>
          </w:p>
        </w:tc>
        <w:tc>
          <w:tcPr>
            <w:tcW w:w="1133" w:type="dxa"/>
            <w:tcBorders>
              <w:bottom w:val="single" w:sz="4" w:space="0" w:color="auto"/>
            </w:tcBorders>
            <w:shd w:val="clear" w:color="auto" w:fill="auto"/>
          </w:tcPr>
          <w:p w14:paraId="35C96A0A" w14:textId="6F18CFC5" w:rsidR="006C6B28" w:rsidRPr="009D4CD4" w:rsidRDefault="00414A84"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173 669</w:t>
            </w:r>
          </w:p>
        </w:tc>
        <w:tc>
          <w:tcPr>
            <w:tcW w:w="1134" w:type="dxa"/>
            <w:tcBorders>
              <w:bottom w:val="single" w:sz="4" w:space="0" w:color="auto"/>
            </w:tcBorders>
            <w:shd w:val="clear" w:color="auto" w:fill="auto"/>
          </w:tcPr>
          <w:p w14:paraId="0AF5C752" w14:textId="2B965866"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166 528</w:t>
            </w:r>
          </w:p>
        </w:tc>
        <w:tc>
          <w:tcPr>
            <w:tcW w:w="1275" w:type="dxa"/>
            <w:tcBorders>
              <w:bottom w:val="single" w:sz="4" w:space="0" w:color="auto"/>
            </w:tcBorders>
            <w:shd w:val="clear" w:color="auto" w:fill="auto"/>
          </w:tcPr>
          <w:p w14:paraId="11EC456C" w14:textId="7DEA3DBA" w:rsidR="006C6B28" w:rsidRPr="009D4CD4" w:rsidRDefault="006C6B28" w:rsidP="006C6B28">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158 742</w:t>
            </w:r>
          </w:p>
        </w:tc>
      </w:tr>
    </w:tbl>
    <w:p w14:paraId="32688FD6" w14:textId="3E9FE830" w:rsidR="00A47B32" w:rsidRPr="009D4CD4" w:rsidRDefault="00A47B32" w:rsidP="006153A0">
      <w:pPr>
        <w:pStyle w:val="Titre4"/>
      </w:pPr>
      <w:bookmarkStart w:id="59" w:name="_Toc96697986"/>
      <w:r w:rsidRPr="009D4CD4">
        <w:t>L’animation de la démarche</w:t>
      </w:r>
      <w:bookmarkEnd w:id="59"/>
    </w:p>
    <w:p w14:paraId="7062DEA7" w14:textId="4089D325" w:rsidR="00A47B32" w:rsidRPr="009D4CD4" w:rsidRDefault="00B12134" w:rsidP="00B12134">
      <w:pPr>
        <w:spacing w:after="0" w:line="240" w:lineRule="auto"/>
        <w:jc w:val="left"/>
      </w:pPr>
      <w:r w:rsidRPr="009D4CD4">
        <w:t>Destinés à promouvoir et animer la démarche RSE, des dispositifs sont proposés sur le site du CANMP et sur les réseaux sociaux</w:t>
      </w:r>
      <w:r w:rsidR="00922F77" w:rsidRPr="009D4CD4">
        <w:t xml:space="preserve">, par exemple : </w:t>
      </w:r>
    </w:p>
    <w:p w14:paraId="2B6D30F6" w14:textId="77777777" w:rsidR="00B12134" w:rsidRPr="009D4CD4" w:rsidRDefault="00B12134" w:rsidP="00B12134">
      <w:pPr>
        <w:spacing w:after="0" w:line="240" w:lineRule="auto"/>
        <w:jc w:val="left"/>
        <w:rPr>
          <w:u w:val="single"/>
        </w:rPr>
      </w:pPr>
    </w:p>
    <w:p w14:paraId="37F1E5F6" w14:textId="0B1879FA" w:rsidR="003C3562" w:rsidRPr="009D4CD4" w:rsidRDefault="00B12134" w:rsidP="00D259D6">
      <w:pPr>
        <w:spacing w:after="0" w:line="240" w:lineRule="auto"/>
        <w:jc w:val="left"/>
        <w:rPr>
          <w:u w:val="single"/>
        </w:rPr>
      </w:pPr>
      <w:r w:rsidRPr="009D4CD4">
        <w:t xml:space="preserve">&gt;La boutique en ligne « Nos </w:t>
      </w:r>
      <w:r w:rsidR="003C3562" w:rsidRPr="009D4CD4">
        <w:t>produits engagés</w:t>
      </w:r>
      <w:r w:rsidRPr="009D4CD4">
        <w:t> » présente les solutions responsables proposées par le CANMP en matière d’épargne, de crédit et d’assurance,</w:t>
      </w:r>
    </w:p>
    <w:p w14:paraId="1589ACB2" w14:textId="340AB7E1" w:rsidR="00A47B32" w:rsidRPr="009D4CD4" w:rsidRDefault="00B12134" w:rsidP="00B12134">
      <w:pPr>
        <w:spacing w:after="0" w:line="240" w:lineRule="auto"/>
        <w:jc w:val="left"/>
        <w:rPr>
          <w:rFonts w:cs="Arial"/>
        </w:rPr>
      </w:pPr>
      <w:r w:rsidRPr="009D4CD4">
        <w:t>&gt;L</w:t>
      </w:r>
      <w:r w:rsidR="003C3562" w:rsidRPr="009D4CD4">
        <w:t>e jeu « Ruche hour », gratuit et sans aucune obligation d’achat</w:t>
      </w:r>
      <w:r w:rsidRPr="009D4CD4">
        <w:t xml:space="preserve"> a été proposé en juin 2021</w:t>
      </w:r>
      <w:r w:rsidR="00B73351" w:rsidRPr="009D4CD4">
        <w:t>, permettant de communiquer de façon ludique sur les enjeux de biodiversité</w:t>
      </w:r>
      <w:r w:rsidR="003C3562" w:rsidRPr="009D4CD4">
        <w:t>. Pendant 4 semaines, u</w:t>
      </w:r>
      <w:r w:rsidR="00A47B32" w:rsidRPr="009D4CD4">
        <w:t>n gagnant</w:t>
      </w:r>
      <w:r w:rsidR="003C3562" w:rsidRPr="009D4CD4">
        <w:t xml:space="preserve"> </w:t>
      </w:r>
      <w:r w:rsidR="007A7F01" w:rsidRPr="009D4CD4">
        <w:t xml:space="preserve">a été </w:t>
      </w:r>
      <w:r w:rsidR="003C3562" w:rsidRPr="009D4CD4">
        <w:t>désigné</w:t>
      </w:r>
      <w:r w:rsidR="00A47B32" w:rsidRPr="009D4CD4">
        <w:t xml:space="preserve"> </w:t>
      </w:r>
      <w:r w:rsidR="003C3562" w:rsidRPr="009D4CD4">
        <w:t>parmi les participants inscrits au tirage au sort. Au total, le jeu a totalisé plus de 5600 joueurs.</w:t>
      </w:r>
    </w:p>
    <w:p w14:paraId="5AB799F6" w14:textId="4C793F2E" w:rsidR="00B12134" w:rsidRPr="009D4CD4" w:rsidRDefault="00B12134" w:rsidP="00B12134">
      <w:pPr>
        <w:pStyle w:val="CAA-N"/>
        <w:spacing w:after="0"/>
        <w:jc w:val="left"/>
        <w:rPr>
          <w:rFonts w:ascii="Calibri" w:hAnsi="Calibri" w:cs="Arial"/>
          <w:color w:val="auto"/>
          <w:sz w:val="22"/>
          <w:szCs w:val="22"/>
        </w:rPr>
      </w:pPr>
      <w:r w:rsidRPr="009D4CD4">
        <w:rPr>
          <w:rFonts w:ascii="Calibri" w:hAnsi="Calibri" w:cs="Arial"/>
          <w:color w:val="auto"/>
          <w:sz w:val="22"/>
          <w:szCs w:val="22"/>
        </w:rPr>
        <w:t>&gt;</w:t>
      </w:r>
      <w:r w:rsidR="007A7F01" w:rsidRPr="009D4CD4">
        <w:rPr>
          <w:rFonts w:ascii="Calibri" w:hAnsi="Calibri" w:cs="Arial"/>
          <w:color w:val="auto"/>
          <w:sz w:val="22"/>
          <w:szCs w:val="22"/>
        </w:rPr>
        <w:t xml:space="preserve">Une campagne de visuels spécifiques a été déclinée </w:t>
      </w:r>
      <w:r w:rsidRPr="009D4CD4">
        <w:rPr>
          <w:rFonts w:ascii="Calibri" w:hAnsi="Calibri" w:cs="Arial"/>
          <w:color w:val="auto"/>
          <w:sz w:val="22"/>
          <w:szCs w:val="22"/>
        </w:rPr>
        <w:t xml:space="preserve">en support web </w:t>
      </w:r>
      <w:r w:rsidR="007A7F01" w:rsidRPr="009D4CD4">
        <w:rPr>
          <w:rFonts w:ascii="Calibri" w:hAnsi="Calibri" w:cs="Arial"/>
          <w:color w:val="auto"/>
          <w:sz w:val="22"/>
          <w:szCs w:val="22"/>
        </w:rPr>
        <w:t xml:space="preserve">pour accompagner la promotion de </w:t>
      </w:r>
      <w:r w:rsidR="00AE049C" w:rsidRPr="009D4CD4">
        <w:rPr>
          <w:rFonts w:ascii="Calibri" w:hAnsi="Calibri" w:cs="Arial"/>
          <w:color w:val="auto"/>
          <w:sz w:val="22"/>
          <w:szCs w:val="22"/>
        </w:rPr>
        <w:t>produits d’épargne</w:t>
      </w:r>
      <w:r w:rsidR="007A7F01" w:rsidRPr="009D4CD4">
        <w:rPr>
          <w:rFonts w:ascii="Calibri" w:hAnsi="Calibri" w:cs="Arial"/>
          <w:color w:val="auto"/>
          <w:sz w:val="22"/>
          <w:szCs w:val="22"/>
        </w:rPr>
        <w:t xml:space="preserve"> et crédits responsables,</w:t>
      </w:r>
    </w:p>
    <w:p w14:paraId="4DD52AD7" w14:textId="30EACE9A" w:rsidR="00AE049C" w:rsidRPr="009D4CD4" w:rsidRDefault="00AE049C" w:rsidP="00B12134">
      <w:pPr>
        <w:pStyle w:val="CAA-N"/>
        <w:spacing w:after="0"/>
        <w:jc w:val="left"/>
        <w:rPr>
          <w:rFonts w:ascii="Calibri" w:hAnsi="Calibri" w:cs="Arial"/>
          <w:color w:val="auto"/>
          <w:sz w:val="22"/>
          <w:szCs w:val="22"/>
        </w:rPr>
      </w:pPr>
      <w:r w:rsidRPr="009D4CD4">
        <w:rPr>
          <w:rFonts w:ascii="Calibri" w:hAnsi="Calibri" w:cs="Arial"/>
          <w:color w:val="auto"/>
          <w:sz w:val="22"/>
          <w:szCs w:val="22"/>
        </w:rPr>
        <w:t>&gt;Pour toute souscription</w:t>
      </w:r>
      <w:r w:rsidR="007A7F01" w:rsidRPr="009D4CD4">
        <w:rPr>
          <w:rFonts w:ascii="Calibri" w:hAnsi="Calibri" w:cs="Arial"/>
          <w:color w:val="auto"/>
          <w:sz w:val="22"/>
          <w:szCs w:val="22"/>
        </w:rPr>
        <w:t xml:space="preserve"> d’un </w:t>
      </w:r>
      <w:r w:rsidRPr="009D4CD4">
        <w:rPr>
          <w:rFonts w:ascii="Calibri" w:hAnsi="Calibri" w:cs="Arial"/>
          <w:color w:val="auto"/>
          <w:sz w:val="22"/>
          <w:szCs w:val="22"/>
        </w:rPr>
        <w:t>contrat d’assurance vie, le</w:t>
      </w:r>
      <w:r w:rsidR="007A7F01" w:rsidRPr="009D4CD4">
        <w:rPr>
          <w:rFonts w:ascii="Calibri" w:hAnsi="Calibri" w:cs="Arial"/>
          <w:color w:val="auto"/>
          <w:sz w:val="22"/>
          <w:szCs w:val="22"/>
        </w:rPr>
        <w:t>s</w:t>
      </w:r>
      <w:r w:rsidRPr="009D4CD4">
        <w:rPr>
          <w:rFonts w:ascii="Calibri" w:hAnsi="Calibri" w:cs="Arial"/>
          <w:color w:val="auto"/>
          <w:sz w:val="22"/>
          <w:szCs w:val="22"/>
        </w:rPr>
        <w:t xml:space="preserve"> bénéficiai</w:t>
      </w:r>
      <w:r w:rsidR="007A7F01" w:rsidRPr="009D4CD4">
        <w:rPr>
          <w:rFonts w:ascii="Calibri" w:hAnsi="Calibri" w:cs="Arial"/>
          <w:color w:val="auto"/>
          <w:sz w:val="22"/>
          <w:szCs w:val="22"/>
        </w:rPr>
        <w:t>r</w:t>
      </w:r>
      <w:r w:rsidRPr="009D4CD4">
        <w:rPr>
          <w:rFonts w:ascii="Calibri" w:hAnsi="Calibri" w:cs="Arial"/>
          <w:color w:val="auto"/>
          <w:sz w:val="22"/>
          <w:szCs w:val="22"/>
        </w:rPr>
        <w:t>e</w:t>
      </w:r>
      <w:r w:rsidR="007A7F01" w:rsidRPr="009D4CD4">
        <w:rPr>
          <w:rFonts w:ascii="Calibri" w:hAnsi="Calibri" w:cs="Arial"/>
          <w:color w:val="auto"/>
          <w:sz w:val="22"/>
          <w:szCs w:val="22"/>
        </w:rPr>
        <w:t>s</w:t>
      </w:r>
      <w:r w:rsidRPr="009D4CD4">
        <w:rPr>
          <w:rFonts w:ascii="Calibri" w:hAnsi="Calibri" w:cs="Arial"/>
          <w:color w:val="auto"/>
          <w:sz w:val="22"/>
          <w:szCs w:val="22"/>
        </w:rPr>
        <w:t xml:space="preserve"> </w:t>
      </w:r>
      <w:r w:rsidR="007A7F01" w:rsidRPr="009D4CD4">
        <w:rPr>
          <w:rFonts w:ascii="Calibri" w:hAnsi="Calibri" w:cs="Arial"/>
          <w:color w:val="auto"/>
          <w:sz w:val="22"/>
          <w:szCs w:val="22"/>
        </w:rPr>
        <w:t xml:space="preserve">ont reçu </w:t>
      </w:r>
      <w:r w:rsidR="004E796A">
        <w:rPr>
          <w:rFonts w:ascii="Calibri" w:hAnsi="Calibri" w:cs="Arial"/>
          <w:color w:val="auto"/>
          <w:sz w:val="22"/>
          <w:szCs w:val="22"/>
        </w:rPr>
        <w:t xml:space="preserve">la </w:t>
      </w:r>
      <w:r w:rsidRPr="009D4CD4">
        <w:rPr>
          <w:rFonts w:ascii="Calibri" w:hAnsi="Calibri" w:cs="Arial"/>
          <w:color w:val="auto"/>
          <w:sz w:val="22"/>
          <w:szCs w:val="22"/>
        </w:rPr>
        <w:t>e-letter RSE conçue par le CANMP.</w:t>
      </w:r>
    </w:p>
    <w:p w14:paraId="479BA97B" w14:textId="1EF7F2C6" w:rsidR="00687852" w:rsidRPr="009D4CD4" w:rsidRDefault="00687852" w:rsidP="006153A0">
      <w:pPr>
        <w:pStyle w:val="Titre4"/>
      </w:pPr>
      <w:bookmarkStart w:id="60" w:name="_Toc96697987"/>
      <w:r w:rsidRPr="009D4CD4">
        <w:t xml:space="preserve">L’investissement </w:t>
      </w:r>
      <w:r w:rsidR="00B73351" w:rsidRPr="009D4CD4">
        <w:t>responsable</w:t>
      </w:r>
      <w:bookmarkEnd w:id="60"/>
    </w:p>
    <w:p w14:paraId="53D1FA61" w14:textId="44C9468D" w:rsidR="00687852" w:rsidRPr="009D4CD4" w:rsidRDefault="00687852" w:rsidP="00687852">
      <w:pPr>
        <w:spacing w:after="0" w:line="240" w:lineRule="auto"/>
        <w:jc w:val="left"/>
        <w:rPr>
          <w:rFonts w:cs="Arial"/>
        </w:rPr>
      </w:pPr>
      <w:r w:rsidRPr="009D4CD4">
        <w:rPr>
          <w:rFonts w:cs="Arial"/>
        </w:rPr>
        <w:t xml:space="preserve">En réponse à la demande des clients pour des produits financiers responsables, privilégiant les entreprises ayant les meilleures pratiques environnementales, sociales et de gouvernance, la </w:t>
      </w:r>
      <w:r w:rsidR="00A7717F">
        <w:rPr>
          <w:rFonts w:cs="Arial"/>
        </w:rPr>
        <w:t>Caisse Régionale</w:t>
      </w:r>
      <w:r w:rsidRPr="009D4CD4">
        <w:rPr>
          <w:rFonts w:cs="Arial"/>
        </w:rPr>
        <w:t xml:space="preserve"> distribue les solutions d’investissements responsables d’Amundi, filiale du Groupe Crédit Agricole.</w:t>
      </w:r>
    </w:p>
    <w:p w14:paraId="397F45F0" w14:textId="77777777" w:rsidR="00687852" w:rsidRPr="009D4CD4" w:rsidRDefault="00687852" w:rsidP="00687852">
      <w:pPr>
        <w:spacing w:after="0" w:line="240" w:lineRule="auto"/>
        <w:jc w:val="left"/>
      </w:pPr>
      <w:r w:rsidRPr="009D4CD4">
        <w:t xml:space="preserve">Amundi adopte l’approche « Best-in-Class » comme fondement de sa stratégie d’investissement responsable. Cette approche consiste à comparer entre eux les acteurs d’un même secteur pour faire émerger les meilleures pratiques et inscrire l’ensemble des émetteurs dans une démarche de progrès. Pour qu’un portefeuille soit considéré comme responsable, il lui faut respecter les règles suivantes : exclusion des émetteurs notés E, F et G (sur une échelle de A à G) afin d’éviter un risque financier et de réputation ; note ESG (Environnement Social, Gouvernance) du portefeuille supérieure ou égale à C ; note ESG moyenne du portefeuille supérieure ou égale à la note ESG de l’univers d’investissement ou de l’indice de référence ; garantie d’un seuil minimum de 90 % des émetteurs en portefeuille notés sur les critères ESG. </w:t>
      </w:r>
    </w:p>
    <w:p w14:paraId="62AAD4D6" w14:textId="576F219C" w:rsidR="00687852" w:rsidRPr="009D4CD4" w:rsidRDefault="00687852" w:rsidP="00687852">
      <w:pPr>
        <w:spacing w:after="0" w:line="240" w:lineRule="auto"/>
        <w:jc w:val="left"/>
        <w:rPr>
          <w:u w:val="single"/>
        </w:rPr>
      </w:pPr>
      <w:r w:rsidRPr="009D4CD4">
        <w:t>Amundi est la première société de gestion</w:t>
      </w:r>
      <w:r w:rsidR="00B85622">
        <w:t xml:space="preserve">, en date, </w:t>
      </w:r>
      <w:r w:rsidRPr="009D4CD4">
        <w:t>dont la démarche Investissement responsable a été certifiée par L’AFNOR. Cette certification</w:t>
      </w:r>
      <w:r w:rsidR="00814B02">
        <w:t xml:space="preserve"> d’Amundi</w:t>
      </w:r>
      <w:r w:rsidRPr="009D4CD4">
        <w:t>, délivrée par un organisme indépendant reconnu, garantit la qualité et la transparence de la démarche à travers 7 engagements de service (expertise, traçabilité des données, information, réactivité…). C’est un gage de confiance à destination des clients.</w:t>
      </w:r>
    </w:p>
    <w:p w14:paraId="2499854B" w14:textId="04966509" w:rsidR="00F77606" w:rsidRDefault="00687852" w:rsidP="00687852">
      <w:pPr>
        <w:spacing w:after="0" w:line="240" w:lineRule="auto"/>
        <w:jc w:val="left"/>
      </w:pPr>
      <w:r w:rsidRPr="009D4CD4">
        <w:t xml:space="preserve">De façon générale, les allocations Assurance Vie et PEA ont été enrichies pour intégrer des unités de compte (UC) Investissement Responsable. </w:t>
      </w:r>
    </w:p>
    <w:p w14:paraId="18AEB462" w14:textId="77777777" w:rsidR="00814B02" w:rsidRDefault="00814B02" w:rsidP="00D259D6">
      <w:pPr>
        <w:spacing w:after="0" w:line="240" w:lineRule="auto"/>
        <w:jc w:val="left"/>
      </w:pPr>
    </w:p>
    <w:p w14:paraId="187389C1" w14:textId="3CA62601" w:rsidR="00814B02" w:rsidRDefault="00814B02" w:rsidP="00687852">
      <w:pPr>
        <w:spacing w:after="0" w:line="240" w:lineRule="auto"/>
        <w:jc w:val="left"/>
      </w:pPr>
      <w:r w:rsidRPr="00D259D6">
        <w:t xml:space="preserve">En </w:t>
      </w:r>
      <w:r>
        <w:t>2021, la progression de l’encours Investissement Responsable est liée à la progression des demandes des clients</w:t>
      </w:r>
      <w:r w:rsidR="00DE16ED">
        <w:t>, à la mobilisation des conseillers, comme le montre par exemple la progression d’Amundi Valeurs Durables,</w:t>
      </w:r>
      <w:r w:rsidR="00910017">
        <w:t xml:space="preserve"> ainsi </w:t>
      </w:r>
      <w:r>
        <w:t>qu’à la labelisation ESG par Amundi de fonds existants.</w:t>
      </w:r>
    </w:p>
    <w:p w14:paraId="31B67E0E" w14:textId="77777777" w:rsidR="00814B02" w:rsidRPr="009D4CD4" w:rsidRDefault="00814B02" w:rsidP="00687852">
      <w:pPr>
        <w:spacing w:after="0" w:line="240" w:lineRule="auto"/>
        <w:jc w:val="left"/>
      </w:pPr>
    </w:p>
    <w:p w14:paraId="538EE8DB" w14:textId="36131FC8" w:rsidR="00D2724F" w:rsidRPr="009D4CD4" w:rsidRDefault="00814B02" w:rsidP="003E7228">
      <w:pPr>
        <w:spacing w:after="0" w:line="240" w:lineRule="auto"/>
        <w:jc w:val="left"/>
        <w:rPr>
          <w:rFonts w:cs="Arial"/>
        </w:rPr>
      </w:pPr>
      <w:r>
        <w:t>E</w:t>
      </w:r>
      <w:r w:rsidR="00687852" w:rsidRPr="009D4CD4">
        <w:t>n fonction de son profil de risque, les clients peuvent choisir des unités de compte donnant plus de sens à leur investissement, comme Amundi valeurs durables</w:t>
      </w:r>
      <w:r w:rsidR="00D2724F" w:rsidRPr="009D4CD4">
        <w:t xml:space="preserve"> ou</w:t>
      </w:r>
      <w:r w:rsidR="00F77606" w:rsidRPr="009D4CD4">
        <w:t xml:space="preserve"> </w:t>
      </w:r>
      <w:r w:rsidR="00687852" w:rsidRPr="009D4CD4">
        <w:t>Prem</w:t>
      </w:r>
      <w:r w:rsidR="00F77606" w:rsidRPr="009D4CD4">
        <w:t xml:space="preserve"> </w:t>
      </w:r>
      <w:r w:rsidR="00D2724F" w:rsidRPr="009D4CD4">
        <w:t xml:space="preserve">Opcimmo : </w:t>
      </w:r>
    </w:p>
    <w:p w14:paraId="0403E721" w14:textId="77777777" w:rsidR="00D2724F" w:rsidRPr="009D4CD4" w:rsidRDefault="00D2724F" w:rsidP="003E7228">
      <w:pPr>
        <w:spacing w:after="0" w:line="240" w:lineRule="auto"/>
        <w:jc w:val="left"/>
        <w:rPr>
          <w:rFonts w:cs="Arial"/>
        </w:rPr>
      </w:pPr>
    </w:p>
    <w:p w14:paraId="102DCC7C" w14:textId="7E51B223" w:rsidR="003E7228" w:rsidRPr="009D4CD4" w:rsidRDefault="003E7228" w:rsidP="00D259D6">
      <w:pPr>
        <w:tabs>
          <w:tab w:val="left" w:pos="2709"/>
        </w:tabs>
        <w:spacing w:after="0" w:line="240" w:lineRule="auto"/>
        <w:jc w:val="left"/>
        <w:rPr>
          <w:rFonts w:cs="Arial"/>
          <w:i/>
        </w:rPr>
      </w:pPr>
      <w:r w:rsidRPr="009D4CD4">
        <w:rPr>
          <w:rFonts w:cs="Arial"/>
          <w:i/>
        </w:rPr>
        <w:t>Amundi Valeurs durables</w:t>
      </w:r>
      <w:r w:rsidR="00814B02">
        <w:rPr>
          <w:rFonts w:cs="Arial"/>
          <w:i/>
        </w:rPr>
        <w:t>.</w:t>
      </w:r>
    </w:p>
    <w:p w14:paraId="480A7DC6" w14:textId="77777777" w:rsidR="003E7228" w:rsidRPr="009D4CD4" w:rsidRDefault="003E7228" w:rsidP="003E7228">
      <w:pPr>
        <w:spacing w:after="0" w:line="240" w:lineRule="auto"/>
        <w:jc w:val="left"/>
        <w:rPr>
          <w:rFonts w:cs="Arial"/>
          <w:i/>
        </w:rPr>
      </w:pPr>
    </w:p>
    <w:p w14:paraId="5587EEC5" w14:textId="7B6683C6" w:rsidR="003E7228" w:rsidRPr="009D4CD4" w:rsidRDefault="003E7228" w:rsidP="003E7228">
      <w:pPr>
        <w:spacing w:after="0" w:line="240" w:lineRule="auto"/>
        <w:jc w:val="left"/>
        <w:rPr>
          <w:rFonts w:cs="Arial"/>
        </w:rPr>
      </w:pPr>
      <w:r w:rsidRPr="009D4CD4">
        <w:t>Amundi Valeurs Durables est un fonds commun de placement accompagnant la transition énergétique. À ce titre, le fonds ne sélectionne que des entreprises réalisant une partie significative de leur chiffre d’affaires dans le développement des technologies vertes. Il s’agit notamment de toute activité (technologie, service …) visant à améliorer l’efficacité énergétique, la gestion de l’eau et des déchets et à développer les énergies renouvelables. Le fonds exclut de l’ensemble de son univers d’investissement, les énergies fossiles ou nucléaires.</w:t>
      </w:r>
    </w:p>
    <w:p w14:paraId="5ADFCD3D" w14:textId="77777777" w:rsidR="003E7228" w:rsidRPr="009D4CD4" w:rsidRDefault="003E7228" w:rsidP="003E7228">
      <w:pPr>
        <w:spacing w:after="0" w:line="240" w:lineRule="auto"/>
        <w:jc w:val="left"/>
        <w:rPr>
          <w:rFonts w:cs="Arial"/>
        </w:rPr>
      </w:pPr>
      <w:r w:rsidRPr="009D4CD4">
        <w:t>Amundi Valeurs Durables prend en compte les critères extra-financiers dits ESG sur l’ensemble du portefeuille. Cela permet d’assurer la cohérence de la thématique environnementale à tous les niveaux du processus de sélection et d’être vigilant sur la politique de développement durable de chaque entreprise. Elle s’accompagne d’une politique d’engagement active, le tout visant à améliorer les pratiques ESG des entreprises et à favoriser les démarches de progrès. Le souscripteur peut ainsi bénéficier des opportunités de croissance des technologies vertes tout en investissant dans les entreprises aux meilleures pratiques ESG.</w:t>
      </w:r>
    </w:p>
    <w:p w14:paraId="56D1768C" w14:textId="77777777" w:rsidR="003E7228" w:rsidRPr="009D4CD4" w:rsidRDefault="003E7228" w:rsidP="003E7228">
      <w:pPr>
        <w:spacing w:after="0" w:line="240" w:lineRule="auto"/>
        <w:jc w:val="left"/>
        <w:rPr>
          <w:rFonts w:cs="Arial"/>
        </w:rPr>
      </w:pPr>
    </w:p>
    <w:tbl>
      <w:tblPr>
        <w:tblW w:w="5000" w:type="pct"/>
        <w:tblCellMar>
          <w:left w:w="0" w:type="dxa"/>
          <w:right w:w="0" w:type="dxa"/>
        </w:tblCellMar>
        <w:tblLook w:val="04A0" w:firstRow="1" w:lastRow="0" w:firstColumn="1" w:lastColumn="0" w:noHBand="0" w:noVBand="1"/>
      </w:tblPr>
      <w:tblGrid>
        <w:gridCol w:w="10348"/>
      </w:tblGrid>
      <w:tr w:rsidR="00D06F60" w:rsidRPr="009D4CD4" w14:paraId="49564D58" w14:textId="77777777" w:rsidTr="00D06F60">
        <w:tc>
          <w:tcPr>
            <w:tcW w:w="0" w:type="auto"/>
            <w:tcMar>
              <w:top w:w="150" w:type="dxa"/>
              <w:left w:w="0" w:type="dxa"/>
              <w:bottom w:w="150" w:type="dxa"/>
              <w:right w:w="0" w:type="dxa"/>
            </w:tcMar>
            <w:vAlign w:val="center"/>
            <w:hideMark/>
          </w:tcPr>
          <w:p w14:paraId="6A8EB1A0" w14:textId="4D0CD878" w:rsidR="00F77606" w:rsidRPr="009D4CD4" w:rsidRDefault="00F77606" w:rsidP="0098278F">
            <w:pPr>
              <w:spacing w:after="0" w:line="240" w:lineRule="auto"/>
              <w:jc w:val="left"/>
              <w:rPr>
                <w:rFonts w:cs="Arial"/>
                <w:i/>
              </w:rPr>
            </w:pPr>
            <w:r w:rsidRPr="009D4CD4">
              <w:rPr>
                <w:rFonts w:cs="Arial"/>
                <w:i/>
              </w:rPr>
              <w:t>Prem Opcimmo</w:t>
            </w:r>
            <w:r w:rsidR="00910017">
              <w:rPr>
                <w:rFonts w:cs="Arial"/>
                <w:i/>
              </w:rPr>
              <w:t>.</w:t>
            </w:r>
          </w:p>
          <w:p w14:paraId="46DBCF67" w14:textId="77777777" w:rsidR="00D2724F" w:rsidRPr="009D4CD4" w:rsidRDefault="00D2724F" w:rsidP="0098278F">
            <w:pPr>
              <w:spacing w:after="0" w:line="240" w:lineRule="auto"/>
              <w:jc w:val="left"/>
              <w:rPr>
                <w:rFonts w:cs="Arial"/>
              </w:rPr>
            </w:pPr>
          </w:p>
          <w:p w14:paraId="7AF64994" w14:textId="57CFAE9F" w:rsidR="0098278F" w:rsidRPr="009D4CD4" w:rsidRDefault="00F77606" w:rsidP="0098278F">
            <w:pPr>
              <w:spacing w:after="0" w:line="240" w:lineRule="auto"/>
              <w:jc w:val="left"/>
            </w:pPr>
            <w:r w:rsidRPr="009D4CD4">
              <w:rPr>
                <w:rFonts w:cs="Arial"/>
              </w:rPr>
              <w:t>Il s’agit d’</w:t>
            </w:r>
            <w:r w:rsidR="0098278F" w:rsidRPr="009D4CD4">
              <w:rPr>
                <w:rFonts w:cs="Arial"/>
              </w:rPr>
              <w:t xml:space="preserve">un support financier de type OPCI (organisme de placement </w:t>
            </w:r>
            <w:r w:rsidR="009A3001" w:rsidRPr="009D4CD4">
              <w:rPr>
                <w:rFonts w:cs="Arial"/>
              </w:rPr>
              <w:t>c</w:t>
            </w:r>
            <w:r w:rsidR="0098278F" w:rsidRPr="009D4CD4">
              <w:rPr>
                <w:rFonts w:cs="Arial"/>
              </w:rPr>
              <w:t xml:space="preserve">ollectif en </w:t>
            </w:r>
            <w:r w:rsidR="009A3001" w:rsidRPr="009D4CD4">
              <w:rPr>
                <w:rFonts w:cs="Arial"/>
              </w:rPr>
              <w:t>i</w:t>
            </w:r>
            <w:r w:rsidR="0098278F" w:rsidRPr="009D4CD4">
              <w:rPr>
                <w:rFonts w:cs="Arial"/>
              </w:rPr>
              <w:t xml:space="preserve">mmobilier) permettant d’investir dans </w:t>
            </w:r>
            <w:r w:rsidR="00D06F60" w:rsidRPr="009D4CD4">
              <w:rPr>
                <w:rFonts w:cs="Arial"/>
              </w:rPr>
              <w:t>l’immobilier d’entreprise</w:t>
            </w:r>
            <w:r w:rsidR="0098278F" w:rsidRPr="009D4CD4">
              <w:rPr>
                <w:rFonts w:cs="Arial"/>
              </w:rPr>
              <w:t xml:space="preserve">, bureaux et locaux commerciaux en France et en Europe. </w:t>
            </w:r>
            <w:r w:rsidR="00D06F60" w:rsidRPr="009D4CD4">
              <w:rPr>
                <w:rFonts w:cs="Arial"/>
              </w:rPr>
              <w:br/>
              <w:t xml:space="preserve">Le patrimoine immobilier </w:t>
            </w:r>
            <w:r w:rsidR="0098278F" w:rsidRPr="009D4CD4">
              <w:rPr>
                <w:rFonts w:cs="Arial"/>
              </w:rPr>
              <w:t xml:space="preserve">est </w:t>
            </w:r>
            <w:r w:rsidR="00D06F60" w:rsidRPr="009D4CD4">
              <w:rPr>
                <w:rFonts w:cs="Arial"/>
              </w:rPr>
              <w:t>sélectionné a</w:t>
            </w:r>
            <w:r w:rsidR="00C9160B" w:rsidRPr="009D4CD4">
              <w:rPr>
                <w:rFonts w:cs="Arial"/>
              </w:rPr>
              <w:t>vec</w:t>
            </w:r>
            <w:r w:rsidR="00D06F60" w:rsidRPr="009D4CD4">
              <w:rPr>
                <w:rFonts w:cs="Arial"/>
              </w:rPr>
              <w:t xml:space="preserve"> un objectif environnemental et sociétal (qualité des bâtiments, énergies vertes, optimisation de l’environnement de travail…).</w:t>
            </w:r>
            <w:r w:rsidR="0098278F" w:rsidRPr="009D4CD4">
              <w:rPr>
                <w:rFonts w:cs="Arial"/>
              </w:rPr>
              <w:t xml:space="preserve"> </w:t>
            </w:r>
            <w:r w:rsidR="0098278F" w:rsidRPr="009D4CD4">
              <w:t>Pour mesurer les performances ESG des immeubles, un outil cartographi</w:t>
            </w:r>
            <w:r w:rsidR="001714D5" w:rsidRPr="009D4CD4">
              <w:t>que</w:t>
            </w:r>
            <w:r w:rsidR="0098278F" w:rsidRPr="009D4CD4">
              <w:t xml:space="preserve"> permet d’attribuer à chaque actif un score ESG quantitatif traduit en sept notes, allant de A/100 (la meilleure note) à G/0 (la moins bonne). Cette notation est effectuée une première fois dans le cadre des diligences d’acquisition de l’immeuble puis renouvelée régulièrement. Elle permet d’établir un plan d’action visant à réduire l’exposition de l’immeuble aux principaux risques de durabilité et à assurer l’amélioration de la note dans le temps. Au moins 90% des immeubles détenus dans le portefeuille bénéficient d’une notation ESG. </w:t>
            </w:r>
          </w:p>
          <w:p w14:paraId="01F03ADE" w14:textId="7273DF14" w:rsidR="0098278F" w:rsidRPr="009D4CD4" w:rsidRDefault="0098278F" w:rsidP="0098278F">
            <w:pPr>
              <w:spacing w:after="0" w:line="240" w:lineRule="auto"/>
              <w:jc w:val="left"/>
            </w:pPr>
            <w:r w:rsidRPr="009D4CD4">
              <w:t xml:space="preserve">La société de gestion de </w:t>
            </w:r>
            <w:r w:rsidR="00D2724F" w:rsidRPr="009D4CD4">
              <w:rPr>
                <w:rFonts w:cs="Arial"/>
                <w:i/>
              </w:rPr>
              <w:t>Prem Opcimmo</w:t>
            </w:r>
            <w:r w:rsidR="00D2724F" w:rsidRPr="009D4CD4">
              <w:t xml:space="preserve"> </w:t>
            </w:r>
            <w:r w:rsidR="009A3001" w:rsidRPr="009D4CD4">
              <w:t xml:space="preserve">axe </w:t>
            </w:r>
            <w:r w:rsidRPr="009D4CD4">
              <w:t xml:space="preserve">sa politique ESG sur les objectifs suivants </w:t>
            </w:r>
            <w:r w:rsidRPr="009D4CD4">
              <w:rPr>
                <w:rStyle w:val="Appelnotedebasdep"/>
              </w:rPr>
              <w:footnoteReference w:id="5"/>
            </w:r>
            <w:r w:rsidRPr="009D4CD4">
              <w:t xml:space="preserve">: </w:t>
            </w:r>
          </w:p>
          <w:p w14:paraId="458FF4AD" w14:textId="2C3044A7" w:rsidR="00C9160B" w:rsidRPr="009D4CD4" w:rsidRDefault="00C9160B" w:rsidP="0098278F">
            <w:pPr>
              <w:spacing w:after="0" w:line="240" w:lineRule="auto"/>
              <w:jc w:val="left"/>
            </w:pPr>
            <w:r w:rsidRPr="009D4CD4">
              <w:t>-</w:t>
            </w:r>
            <w:r w:rsidR="0098278F" w:rsidRPr="009D4CD4">
              <w:t xml:space="preserve"> </w:t>
            </w:r>
            <w:r w:rsidRPr="009D4CD4">
              <w:t>R</w:t>
            </w:r>
            <w:r w:rsidR="0098278F" w:rsidRPr="009D4CD4">
              <w:t>édu</w:t>
            </w:r>
            <w:r w:rsidRPr="009D4CD4">
              <w:t xml:space="preserve">ction des </w:t>
            </w:r>
            <w:r w:rsidR="0098278F" w:rsidRPr="009D4CD4">
              <w:t xml:space="preserve">émissions de gaz à effet de serre du portefeuille, </w:t>
            </w:r>
          </w:p>
          <w:p w14:paraId="0F8F194A" w14:textId="77777777" w:rsidR="00C9160B" w:rsidRPr="009D4CD4" w:rsidRDefault="0098278F" w:rsidP="0098278F">
            <w:pPr>
              <w:spacing w:after="0" w:line="240" w:lineRule="auto"/>
              <w:jc w:val="left"/>
            </w:pPr>
            <w:r w:rsidRPr="009D4CD4">
              <w:t xml:space="preserve">- Les projets de végétalisation menés sur les actifs du fonds accorderont une importance toute particulière à la réintroduction de la biodiversité en territoires urbains, </w:t>
            </w:r>
          </w:p>
          <w:p w14:paraId="52D0F66E" w14:textId="77777777" w:rsidR="00C9160B" w:rsidRPr="009D4CD4" w:rsidRDefault="0098278F" w:rsidP="0098278F">
            <w:pPr>
              <w:spacing w:after="0" w:line="240" w:lineRule="auto"/>
              <w:jc w:val="left"/>
            </w:pPr>
            <w:r w:rsidRPr="009D4CD4">
              <w:t xml:space="preserve">- L’amélioration du confort et du bien-être des utilisateurs, </w:t>
            </w:r>
          </w:p>
          <w:p w14:paraId="7F66BC03" w14:textId="77777777" w:rsidR="00C9160B" w:rsidRPr="009D4CD4" w:rsidRDefault="0098278F" w:rsidP="0098278F">
            <w:pPr>
              <w:spacing w:after="0" w:line="240" w:lineRule="auto"/>
              <w:jc w:val="left"/>
            </w:pPr>
            <w:r w:rsidRPr="009D4CD4">
              <w:t xml:space="preserve">- </w:t>
            </w:r>
            <w:r w:rsidR="00C9160B" w:rsidRPr="009D4CD4">
              <w:t>Etablissement d’u</w:t>
            </w:r>
            <w:r w:rsidRPr="009D4CD4">
              <w:t xml:space="preserve">n dialogue avec les principales parties prenantes pour une contribution commune positive à des pratiques immobilières durables. </w:t>
            </w:r>
          </w:p>
          <w:p w14:paraId="5C5E578A" w14:textId="28AEA36A" w:rsidR="00C9160B" w:rsidRPr="009D4CD4" w:rsidRDefault="00C9160B" w:rsidP="0098278F">
            <w:pPr>
              <w:spacing w:after="0" w:line="240" w:lineRule="auto"/>
              <w:jc w:val="left"/>
            </w:pPr>
            <w:r w:rsidRPr="009D4CD4">
              <w:t xml:space="preserve">La </w:t>
            </w:r>
            <w:r w:rsidR="0098278F" w:rsidRPr="009D4CD4">
              <w:t xml:space="preserve">note finale </w:t>
            </w:r>
            <w:r w:rsidRPr="009D4CD4">
              <w:t>ESG résulte de la pondération suivante :</w:t>
            </w:r>
            <w:r w:rsidR="0098278F" w:rsidRPr="009D4CD4">
              <w:t xml:space="preserve"> </w:t>
            </w:r>
          </w:p>
          <w:p w14:paraId="53A274EC" w14:textId="0D4AA256" w:rsidR="00C9160B" w:rsidRPr="009D4CD4" w:rsidRDefault="0098278F" w:rsidP="0098278F">
            <w:pPr>
              <w:spacing w:after="0" w:line="240" w:lineRule="auto"/>
              <w:jc w:val="left"/>
            </w:pPr>
            <w:r w:rsidRPr="009D4CD4">
              <w:t xml:space="preserve">- </w:t>
            </w:r>
            <w:r w:rsidR="00C9160B" w:rsidRPr="009D4CD4">
              <w:t xml:space="preserve">30% à 60% pour le </w:t>
            </w:r>
            <w:r w:rsidRPr="009D4CD4">
              <w:t xml:space="preserve">pilier environnemental, </w:t>
            </w:r>
          </w:p>
          <w:p w14:paraId="712A3D09" w14:textId="0EC8BB03" w:rsidR="00C9160B" w:rsidRPr="009D4CD4" w:rsidRDefault="0098278F" w:rsidP="0098278F">
            <w:pPr>
              <w:spacing w:after="0" w:line="240" w:lineRule="auto"/>
              <w:jc w:val="left"/>
            </w:pPr>
            <w:r w:rsidRPr="009D4CD4">
              <w:t xml:space="preserve">- </w:t>
            </w:r>
            <w:r w:rsidR="00C9160B" w:rsidRPr="009D4CD4">
              <w:t xml:space="preserve">20 à 50% pour le </w:t>
            </w:r>
            <w:r w:rsidRPr="009D4CD4">
              <w:t xml:space="preserve">pilier social/sociétal, </w:t>
            </w:r>
          </w:p>
          <w:p w14:paraId="226E0BBE" w14:textId="730651DF" w:rsidR="00D06F60" w:rsidRPr="009D4CD4" w:rsidRDefault="0098278F" w:rsidP="0098278F">
            <w:pPr>
              <w:spacing w:after="0" w:line="240" w:lineRule="auto"/>
              <w:jc w:val="left"/>
              <w:rPr>
                <w:rFonts w:cs="Arial"/>
              </w:rPr>
            </w:pPr>
            <w:r w:rsidRPr="009D4CD4">
              <w:t xml:space="preserve">- </w:t>
            </w:r>
            <w:r w:rsidR="00C9160B" w:rsidRPr="009D4CD4">
              <w:t xml:space="preserve">20 à 30% pour le </w:t>
            </w:r>
            <w:r w:rsidRPr="009D4CD4">
              <w:t xml:space="preserve">pilier Gouvernance. </w:t>
            </w:r>
          </w:p>
          <w:p w14:paraId="55EC54DB" w14:textId="24AB986D" w:rsidR="00D06F60" w:rsidRPr="009D4CD4" w:rsidRDefault="009A3001" w:rsidP="00D06F60">
            <w:pPr>
              <w:spacing w:after="0" w:line="240" w:lineRule="auto"/>
              <w:jc w:val="left"/>
              <w:rPr>
                <w:rFonts w:cs="Arial"/>
              </w:rPr>
            </w:pPr>
            <w:r w:rsidRPr="009D4CD4">
              <w:rPr>
                <w:rFonts w:cs="Arial"/>
              </w:rPr>
              <w:t xml:space="preserve">Au total, </w:t>
            </w:r>
            <w:r w:rsidR="00D2724F" w:rsidRPr="009D4CD4">
              <w:rPr>
                <w:rFonts w:cs="Arial"/>
                <w:i/>
              </w:rPr>
              <w:t>Prem Opcimmo</w:t>
            </w:r>
            <w:r w:rsidRPr="009D4CD4">
              <w:rPr>
                <w:rFonts w:cs="Arial"/>
              </w:rPr>
              <w:t xml:space="preserve"> est composé d’une poche immobilière représentant 60% du portefeuille en cible </w:t>
            </w:r>
            <w:r w:rsidR="001714D5" w:rsidRPr="009D4CD4">
              <w:rPr>
                <w:rFonts w:cs="Arial"/>
              </w:rPr>
              <w:t>(</w:t>
            </w:r>
            <w:r w:rsidRPr="009D4CD4">
              <w:rPr>
                <w:rFonts w:cs="Arial"/>
              </w:rPr>
              <w:t>et 51% au minimum</w:t>
            </w:r>
            <w:r w:rsidR="001714D5" w:rsidRPr="009D4CD4">
              <w:rPr>
                <w:rFonts w:cs="Arial"/>
              </w:rPr>
              <w:t>)</w:t>
            </w:r>
            <w:r w:rsidRPr="009D4CD4">
              <w:rPr>
                <w:rFonts w:cs="Arial"/>
              </w:rPr>
              <w:t>, ainsi que d’une poche financière (40% en cible, 49% au maximum) composée d’actions sélectionnées avec une approche ESG.</w:t>
            </w:r>
          </w:p>
          <w:p w14:paraId="2DD46C95" w14:textId="4B09C201" w:rsidR="009A3001" w:rsidRPr="009D4CD4" w:rsidRDefault="00D2724F" w:rsidP="009A3001">
            <w:pPr>
              <w:spacing w:after="0" w:line="240" w:lineRule="auto"/>
              <w:jc w:val="left"/>
              <w:rPr>
                <w:rFonts w:cs="Arial"/>
              </w:rPr>
            </w:pPr>
            <w:r w:rsidRPr="009D4CD4">
              <w:rPr>
                <w:rFonts w:cs="Arial"/>
                <w:i/>
              </w:rPr>
              <w:t>Prem Opcimmo</w:t>
            </w:r>
            <w:r w:rsidRPr="009D4CD4">
              <w:rPr>
                <w:rFonts w:cs="Arial"/>
              </w:rPr>
              <w:t xml:space="preserve"> </w:t>
            </w:r>
            <w:r w:rsidR="00D06F60" w:rsidRPr="009D4CD4">
              <w:rPr>
                <w:rFonts w:cs="Arial"/>
              </w:rPr>
              <w:t xml:space="preserve">a reçu </w:t>
            </w:r>
            <w:r w:rsidR="009A3001" w:rsidRPr="009D4CD4">
              <w:rPr>
                <w:rFonts w:cs="Arial"/>
              </w:rPr>
              <w:t xml:space="preserve">en 2021 </w:t>
            </w:r>
            <w:r w:rsidR="00D06F60" w:rsidRPr="009D4CD4">
              <w:rPr>
                <w:rFonts w:cs="Arial"/>
              </w:rPr>
              <w:t xml:space="preserve">le label </w:t>
            </w:r>
            <w:r w:rsidR="00F77606" w:rsidRPr="009D4CD4">
              <w:rPr>
                <w:rFonts w:cs="Arial"/>
              </w:rPr>
              <w:t>d’état français ISR, et obtenu C</w:t>
            </w:r>
            <w:r w:rsidR="00D06F60" w:rsidRPr="009D4CD4">
              <w:rPr>
                <w:rFonts w:cs="Arial"/>
              </w:rPr>
              <w:t xml:space="preserve">inq Etoiles et la classification Green Star, la meilleure notation décernée par le Global Real Estate Sustainability Benchmark (GRESB). Le GRESB est une organisation internationale d’évaluation ESG du secteur immobilier regroupant plus de 1 200 sociétés de gestion dans plus de 64 pays qui attribue une note à </w:t>
            </w:r>
            <w:r w:rsidR="00C9160B" w:rsidRPr="009D4CD4">
              <w:rPr>
                <w:rFonts w:cs="Arial"/>
              </w:rPr>
              <w:t>96 000 immeubles dans le monde.</w:t>
            </w:r>
          </w:p>
        </w:tc>
      </w:tr>
    </w:tbl>
    <w:p w14:paraId="3DCB774C" w14:textId="2E55F3D6" w:rsidR="003E7228" w:rsidRPr="009D4CD4" w:rsidRDefault="003E7228" w:rsidP="00A440E0">
      <w:pPr>
        <w:spacing w:after="0" w:line="240" w:lineRule="auto"/>
        <w:jc w:val="left"/>
      </w:pPr>
    </w:p>
    <w:p w14:paraId="327833C8" w14:textId="599A72B0" w:rsidR="00D2724F" w:rsidRPr="009D4CD4" w:rsidRDefault="00D2724F" w:rsidP="00A440E0">
      <w:pPr>
        <w:spacing w:after="0" w:line="240" w:lineRule="auto"/>
        <w:jc w:val="left"/>
      </w:pPr>
      <w:r w:rsidRPr="009D4CD4">
        <w:t>Par ailleurs, le CANMP distribue des contrats d’assurance</w:t>
      </w:r>
      <w:r w:rsidR="00F33FD7" w:rsidRPr="009D4CD4">
        <w:t xml:space="preserve"> –</w:t>
      </w:r>
      <w:r w:rsidRPr="009D4CD4">
        <w:t xml:space="preserve"> vie</w:t>
      </w:r>
      <w:r w:rsidR="00F33FD7" w:rsidRPr="009D4CD4">
        <w:t xml:space="preserve"> à forte valeur ajoutée sociétale</w:t>
      </w:r>
      <w:r w:rsidRPr="009D4CD4">
        <w:t>, comme par exemple le Contrat Solidaire</w:t>
      </w:r>
      <w:r w:rsidR="00F33FD7" w:rsidRPr="009D4CD4">
        <w:t xml:space="preserve"> : </w:t>
      </w:r>
    </w:p>
    <w:p w14:paraId="3C134729" w14:textId="0FAC75AA" w:rsidR="00582165" w:rsidRPr="009D4CD4" w:rsidRDefault="00582165" w:rsidP="00582165">
      <w:pPr>
        <w:spacing w:after="0" w:line="240" w:lineRule="auto"/>
        <w:jc w:val="left"/>
        <w:rPr>
          <w:rFonts w:cs="Arial"/>
          <w:i/>
        </w:rPr>
      </w:pPr>
    </w:p>
    <w:p w14:paraId="4A9DCE01" w14:textId="77777777" w:rsidR="00582165" w:rsidRPr="009D4CD4" w:rsidRDefault="00582165" w:rsidP="00582165">
      <w:pPr>
        <w:tabs>
          <w:tab w:val="num" w:pos="720"/>
        </w:tabs>
        <w:spacing w:after="0" w:line="240" w:lineRule="auto"/>
        <w:jc w:val="left"/>
        <w:rPr>
          <w:rFonts w:cs="Arial"/>
        </w:rPr>
      </w:pPr>
      <w:r w:rsidRPr="009D4CD4">
        <w:rPr>
          <w:rFonts w:cs="Arial"/>
        </w:rPr>
        <w:t>La finance solidaire désigne des activités financées non cotées en Bourse, choisies en fonction de leur forte utilité en matière de lutte contre l’exclusion, de cohésion sociale ou de développement durable.</w:t>
      </w:r>
      <w:r w:rsidRPr="009D4CD4">
        <w:rPr>
          <w:rFonts w:cs="Arial"/>
          <w:b/>
          <w:bCs/>
        </w:rPr>
        <w:t xml:space="preserve"> </w:t>
      </w:r>
      <w:r w:rsidRPr="009D4CD4">
        <w:rPr>
          <w:rFonts w:cs="Arial"/>
          <w:bCs/>
        </w:rPr>
        <w:t xml:space="preserve">Les fonds solidaires </w:t>
      </w:r>
      <w:r w:rsidRPr="009D4CD4">
        <w:rPr>
          <w:rFonts w:cs="Arial"/>
        </w:rPr>
        <w:t>consacrent entre 5% et 10% de leurs actifs au financement de projets solidaires développant des activités à forte utilité sociale et environnementale dans différents domaines : logement social, projets environnementaux (agriculture biologique, commerce équitable...) ; activités économiques dans les pays en voie de développement.</w:t>
      </w:r>
    </w:p>
    <w:p w14:paraId="22F4DB99" w14:textId="77777777" w:rsidR="00582165" w:rsidRPr="009D4CD4" w:rsidRDefault="00582165" w:rsidP="00582165">
      <w:pPr>
        <w:spacing w:after="0" w:line="240" w:lineRule="auto"/>
        <w:jc w:val="left"/>
        <w:rPr>
          <w:rFonts w:cs="Arial"/>
        </w:rPr>
      </w:pPr>
      <w:r w:rsidRPr="009D4CD4">
        <w:rPr>
          <w:rFonts w:cs="Arial"/>
        </w:rPr>
        <w:t xml:space="preserve">Les fonds solidaires permettent de </w:t>
      </w:r>
      <w:r w:rsidRPr="009D4CD4">
        <w:rPr>
          <w:rFonts w:cs="Arial"/>
          <w:bCs/>
        </w:rPr>
        <w:t xml:space="preserve">mettre en relation des épargnants souhaitant investir dans des activités à forte utilité sociale </w:t>
      </w:r>
      <w:r w:rsidRPr="009D4CD4">
        <w:rPr>
          <w:rFonts w:cs="Arial"/>
        </w:rPr>
        <w:t xml:space="preserve">et des </w:t>
      </w:r>
      <w:r w:rsidRPr="009D4CD4">
        <w:rPr>
          <w:rFonts w:cs="Arial"/>
          <w:bCs/>
        </w:rPr>
        <w:t>porteurs de projets n’ayant pas suffisamment accès aux financements classiques</w:t>
      </w:r>
      <w:r w:rsidRPr="009D4CD4">
        <w:rPr>
          <w:rFonts w:cs="Arial"/>
        </w:rPr>
        <w:t>.</w:t>
      </w:r>
    </w:p>
    <w:p w14:paraId="6E835653" w14:textId="42F39A7A" w:rsidR="00294ADA" w:rsidRPr="009D4CD4" w:rsidRDefault="00582165" w:rsidP="00582165">
      <w:pPr>
        <w:spacing w:after="0" w:line="240" w:lineRule="auto"/>
        <w:jc w:val="left"/>
        <w:rPr>
          <w:rFonts w:cs="Arial"/>
        </w:rPr>
      </w:pPr>
      <w:r w:rsidRPr="009D4CD4">
        <w:rPr>
          <w:rFonts w:cs="Arial"/>
        </w:rPr>
        <w:t>A ce titre, le Contrat Solidaire du CANMP est un produit d’Assurance Vie labellisé par Finansol, comportant une poche en euros comprenant entre 5 % et 10% d’investissements solidaires, à travers le FCP Finance et Solidarité géré par Amundi, ainsi qu’une poche en unités de compte comportan</w:t>
      </w:r>
      <w:r w:rsidR="00B73351" w:rsidRPr="009D4CD4">
        <w:rPr>
          <w:rFonts w:cs="Arial"/>
        </w:rPr>
        <w:t>t des supports 100% solidaires.</w:t>
      </w:r>
    </w:p>
    <w:p w14:paraId="2E7CC0FA" w14:textId="4E8FB65D" w:rsidR="00A440E0" w:rsidRPr="009D4CD4" w:rsidRDefault="00A440E0" w:rsidP="006153A0">
      <w:pPr>
        <w:pStyle w:val="Titre4"/>
      </w:pPr>
      <w:bookmarkStart w:id="61" w:name="_Toc96697988"/>
      <w:r w:rsidRPr="009D4CD4">
        <w:t>Les prêts pour la transition énergétique</w:t>
      </w:r>
      <w:bookmarkEnd w:id="61"/>
    </w:p>
    <w:p w14:paraId="7E2EDF8B" w14:textId="0CA1B591" w:rsidR="00A440E0" w:rsidRPr="009D4CD4" w:rsidRDefault="00A440E0" w:rsidP="00A440E0">
      <w:pPr>
        <w:spacing w:after="0" w:line="240" w:lineRule="auto"/>
        <w:ind w:right="-285"/>
        <w:jc w:val="left"/>
        <w:rPr>
          <w:rFonts w:cs="Arial"/>
        </w:rPr>
      </w:pPr>
      <w:r w:rsidRPr="009D4CD4">
        <w:rPr>
          <w:rFonts w:cs="Arial"/>
        </w:rPr>
        <w:t>Le CANMP</w:t>
      </w:r>
      <w:r w:rsidR="00922F77" w:rsidRPr="009D4CD4">
        <w:rPr>
          <w:rFonts w:cs="Arial"/>
        </w:rPr>
        <w:t xml:space="preserve"> propose des offres de crédit pour financer </w:t>
      </w:r>
      <w:r w:rsidRPr="009D4CD4">
        <w:rPr>
          <w:rFonts w:cs="Arial"/>
        </w:rPr>
        <w:t xml:space="preserve">les travaux de rénovation énergétique </w:t>
      </w:r>
      <w:r w:rsidR="00922F77" w:rsidRPr="009D4CD4">
        <w:rPr>
          <w:rFonts w:cs="Arial"/>
        </w:rPr>
        <w:t xml:space="preserve">des particuliers. </w:t>
      </w:r>
      <w:r w:rsidRPr="009D4CD4">
        <w:rPr>
          <w:rFonts w:cs="Arial"/>
        </w:rPr>
        <w:t>Des outils disponibles sur le site ca-nmp.fr aident les ménages à construire leur projet. Ils peuvent ainsi consulter en ligne un guide complet pour réaliser des travaux d’économie d’énergie.</w:t>
      </w:r>
    </w:p>
    <w:p w14:paraId="41F741C6" w14:textId="77777777" w:rsidR="00C3048A" w:rsidRPr="009D4CD4" w:rsidRDefault="00C3048A" w:rsidP="00A440E0">
      <w:pPr>
        <w:spacing w:after="0" w:line="240" w:lineRule="auto"/>
        <w:ind w:right="-285"/>
        <w:jc w:val="left"/>
        <w:rPr>
          <w:rFonts w:cs="Arial"/>
        </w:rPr>
      </w:pPr>
    </w:p>
    <w:p w14:paraId="4BA7807B" w14:textId="263A8951" w:rsidR="00B73351" w:rsidRPr="009D4CD4" w:rsidRDefault="007A7F01" w:rsidP="00A440E0">
      <w:pPr>
        <w:spacing w:after="0" w:line="240" w:lineRule="auto"/>
        <w:jc w:val="left"/>
        <w:rPr>
          <w:rFonts w:cs="Arial"/>
        </w:rPr>
      </w:pPr>
      <w:r w:rsidRPr="009D4CD4">
        <w:t>An 2021</w:t>
      </w:r>
      <w:r w:rsidR="003312A1" w:rsidRPr="009D4CD4">
        <w:t xml:space="preserve">, </w:t>
      </w:r>
      <w:r w:rsidRPr="009D4CD4">
        <w:t>l’ensemble des conseillers a été</w:t>
      </w:r>
      <w:r w:rsidR="00C3048A" w:rsidRPr="009D4CD4">
        <w:t xml:space="preserve"> invité à se former à la thématique de la rénovation énergétique des logements, grâce au programme Pepz. Ce programme permet d’accéder à des modules de </w:t>
      </w:r>
      <w:r w:rsidR="003312A1" w:rsidRPr="009D4CD4">
        <w:t>e-learning sur la rénovation énergétique des logements et les aides disponibles</w:t>
      </w:r>
      <w:r w:rsidR="00C3048A" w:rsidRPr="009D4CD4">
        <w:t>, ainsi qu’à u</w:t>
      </w:r>
      <w:r w:rsidR="003312A1" w:rsidRPr="009D4CD4">
        <w:t>n simulateu</w:t>
      </w:r>
      <w:r w:rsidR="00C3048A" w:rsidRPr="009D4CD4">
        <w:t>r pour estimer le</w:t>
      </w:r>
      <w:r w:rsidR="003312A1" w:rsidRPr="009D4CD4">
        <w:t xml:space="preserve"> coût des travaux de rénovation et du montant des </w:t>
      </w:r>
      <w:r w:rsidR="00C3048A" w:rsidRPr="009D4CD4">
        <w:t>aides</w:t>
      </w:r>
      <w:r w:rsidR="003312A1" w:rsidRPr="009D4CD4">
        <w:t xml:space="preserve"> potentielles.</w:t>
      </w:r>
      <w:r w:rsidR="00C3048A" w:rsidRPr="009D4CD4">
        <w:t xml:space="preserve"> Le programme permet également d’accéder à un </w:t>
      </w:r>
      <w:r w:rsidR="003312A1" w:rsidRPr="009D4CD4">
        <w:t xml:space="preserve">service d’assistance </w:t>
      </w:r>
      <w:r w:rsidR="00C3048A" w:rsidRPr="009D4CD4">
        <w:t xml:space="preserve">proposée par des </w:t>
      </w:r>
      <w:r w:rsidR="003312A1" w:rsidRPr="009D4CD4">
        <w:t>spécialistes pouvant venir en appui lors des entretiens clients</w:t>
      </w:r>
      <w:r w:rsidR="00C3048A" w:rsidRPr="009D4CD4">
        <w:t>.</w:t>
      </w:r>
    </w:p>
    <w:p w14:paraId="4080128B" w14:textId="20D13262" w:rsidR="003312A1" w:rsidRPr="009D4CD4" w:rsidRDefault="00C3048A" w:rsidP="00A440E0">
      <w:pPr>
        <w:spacing w:after="0" w:line="240" w:lineRule="auto"/>
        <w:jc w:val="left"/>
      </w:pPr>
      <w:r w:rsidRPr="009D4CD4">
        <w:rPr>
          <w:rFonts w:cs="Arial"/>
        </w:rPr>
        <w:t xml:space="preserve">Les modules sont composés de </w:t>
      </w:r>
      <w:r w:rsidR="003312A1" w:rsidRPr="009D4CD4">
        <w:t>courtes vidéos regroupées en trois parcou</w:t>
      </w:r>
      <w:r w:rsidRPr="009D4CD4">
        <w:t>rs de complexité croissante : « </w:t>
      </w:r>
      <w:r w:rsidR="003312A1" w:rsidRPr="009D4CD4">
        <w:t>Je découvre les enjeux élémentaires de la rénovation énergétique » (13 min)</w:t>
      </w:r>
      <w:r w:rsidRPr="009D4CD4">
        <w:t xml:space="preserve"> ; </w:t>
      </w:r>
      <w:r w:rsidR="003312A1" w:rsidRPr="009D4CD4">
        <w:t>« Je maîtrise les différentes aides existantes pour mes clients » (17 min)</w:t>
      </w:r>
      <w:r w:rsidRPr="009D4CD4">
        <w:t> ; « </w:t>
      </w:r>
      <w:r w:rsidR="006064D0" w:rsidRPr="009D4CD4">
        <w:t>J</w:t>
      </w:r>
      <w:r w:rsidR="003312A1" w:rsidRPr="009D4CD4">
        <w:t>e conseille mes clients grâce au simulateur Pepz » (30 min).</w:t>
      </w:r>
    </w:p>
    <w:p w14:paraId="45AFF902" w14:textId="42CDA4A0" w:rsidR="003312A1" w:rsidRPr="009D4CD4" w:rsidRDefault="003312A1" w:rsidP="00A440E0">
      <w:pPr>
        <w:spacing w:after="0" w:line="240" w:lineRule="auto"/>
        <w:jc w:val="left"/>
      </w:pPr>
      <w:r w:rsidRPr="009D4CD4">
        <w:t xml:space="preserve">Le </w:t>
      </w:r>
      <w:r w:rsidR="00C3048A" w:rsidRPr="009D4CD4">
        <w:t xml:space="preserve">simulateur est </w:t>
      </w:r>
      <w:r w:rsidRPr="009D4CD4">
        <w:t>simple et rapide (moins de 5 minutes). Une fois la simulation terminée, l’outil permet d’imprimer un récapitulatif des travaux, des aides, un plan de financement ainsi qu’un</w:t>
      </w:r>
      <w:r w:rsidR="00C3048A" w:rsidRPr="009D4CD4">
        <w:t xml:space="preserve">e synthèse </w:t>
      </w:r>
      <w:r w:rsidRPr="009D4CD4">
        <w:t>des démarches pour obtenir les aides auxquelles ils sont éligibles.</w:t>
      </w:r>
    </w:p>
    <w:p w14:paraId="72B2CC0D" w14:textId="77F43B76" w:rsidR="003312A1" w:rsidRPr="009D4CD4" w:rsidRDefault="003312A1" w:rsidP="00A440E0">
      <w:pPr>
        <w:spacing w:after="0" w:line="240" w:lineRule="auto"/>
        <w:jc w:val="left"/>
        <w:rPr>
          <w:rFonts w:cs="Arial"/>
        </w:rPr>
      </w:pPr>
    </w:p>
    <w:p w14:paraId="6F9A0D6F" w14:textId="73391603" w:rsidR="00F50488" w:rsidRPr="009D4CD4" w:rsidRDefault="00F50488" w:rsidP="00A440E0">
      <w:pPr>
        <w:spacing w:after="0" w:line="240" w:lineRule="auto"/>
        <w:jc w:val="left"/>
        <w:rPr>
          <w:rFonts w:cs="Arial"/>
        </w:rPr>
      </w:pPr>
      <w:r w:rsidRPr="009D4CD4">
        <w:rPr>
          <w:rFonts w:cs="Arial"/>
        </w:rPr>
        <w:t xml:space="preserve">Le CANMP propose </w:t>
      </w:r>
      <w:r w:rsidR="00FB2F91">
        <w:rPr>
          <w:rFonts w:cs="Arial"/>
        </w:rPr>
        <w:t>des</w:t>
      </w:r>
      <w:r w:rsidRPr="009D4CD4">
        <w:rPr>
          <w:rFonts w:cs="Arial"/>
        </w:rPr>
        <w:t xml:space="preserve"> crédits spécifiques</w:t>
      </w:r>
      <w:r w:rsidR="00294ADA" w:rsidRPr="009D4CD4">
        <w:rPr>
          <w:rFonts w:cs="Arial"/>
        </w:rPr>
        <w:t xml:space="preserve"> en faveur de la transition énergétique</w:t>
      </w:r>
      <w:r w:rsidRPr="009D4CD4">
        <w:rPr>
          <w:rFonts w:cs="Arial"/>
        </w:rPr>
        <w:t xml:space="preserve"> : </w:t>
      </w:r>
      <w:r w:rsidRPr="009D4CD4">
        <w:rPr>
          <w:rFonts w:cs="Arial"/>
        </w:rPr>
        <w:br/>
      </w:r>
    </w:p>
    <w:p w14:paraId="5578FF92" w14:textId="66639871" w:rsidR="00A440E0" w:rsidRPr="009D4CD4" w:rsidRDefault="00F50488" w:rsidP="00F50488">
      <w:pPr>
        <w:spacing w:after="0" w:line="240" w:lineRule="auto"/>
        <w:jc w:val="left"/>
        <w:rPr>
          <w:rFonts w:cs="Arial"/>
        </w:rPr>
      </w:pPr>
      <w:r w:rsidRPr="009D4CD4">
        <w:rPr>
          <w:rFonts w:cs="Arial"/>
        </w:rPr>
        <w:t>&gt;</w:t>
      </w:r>
      <w:r w:rsidR="00A440E0" w:rsidRPr="009D4CD4">
        <w:rPr>
          <w:rFonts w:cs="Arial"/>
        </w:rPr>
        <w:t>Le prêt Economies d’Energie permet de financer les travaux pour l’installation d’un équipement utilisant une énergie renouvelable (solaire, bois, géothermie, vent) ou permettant de faire des économies d’énergie (isolation de la toiture, changement de fenêtre…) dans une résidence principale ou secondair</w:t>
      </w:r>
      <w:r w:rsidRPr="009D4CD4">
        <w:rPr>
          <w:rFonts w:cs="Arial"/>
        </w:rPr>
        <w:t>e achevée depuis plus de 2 ans.</w:t>
      </w:r>
    </w:p>
    <w:p w14:paraId="15DC0A42" w14:textId="77777777" w:rsidR="00F50488" w:rsidRPr="009D4CD4" w:rsidRDefault="00F50488" w:rsidP="00F50488">
      <w:pPr>
        <w:spacing w:after="0" w:line="240" w:lineRule="auto"/>
        <w:jc w:val="left"/>
        <w:rPr>
          <w:rFonts w:cs="Arial"/>
        </w:rPr>
      </w:pPr>
    </w:p>
    <w:p w14:paraId="29EB75CD" w14:textId="35E61002" w:rsidR="00A440E0" w:rsidRPr="009D4CD4" w:rsidRDefault="00F50488" w:rsidP="00A440E0">
      <w:pPr>
        <w:spacing w:after="0" w:line="240" w:lineRule="auto"/>
        <w:ind w:right="-285"/>
        <w:jc w:val="left"/>
        <w:rPr>
          <w:rFonts w:cs="Arial"/>
        </w:rPr>
      </w:pPr>
      <w:r w:rsidRPr="009D4CD4">
        <w:rPr>
          <w:rFonts w:cs="Arial"/>
        </w:rPr>
        <w:t>&gt;L</w:t>
      </w:r>
      <w:r w:rsidR="00A440E0" w:rsidRPr="009D4CD4">
        <w:rPr>
          <w:rFonts w:cs="Arial"/>
        </w:rPr>
        <w:t xml:space="preserve">’éco – prêt à taux zéro (éco PTZ) ayant pour objectif de lutter contre les fractures sociales et territoriales et contre la précarité énergétique. L’éco PTZ permet aux </w:t>
      </w:r>
      <w:r w:rsidR="00A440E0" w:rsidRPr="009D4CD4">
        <w:rPr>
          <w:rFonts w:cs="Arial"/>
          <w:lang w:eastAsia="fr-FR"/>
        </w:rPr>
        <w:t>ménages bénéficiaires des aides Habiter Mieux Sérénité de l’</w:t>
      </w:r>
      <w:r w:rsidR="00A440E0" w:rsidRPr="009D4CD4">
        <w:rPr>
          <w:rFonts w:cs="Arial"/>
        </w:rPr>
        <w:t>Anah</w:t>
      </w:r>
      <w:r w:rsidR="00A440E0" w:rsidRPr="009D4CD4">
        <w:rPr>
          <w:rFonts w:cs="Arial"/>
          <w:lang w:eastAsia="fr-FR"/>
        </w:rPr>
        <w:t>, qu’ils soient propriétaires occupants ou propriétaires bailleurs</w:t>
      </w:r>
      <w:r w:rsidR="00A440E0" w:rsidRPr="009D4CD4">
        <w:rPr>
          <w:rFonts w:cs="Arial"/>
        </w:rPr>
        <w:t xml:space="preserve">, </w:t>
      </w:r>
      <w:r w:rsidR="006064D0" w:rsidRPr="009D4CD4">
        <w:rPr>
          <w:rFonts w:cs="Arial"/>
        </w:rPr>
        <w:t>d’emprunter jusqu’à</w:t>
      </w:r>
      <w:r w:rsidR="00225442" w:rsidRPr="009D4CD4">
        <w:rPr>
          <w:rFonts w:cs="Arial"/>
        </w:rPr>
        <w:t xml:space="preserve"> 5</w:t>
      </w:r>
      <w:r w:rsidR="00A440E0" w:rsidRPr="009D4CD4">
        <w:rPr>
          <w:rFonts w:cs="Arial"/>
        </w:rPr>
        <w:t>0 000 euros. Grâce à une aide de l’Agence Nationale de l’Habitat (Anah), les bénéficiaires sont accompagnés par un opérateur-conseil qui les aident dans toutes les démarches (diagnostic thermique, devis, aide administrative etc.)</w:t>
      </w:r>
    </w:p>
    <w:p w14:paraId="6CAC621D" w14:textId="3027B7C8" w:rsidR="00A440E0" w:rsidRPr="009D4CD4" w:rsidRDefault="00A440E0" w:rsidP="00A440E0">
      <w:pPr>
        <w:spacing w:after="0" w:line="240" w:lineRule="auto"/>
        <w:ind w:right="-285"/>
        <w:jc w:val="left"/>
        <w:rPr>
          <w:rFonts w:cs="Arial"/>
        </w:rPr>
      </w:pPr>
    </w:p>
    <w:p w14:paraId="4ACF623C" w14:textId="327711FE" w:rsidR="00580582" w:rsidRPr="009D4CD4" w:rsidRDefault="00580582" w:rsidP="00580582">
      <w:pPr>
        <w:pStyle w:val="CAA-N"/>
        <w:rPr>
          <w:rFonts w:ascii="Calibri" w:hAnsi="Calibri"/>
          <w:color w:val="auto"/>
          <w:sz w:val="22"/>
          <w:szCs w:val="22"/>
        </w:rPr>
      </w:pPr>
      <w:r w:rsidRPr="009D4CD4">
        <w:rPr>
          <w:rFonts w:cs="Arial"/>
        </w:rPr>
        <w:t>&gt;</w:t>
      </w:r>
      <w:r w:rsidRPr="009D4CD4">
        <w:rPr>
          <w:rFonts w:ascii="Calibri" w:hAnsi="Calibri"/>
          <w:color w:val="auto"/>
          <w:sz w:val="22"/>
          <w:szCs w:val="22"/>
        </w:rPr>
        <w:t xml:space="preserve"> Le Prêt Coup de Main est une avance de trésorerie pour les clients bénéficiaires d’une aide </w:t>
      </w:r>
      <w:r w:rsidRPr="009D4CD4">
        <w:rPr>
          <w:rFonts w:ascii="Calibri" w:hAnsi="Calibri"/>
          <w:sz w:val="22"/>
          <w:szCs w:val="22"/>
        </w:rPr>
        <w:t>publique, par exemple Ma Prime Rénov ou la prime à la Conversion des Véhicules.</w:t>
      </w:r>
    </w:p>
    <w:p w14:paraId="7EC25330" w14:textId="6FD013E7" w:rsidR="00580582" w:rsidRPr="009D4CD4" w:rsidRDefault="00580582" w:rsidP="00A440E0">
      <w:pPr>
        <w:spacing w:after="0" w:line="240" w:lineRule="auto"/>
        <w:ind w:right="-285"/>
        <w:jc w:val="left"/>
        <w:rPr>
          <w:rFonts w:cs="Arial"/>
        </w:rPr>
      </w:pPr>
    </w:p>
    <w:p w14:paraId="62329E45" w14:textId="2AEA5F5A" w:rsidR="00294ADA" w:rsidRPr="009D4CD4" w:rsidRDefault="00F50488" w:rsidP="00461501">
      <w:pPr>
        <w:spacing w:after="0" w:line="240" w:lineRule="auto"/>
        <w:jc w:val="left"/>
      </w:pPr>
      <w:r w:rsidRPr="009D4CD4">
        <w:t>&gt;</w:t>
      </w:r>
      <w:r w:rsidR="00580582" w:rsidRPr="009D4CD4">
        <w:t>Entre les mois de mai et de juillet</w:t>
      </w:r>
      <w:r w:rsidR="00225442" w:rsidRPr="009D4CD4">
        <w:t xml:space="preserve"> 2021</w:t>
      </w:r>
      <w:r w:rsidR="00580582" w:rsidRPr="009D4CD4">
        <w:t>, les clients ont pu choisir un prêt à taux préférentiel pour financer leurs projets de</w:t>
      </w:r>
      <w:r w:rsidR="00A440E0" w:rsidRPr="009D4CD4">
        <w:t> rénovation énergétique</w:t>
      </w:r>
      <w:r w:rsidR="00580582" w:rsidRPr="009D4CD4">
        <w:t xml:space="preserve"> (acquisition d’équipements, de matériaux ou d’appareils d’économies d’énergie sans critères de performance énergétique</w:t>
      </w:r>
      <w:r w:rsidR="00294ADA" w:rsidRPr="009D4CD4">
        <w:t>).</w:t>
      </w:r>
    </w:p>
    <w:p w14:paraId="20F00AF8" w14:textId="39C3E9B6" w:rsidR="00687852" w:rsidRPr="009D4CD4" w:rsidRDefault="00687852" w:rsidP="00294ADA">
      <w:pPr>
        <w:pStyle w:val="Titre4"/>
      </w:pPr>
      <w:bookmarkStart w:id="62" w:name="_Toc96697989"/>
      <w:r w:rsidRPr="009D4CD4">
        <w:t>Mobilité douce</w:t>
      </w:r>
      <w:bookmarkEnd w:id="62"/>
    </w:p>
    <w:p w14:paraId="6D8E8E35" w14:textId="7DB405C3" w:rsidR="00687852" w:rsidRPr="009D4CD4" w:rsidRDefault="00687852" w:rsidP="00687852">
      <w:pPr>
        <w:spacing w:after="0" w:line="240" w:lineRule="auto"/>
        <w:ind w:right="-285"/>
        <w:jc w:val="left"/>
        <w:rPr>
          <w:rFonts w:cs="Arial"/>
        </w:rPr>
      </w:pPr>
      <w:r w:rsidRPr="009D4CD4">
        <w:rPr>
          <w:rFonts w:cs="Arial"/>
        </w:rPr>
        <w:t>Le prêt Vert Auto a pour vocation de financer les véhicules à étiquette énergétique de classe A, c’est-à-dire dont l’empreinte carbone est la plus faible. Ce prêt permet également de financer les scooters électriques, les vélos à assistance électrique, et autres moyens de mobilité douce (trottinette électrique, gyroroue, hoverboard etc.)</w:t>
      </w:r>
      <w:r w:rsidR="00A7717F">
        <w:rPr>
          <w:rFonts w:cs="Arial"/>
        </w:rPr>
        <w:t>. L’offre Agil Auto propose des véhicules électriques en location avec option d’achat.</w:t>
      </w:r>
    </w:p>
    <w:p w14:paraId="5408791B" w14:textId="77777777" w:rsidR="00A440E0" w:rsidRPr="009D4CD4" w:rsidRDefault="00A440E0" w:rsidP="00A440E0">
      <w:pPr>
        <w:spacing w:after="0" w:line="240" w:lineRule="auto"/>
        <w:jc w:val="left"/>
      </w:pPr>
    </w:p>
    <w:p w14:paraId="71799C65" w14:textId="2AB411B1" w:rsidR="00A440E0" w:rsidRPr="009D4CD4" w:rsidRDefault="00A440E0" w:rsidP="006153A0">
      <w:pPr>
        <w:pStyle w:val="Titre4"/>
      </w:pPr>
      <w:bookmarkStart w:id="63" w:name="_Toc96697990"/>
      <w:r w:rsidRPr="009D4CD4">
        <w:t>Financer la transition énergétique en épargnant sur la p</w:t>
      </w:r>
      <w:r w:rsidR="006C6B28" w:rsidRPr="009D4CD4">
        <w:t xml:space="preserve">lateforme </w:t>
      </w:r>
      <w:r w:rsidRPr="009D4CD4">
        <w:t>ENERFIP</w:t>
      </w:r>
      <w:bookmarkEnd w:id="63"/>
    </w:p>
    <w:p w14:paraId="6714626C" w14:textId="00D940D9" w:rsidR="004B1EB5" w:rsidRPr="009D4CD4" w:rsidRDefault="00AE049C" w:rsidP="00A440E0">
      <w:pPr>
        <w:spacing w:after="0" w:line="240" w:lineRule="auto"/>
        <w:jc w:val="left"/>
      </w:pPr>
      <w:r w:rsidRPr="009D4CD4">
        <w:t>En</w:t>
      </w:r>
      <w:r w:rsidR="006C6B28" w:rsidRPr="009D4CD4">
        <w:t xml:space="preserve"> 2021, le CANMP a</w:t>
      </w:r>
      <w:r w:rsidR="00985D1E" w:rsidRPr="009D4CD4">
        <w:t xml:space="preserve"> noué un partenariat avec </w:t>
      </w:r>
      <w:r w:rsidR="00753F75" w:rsidRPr="009D4CD4">
        <w:t>l</w:t>
      </w:r>
      <w:r w:rsidR="00985D1E" w:rsidRPr="009D4CD4">
        <w:t xml:space="preserve">a plateforme ENERFIP afin de proposer aux </w:t>
      </w:r>
      <w:r w:rsidR="006C6B28" w:rsidRPr="009D4CD4">
        <w:t xml:space="preserve">clients patrimoniaux et de la banque </w:t>
      </w:r>
      <w:r w:rsidR="00985D1E" w:rsidRPr="009D4CD4">
        <w:t xml:space="preserve">privée des solutions d’investissement dans des projets </w:t>
      </w:r>
      <w:r w:rsidR="00753F75" w:rsidRPr="009D4CD4">
        <w:t xml:space="preserve">locaux </w:t>
      </w:r>
      <w:r w:rsidR="00985D1E" w:rsidRPr="009D4CD4">
        <w:t xml:space="preserve">dédiés </w:t>
      </w:r>
      <w:r w:rsidR="004B1EB5" w:rsidRPr="009D4CD4">
        <w:t>à la transition énergétique.</w:t>
      </w:r>
      <w:r w:rsidR="00FB2F91">
        <w:t xml:space="preserve"> ENERFIP</w:t>
      </w:r>
      <w:r w:rsidR="00985D1E" w:rsidRPr="009D4CD4">
        <w:t xml:space="preserve"> permet en effet </w:t>
      </w:r>
      <w:r w:rsidR="004B1EB5" w:rsidRPr="009D4CD4">
        <w:t xml:space="preserve">de localiser et d’investir </w:t>
      </w:r>
      <w:r w:rsidR="00985D1E" w:rsidRPr="009D4CD4">
        <w:t xml:space="preserve">dans des </w:t>
      </w:r>
      <w:r w:rsidR="004B1EB5" w:rsidRPr="009D4CD4">
        <w:t xml:space="preserve">projets de </w:t>
      </w:r>
      <w:r w:rsidR="00985D1E" w:rsidRPr="009D4CD4">
        <w:t>production d’énergie renouvelable,</w:t>
      </w:r>
      <w:r w:rsidR="004B1EB5" w:rsidRPr="009D4CD4">
        <w:t xml:space="preserve"> d’</w:t>
      </w:r>
      <w:r w:rsidR="00985D1E" w:rsidRPr="009D4CD4">
        <w:t>innovation,</w:t>
      </w:r>
      <w:r w:rsidR="004B1EB5" w:rsidRPr="009D4CD4">
        <w:t xml:space="preserve"> d’efficacité énergétique, de mobilité.  Les titres financiers dans lesquels les clients investissent sont des actions, des obligations simples ou convertibles en actions et des mini bons</w:t>
      </w:r>
      <w:r w:rsidR="00753F75" w:rsidRPr="009D4CD4">
        <w:t>,</w:t>
      </w:r>
      <w:r w:rsidR="004B1EB5" w:rsidRPr="009D4CD4">
        <w:t xml:space="preserve"> émis pa</w:t>
      </w:r>
      <w:r w:rsidR="00DE16ED">
        <w:t xml:space="preserve">r les sociétés maitres </w:t>
      </w:r>
      <w:r w:rsidR="004B1EB5" w:rsidRPr="009D4CD4">
        <w:t>d’ouvrage des projets de transition énergétique.</w:t>
      </w:r>
    </w:p>
    <w:p w14:paraId="12B55467" w14:textId="3B454975" w:rsidR="00687852" w:rsidRPr="009D4CD4" w:rsidRDefault="00687852" w:rsidP="003E7228">
      <w:pPr>
        <w:pStyle w:val="Titre4"/>
      </w:pPr>
      <w:bookmarkStart w:id="64" w:name="_Toc96697991"/>
      <w:r w:rsidRPr="009D4CD4">
        <w:t>Les parts sociales des Caisses locales</w:t>
      </w:r>
      <w:bookmarkEnd w:id="64"/>
    </w:p>
    <w:p w14:paraId="6079C6F6" w14:textId="77777777" w:rsidR="00687852" w:rsidRPr="009D4CD4" w:rsidRDefault="00687852" w:rsidP="00687852">
      <w:pPr>
        <w:spacing w:after="0" w:line="240" w:lineRule="auto"/>
        <w:jc w:val="left"/>
        <w:rPr>
          <w:rFonts w:cs="Arial"/>
        </w:rPr>
      </w:pPr>
      <w:r w:rsidRPr="009D4CD4">
        <w:rPr>
          <w:rFonts w:cs="Arial"/>
        </w:rPr>
        <w:t xml:space="preserve">En souscrivant des parts sociales, les clients deviennent sociétaires de leur Caisse locale. Ils participent ainsi à la vie coopérative du Crédit Agricole, comme par exemple l’élection, lors de l’Assemblée Générale des Caisses locales, de leurs représentants au Conseil d’Administration. </w:t>
      </w:r>
    </w:p>
    <w:p w14:paraId="3AD2AC40" w14:textId="77777777" w:rsidR="00687852" w:rsidRPr="009D4CD4" w:rsidRDefault="00687852" w:rsidP="00687852">
      <w:pPr>
        <w:spacing w:after="0" w:line="240" w:lineRule="auto"/>
        <w:jc w:val="left"/>
      </w:pPr>
    </w:p>
    <w:p w14:paraId="3F26E7C5" w14:textId="091887A3" w:rsidR="00687852" w:rsidRPr="009D4CD4" w:rsidRDefault="00687852" w:rsidP="00687852">
      <w:pPr>
        <w:pStyle w:val="Titre4"/>
      </w:pPr>
      <w:bookmarkStart w:id="65" w:name="_Toc96697992"/>
      <w:r w:rsidRPr="009D4CD4">
        <w:t>La carte - sociétaire</w:t>
      </w:r>
      <w:bookmarkEnd w:id="65"/>
      <w:r w:rsidRPr="009D4CD4">
        <w:t xml:space="preserve"> </w:t>
      </w:r>
    </w:p>
    <w:p w14:paraId="34B0938E" w14:textId="2492F160" w:rsidR="003814A0" w:rsidRPr="009D4CD4" w:rsidRDefault="003814A0" w:rsidP="00687852">
      <w:pPr>
        <w:spacing w:after="0" w:line="240" w:lineRule="auto"/>
        <w:jc w:val="left"/>
        <w:rPr>
          <w:color w:val="FF0000"/>
        </w:rPr>
      </w:pPr>
      <w:r w:rsidRPr="009D4CD4">
        <w:t>Les détenteurs de parts sociales disposent d’une carte bancaire spécifique. Proposée au même tarif qu’une carte normale, la carte - sociétaire procure à son détenteur des réductions accordées par les partenaires culturels ou sportifs du Crédit Agricole, comme indiqué dans l’espace sociétaires sur le site du CANMP. En 2021, le contexte sanitaire a encore impacté ce dispositif en raison de nombreuses déprogrammations d’évènements culturels ou sportifs.</w:t>
      </w:r>
    </w:p>
    <w:p w14:paraId="58446446" w14:textId="3A40B2B0" w:rsidR="00687852" w:rsidRPr="009D4CD4" w:rsidRDefault="00687852" w:rsidP="00687852">
      <w:pPr>
        <w:pStyle w:val="Titre4"/>
      </w:pPr>
      <w:bookmarkStart w:id="66" w:name="_Toc96697993"/>
      <w:r w:rsidRPr="009D4CD4">
        <w:t>Assurances auto</w:t>
      </w:r>
      <w:bookmarkEnd w:id="66"/>
    </w:p>
    <w:p w14:paraId="185F46D7" w14:textId="0A520BA4" w:rsidR="00D34EDB" w:rsidRPr="009D4CD4" w:rsidRDefault="00687852" w:rsidP="00F215F2">
      <w:pPr>
        <w:spacing w:after="0" w:line="240" w:lineRule="auto"/>
        <w:jc w:val="left"/>
        <w:rPr>
          <w:color w:val="1F497D"/>
        </w:rPr>
      </w:pPr>
      <w:r w:rsidRPr="009D4CD4">
        <w:rPr>
          <w:rFonts w:cs="Arial"/>
        </w:rPr>
        <w:t xml:space="preserve">Les clients faisant l’acquisition d’un véhicule électrique </w:t>
      </w:r>
      <w:r w:rsidR="00FB2F91">
        <w:rPr>
          <w:rFonts w:cs="Arial"/>
        </w:rPr>
        <w:t xml:space="preserve">bénéficient </w:t>
      </w:r>
      <w:r w:rsidR="00F215F2" w:rsidRPr="009D4CD4">
        <w:rPr>
          <w:rFonts w:cs="Arial"/>
        </w:rPr>
        <w:t>d’un remboursement de 100€</w:t>
      </w:r>
      <w:r w:rsidR="00BB1EA9" w:rsidRPr="009D4CD4">
        <w:rPr>
          <w:rFonts w:cs="Arial"/>
        </w:rPr>
        <w:t xml:space="preserve"> </w:t>
      </w:r>
      <w:r w:rsidR="00F215F2" w:rsidRPr="009D4CD4">
        <w:rPr>
          <w:rFonts w:cs="Arial"/>
        </w:rPr>
        <w:t xml:space="preserve">à </w:t>
      </w:r>
      <w:r w:rsidRPr="009D4CD4">
        <w:rPr>
          <w:rFonts w:cs="Arial"/>
        </w:rPr>
        <w:t>la souscription du contrat d’assurance.</w:t>
      </w:r>
    </w:p>
    <w:p w14:paraId="71CC8C3E" w14:textId="30144736" w:rsidR="00687852" w:rsidRPr="009D4CD4" w:rsidRDefault="00687852" w:rsidP="00687852">
      <w:pPr>
        <w:pStyle w:val="Titre4"/>
      </w:pPr>
      <w:bookmarkStart w:id="67" w:name="_Toc96697994"/>
      <w:r w:rsidRPr="009D4CD4">
        <w:t>L’offre 1ère clé en Albigeois</w:t>
      </w:r>
      <w:bookmarkEnd w:id="67"/>
    </w:p>
    <w:p w14:paraId="0E11AEEA" w14:textId="1DDDDEE7" w:rsidR="00687852" w:rsidRPr="009D4CD4" w:rsidRDefault="00687852" w:rsidP="00687852">
      <w:pPr>
        <w:spacing w:after="0" w:line="240" w:lineRule="auto"/>
        <w:jc w:val="left"/>
        <w:rPr>
          <w:rFonts w:cs="Arial"/>
        </w:rPr>
      </w:pPr>
      <w:r w:rsidRPr="009D4CD4">
        <w:rPr>
          <w:rFonts w:cs="Arial"/>
        </w:rPr>
        <w:t>Le Crédit Agricole Nord Midi-Pyrénées a noué en 2017 un partenariat avec l’Agglomération de l’Albigeois, soucieuse de faciliter l'accession à la propriété pour les ménages à revenu modeste et moyen dans les 17 communes de l’agglomération, mais aussi d’inciter à la construction de logements neufs de qualité, et d’aider à l'amélioration des performances énergétiques des logements existants. Pour cela, le prêt 1ère Clef en Albigeois est un crédit dont les intérêts sont entièrement pris en charge par la communauté d’agglo</w:t>
      </w:r>
      <w:r w:rsidR="00C00F61">
        <w:rPr>
          <w:rFonts w:cs="Arial"/>
        </w:rPr>
        <w:t>mération, d’un montant de 10 à 6</w:t>
      </w:r>
      <w:r w:rsidRPr="009D4CD4">
        <w:rPr>
          <w:rFonts w:cs="Arial"/>
        </w:rPr>
        <w:t xml:space="preserve">0 K€ selon la taille de la famille, permettant aux primo-accédants d’acquérir leur résidence principale dans le neuf ou l’ancien, et complémentaire d’un prêt à taux zéro réglementaire. </w:t>
      </w:r>
    </w:p>
    <w:p w14:paraId="576FEF05" w14:textId="2F2D223B" w:rsidR="00687852" w:rsidRPr="00A52D99" w:rsidRDefault="00687852" w:rsidP="00687852">
      <w:pPr>
        <w:spacing w:after="0" w:line="240" w:lineRule="auto"/>
        <w:jc w:val="left"/>
        <w:rPr>
          <w:rFonts w:cs="Arial"/>
        </w:rPr>
      </w:pPr>
      <w:r w:rsidRPr="009D4CD4">
        <w:t>En 202</w:t>
      </w:r>
      <w:r w:rsidR="00F215F2" w:rsidRPr="009D4CD4">
        <w:t>1</w:t>
      </w:r>
      <w:r w:rsidR="00F215F2" w:rsidRPr="00A52D99">
        <w:rPr>
          <w:rFonts w:cs="Arial"/>
        </w:rPr>
        <w:t>, 28 prêts ont été réalisés pour un montant de 670 K€.</w:t>
      </w:r>
    </w:p>
    <w:p w14:paraId="4E1824D0" w14:textId="3BB3D698" w:rsidR="00A52D99" w:rsidRDefault="00A52D99">
      <w:pPr>
        <w:spacing w:after="0" w:line="240" w:lineRule="auto"/>
        <w:jc w:val="left"/>
        <w:rPr>
          <w:rFonts w:ascii="Century Gothic" w:hAnsi="Century Gothic"/>
          <w:color w:val="333333"/>
          <w:sz w:val="15"/>
          <w:szCs w:val="16"/>
        </w:rPr>
      </w:pPr>
      <w:r>
        <w:br w:type="page"/>
      </w:r>
    </w:p>
    <w:p w14:paraId="0FD545DD" w14:textId="4182B2F4" w:rsidR="00A440E0" w:rsidRPr="009D4CD4" w:rsidRDefault="00A440E0" w:rsidP="00326D6D">
      <w:pPr>
        <w:pStyle w:val="Titre3"/>
      </w:pPr>
      <w:bookmarkStart w:id="68" w:name="_Toc96697995"/>
      <w:r w:rsidRPr="009D4CD4">
        <w:t>Accompagner les transitions sur le marché des Agriculteurs et des Professionnels</w:t>
      </w:r>
      <w:bookmarkEnd w:id="68"/>
    </w:p>
    <w:p w14:paraId="7C426EA5" w14:textId="77777777" w:rsidR="00930BF4" w:rsidRPr="009D4CD4" w:rsidRDefault="00930BF4" w:rsidP="00A47B32">
      <w:pPr>
        <w:spacing w:after="0" w:line="240" w:lineRule="auto"/>
        <w:jc w:val="left"/>
        <w:rPr>
          <w:rFonts w:cs="Arial"/>
        </w:rPr>
      </w:pPr>
    </w:p>
    <w:p w14:paraId="779843BB" w14:textId="36E1570C" w:rsidR="00A47B32" w:rsidRPr="009D4CD4" w:rsidRDefault="00A47B32" w:rsidP="00A47B32">
      <w:pPr>
        <w:spacing w:after="0" w:line="240" w:lineRule="auto"/>
        <w:jc w:val="left"/>
        <w:rPr>
          <w:rFonts w:cs="Arial"/>
        </w:rPr>
      </w:pPr>
      <w:r w:rsidRPr="009D4CD4">
        <w:rPr>
          <w:rFonts w:cs="Arial"/>
        </w:rPr>
        <w:t xml:space="preserve">Depuis 2021, une rubrique « Nos solutions engagées » sur le site du CANMP, permet aux clients de s’approprier diverses thématiques : réaliser des travaux d’économie d’énergie, notamment grâce à l’autoconsommation ou </w:t>
      </w:r>
      <w:r w:rsidR="00D70D0F" w:rsidRPr="009D4CD4">
        <w:rPr>
          <w:rFonts w:cs="Arial"/>
        </w:rPr>
        <w:t>l’éclairage</w:t>
      </w:r>
      <w:r w:rsidRPr="009D4CD4">
        <w:rPr>
          <w:rFonts w:cs="Arial"/>
        </w:rPr>
        <w:t xml:space="preserve"> LED ; vendre en circuit court ; acquérir un véhicule vert, épargner et investir de façon responsable ; réussir la transition numérique.</w:t>
      </w:r>
    </w:p>
    <w:p w14:paraId="276B447D" w14:textId="77777777" w:rsidR="00A47B32" w:rsidRPr="009D4CD4" w:rsidRDefault="00A47B32" w:rsidP="00A47B32">
      <w:pPr>
        <w:spacing w:after="0" w:line="240" w:lineRule="auto"/>
        <w:jc w:val="left"/>
        <w:rPr>
          <w:rFonts w:cs="Arial"/>
        </w:rPr>
      </w:pPr>
      <w:r w:rsidRPr="009D4CD4">
        <w:rPr>
          <w:rFonts w:cs="Arial"/>
        </w:rPr>
        <w:t>Cet espace propose des informations thématiques et présente les différentes offres du CANMP.</w:t>
      </w:r>
    </w:p>
    <w:p w14:paraId="592F2415" w14:textId="0631D207" w:rsidR="00A47B32" w:rsidRPr="009D4CD4" w:rsidRDefault="00A47B32" w:rsidP="00A47B32">
      <w:pPr>
        <w:spacing w:after="0" w:line="240" w:lineRule="auto"/>
        <w:jc w:val="left"/>
        <w:rPr>
          <w:rFonts w:cs="Arial"/>
        </w:rPr>
      </w:pPr>
    </w:p>
    <w:p w14:paraId="40246288" w14:textId="77777777" w:rsidR="00A317E9" w:rsidRPr="009D4CD4" w:rsidRDefault="00A317E9" w:rsidP="00A317E9">
      <w:pPr>
        <w:autoSpaceDE w:val="0"/>
        <w:autoSpaceDN w:val="0"/>
        <w:adjustRightInd w:val="0"/>
        <w:spacing w:after="0" w:line="240" w:lineRule="auto"/>
        <w:jc w:val="left"/>
        <w:rPr>
          <w:rFonts w:cs="Calibri"/>
          <w:lang w:eastAsia="fr-FR"/>
        </w:rPr>
      </w:pPr>
      <w:r w:rsidRPr="009D4CD4">
        <w:rPr>
          <w:rFonts w:cs="Calibri"/>
          <w:lang w:eastAsia="fr-FR"/>
        </w:rPr>
        <w:t xml:space="preserve">Des outils permettant de faciliter les échanges avec les clients sont disponibles, comme une vidéo présentant : </w:t>
      </w:r>
    </w:p>
    <w:p w14:paraId="4EE4D326" w14:textId="77777777" w:rsidR="00A317E9" w:rsidRPr="009D4CD4" w:rsidRDefault="00A317E9" w:rsidP="00A317E9">
      <w:pPr>
        <w:autoSpaceDE w:val="0"/>
        <w:autoSpaceDN w:val="0"/>
        <w:adjustRightInd w:val="0"/>
        <w:spacing w:after="0" w:line="240" w:lineRule="auto"/>
        <w:jc w:val="left"/>
        <w:rPr>
          <w:rFonts w:cs="Calibri"/>
          <w:lang w:eastAsia="fr-FR"/>
        </w:rPr>
      </w:pPr>
      <w:r w:rsidRPr="009D4CD4">
        <w:rPr>
          <w:rFonts w:cs="Calibri"/>
          <w:lang w:eastAsia="fr-FR"/>
        </w:rPr>
        <w:t>&gt;les causes et conséquences du dérèglement climatique</w:t>
      </w:r>
    </w:p>
    <w:p w14:paraId="3B85272E" w14:textId="77777777" w:rsidR="00A317E9" w:rsidRPr="009D4CD4" w:rsidRDefault="00A317E9" w:rsidP="00A317E9">
      <w:pPr>
        <w:autoSpaceDE w:val="0"/>
        <w:autoSpaceDN w:val="0"/>
        <w:adjustRightInd w:val="0"/>
        <w:spacing w:after="0" w:line="240" w:lineRule="auto"/>
        <w:jc w:val="left"/>
        <w:rPr>
          <w:rFonts w:cs="Calibri"/>
          <w:lang w:eastAsia="fr-FR"/>
        </w:rPr>
      </w:pPr>
      <w:r w:rsidRPr="009D4CD4">
        <w:rPr>
          <w:rFonts w:cs="Calibri"/>
          <w:lang w:eastAsia="fr-FR"/>
        </w:rPr>
        <w:t>&gt;les enjeux de la transition énergétique</w:t>
      </w:r>
    </w:p>
    <w:p w14:paraId="7E3CE966" w14:textId="77777777" w:rsidR="00A317E9" w:rsidRPr="009D4CD4" w:rsidRDefault="00A317E9" w:rsidP="00A317E9">
      <w:pPr>
        <w:autoSpaceDE w:val="0"/>
        <w:autoSpaceDN w:val="0"/>
        <w:adjustRightInd w:val="0"/>
        <w:spacing w:after="0" w:line="240" w:lineRule="auto"/>
        <w:jc w:val="left"/>
        <w:rPr>
          <w:rFonts w:cs="Calibri"/>
          <w:lang w:eastAsia="fr-FR"/>
        </w:rPr>
      </w:pPr>
      <w:r w:rsidRPr="009D4CD4">
        <w:rPr>
          <w:rFonts w:cs="Calibri"/>
          <w:lang w:eastAsia="fr-FR"/>
        </w:rPr>
        <w:t>&gt;les principaux leviers pour opérer la transition énergétique</w:t>
      </w:r>
    </w:p>
    <w:p w14:paraId="01D2D828" w14:textId="77777777" w:rsidR="00A317E9" w:rsidRPr="009D4CD4" w:rsidRDefault="00A317E9" w:rsidP="00A317E9">
      <w:pPr>
        <w:autoSpaceDE w:val="0"/>
        <w:autoSpaceDN w:val="0"/>
        <w:adjustRightInd w:val="0"/>
        <w:spacing w:after="0" w:line="240" w:lineRule="auto"/>
        <w:jc w:val="left"/>
        <w:rPr>
          <w:rFonts w:cs="Calibri"/>
          <w:lang w:eastAsia="fr-FR"/>
        </w:rPr>
      </w:pPr>
      <w:r w:rsidRPr="009D4CD4">
        <w:rPr>
          <w:rFonts w:cs="Calibri"/>
          <w:lang w:eastAsia="fr-FR"/>
        </w:rPr>
        <w:t>&gt;le rôle des entreprises</w:t>
      </w:r>
    </w:p>
    <w:p w14:paraId="0CA15267" w14:textId="6D944290" w:rsidR="00A47B32" w:rsidRPr="009D4CD4" w:rsidRDefault="00A47B32" w:rsidP="00A47B32">
      <w:pPr>
        <w:pStyle w:val="Titre4"/>
      </w:pPr>
      <w:bookmarkStart w:id="69" w:name="_Toc96697996"/>
      <w:r w:rsidRPr="009D4CD4">
        <w:t>Les prêts aux agriculteurs et professionnels pour la Transition énergétique</w:t>
      </w:r>
      <w:bookmarkEnd w:id="69"/>
    </w:p>
    <w:p w14:paraId="00882E12" w14:textId="7B0FFB50" w:rsidR="00A47B32" w:rsidRPr="009D4CD4" w:rsidRDefault="00A47B32" w:rsidP="00A47B32">
      <w:pPr>
        <w:spacing w:after="0" w:line="240" w:lineRule="auto"/>
        <w:jc w:val="left"/>
        <w:rPr>
          <w:rFonts w:cs="Arial"/>
        </w:rPr>
      </w:pPr>
      <w:r w:rsidRPr="009D4CD4">
        <w:rPr>
          <w:rFonts w:cs="Arial"/>
        </w:rPr>
        <w:t xml:space="preserve">Le CANMP propose des prêts pour financer les projets suivants : </w:t>
      </w:r>
    </w:p>
    <w:p w14:paraId="035C265C" w14:textId="77777777" w:rsidR="00A47B32" w:rsidRPr="009D4CD4" w:rsidRDefault="00A47B32" w:rsidP="00AE07FE">
      <w:pPr>
        <w:spacing w:after="0" w:line="240" w:lineRule="auto"/>
        <w:jc w:val="left"/>
        <w:rPr>
          <w:rFonts w:cs="Arial"/>
        </w:rPr>
      </w:pPr>
    </w:p>
    <w:p w14:paraId="7B5505F3" w14:textId="0D952245" w:rsidR="00A47B32" w:rsidRPr="009D4CD4" w:rsidRDefault="00A47B32" w:rsidP="00AE07FE">
      <w:pPr>
        <w:spacing w:after="0" w:line="240" w:lineRule="auto"/>
        <w:jc w:val="left"/>
        <w:rPr>
          <w:rFonts w:cs="Arial"/>
        </w:rPr>
      </w:pPr>
      <w:r w:rsidRPr="009D4CD4">
        <w:rPr>
          <w:rFonts w:cs="Arial"/>
        </w:rPr>
        <w:t xml:space="preserve">&gt; </w:t>
      </w:r>
      <w:r w:rsidR="00333CF0" w:rsidRPr="009D4CD4">
        <w:rPr>
          <w:rFonts w:cs="Arial"/>
        </w:rPr>
        <w:t>Mobilité</w:t>
      </w:r>
    </w:p>
    <w:p w14:paraId="016C26C9" w14:textId="04DDC573" w:rsidR="00A317E9" w:rsidRPr="009D4CD4" w:rsidRDefault="00333CF0" w:rsidP="00AE07FE">
      <w:pPr>
        <w:spacing w:after="0" w:line="240" w:lineRule="auto"/>
        <w:jc w:val="left"/>
        <w:rPr>
          <w:bCs/>
        </w:rPr>
      </w:pPr>
      <w:r w:rsidRPr="009D4CD4">
        <w:rPr>
          <w:rFonts w:cs="Arial"/>
        </w:rPr>
        <w:t xml:space="preserve">Financement jusqu’à 60 mois : </w:t>
      </w:r>
      <w:r w:rsidRPr="009D4CD4">
        <w:rPr>
          <w:bCs/>
        </w:rPr>
        <w:t>Véhicules neufs et d’occasion</w:t>
      </w:r>
      <w:r w:rsidR="00FB2F91">
        <w:rPr>
          <w:bCs/>
        </w:rPr>
        <w:t> ; v</w:t>
      </w:r>
      <w:r w:rsidRPr="009D4CD4">
        <w:rPr>
          <w:bCs/>
        </w:rPr>
        <w:t>éhicules thermiques, hydrogènes ou éthanol avec émission CO2&lt;122 mg ; véhicules hybrides ou électriques ; vélos ou 2 roues électriques ; véhicules électriques individuels (overboard, trottinettes…) ; bornes de chargement</w:t>
      </w:r>
    </w:p>
    <w:p w14:paraId="4ACB8670" w14:textId="77777777" w:rsidR="00333CF0" w:rsidRPr="009D4CD4" w:rsidRDefault="00333CF0" w:rsidP="00AE07FE">
      <w:pPr>
        <w:spacing w:after="0" w:line="240" w:lineRule="auto"/>
        <w:jc w:val="left"/>
        <w:rPr>
          <w:rFonts w:cs="Arial"/>
        </w:rPr>
      </w:pPr>
    </w:p>
    <w:p w14:paraId="43AEC555" w14:textId="77777777" w:rsidR="00AE07FE" w:rsidRPr="009D4CD4" w:rsidRDefault="00A47B32" w:rsidP="00AE07FE">
      <w:pPr>
        <w:spacing w:after="0" w:line="240" w:lineRule="auto"/>
        <w:jc w:val="left"/>
        <w:rPr>
          <w:rFonts w:cs="Arial"/>
        </w:rPr>
      </w:pPr>
      <w:r w:rsidRPr="009D4CD4">
        <w:rPr>
          <w:rFonts w:cs="Arial"/>
        </w:rPr>
        <w:t xml:space="preserve">&gt; </w:t>
      </w:r>
      <w:r w:rsidR="00AE07FE" w:rsidRPr="009D4CD4">
        <w:rPr>
          <w:rFonts w:cs="Arial"/>
        </w:rPr>
        <w:t>Rénovation énergétique dans les locaux professionnels</w:t>
      </w:r>
    </w:p>
    <w:p w14:paraId="26A9D2B2" w14:textId="2AA007A8" w:rsidR="00AE07FE" w:rsidRPr="009D4CD4" w:rsidRDefault="00AE07FE" w:rsidP="00AE07FE">
      <w:pPr>
        <w:spacing w:after="0" w:line="240" w:lineRule="auto"/>
        <w:jc w:val="left"/>
      </w:pPr>
      <w:r w:rsidRPr="009D4CD4">
        <w:rPr>
          <w:rFonts w:cs="Arial"/>
        </w:rPr>
        <w:t xml:space="preserve">Financement jusqu’à 120 mois : </w:t>
      </w:r>
      <w:r w:rsidRPr="009D4CD4">
        <w:rPr>
          <w:bCs/>
        </w:rPr>
        <w:t>isolation des parois opaques (planchers bas, murs, toiture) ; isolation des parois vitrées (fenêtres double vitrage, volets roulants, de portes fenêtres, de fenêtres de toit, etc.) ; systèmes de chauffage et de production d’eau chaude (chaudières à granulés, chaudières à bûches, poêles à bois, inserts, poêles à granulés, etc.) ; chaudières hautes performances et systèmes thermodynamiques (pompe à chaleur géothermique, chaudière à condensation, chauffe-eau thermodynamique,…) ; systèmes de chauffage et de production d’eau chaude fonctionnant grâce à des énergies renouvelables (chauffe-eau solaire individuel, photovoltaïque…) ; équipements sobres en énergie : frigos/ banque de froid (commerce alimentaire).</w:t>
      </w:r>
    </w:p>
    <w:p w14:paraId="11B811B9" w14:textId="2458F77A" w:rsidR="00AE07FE" w:rsidRPr="009D4CD4" w:rsidRDefault="00AE07FE" w:rsidP="00AE07FE">
      <w:pPr>
        <w:spacing w:after="0" w:line="240" w:lineRule="auto"/>
        <w:jc w:val="left"/>
        <w:rPr>
          <w:rFonts w:cs="Arial"/>
        </w:rPr>
      </w:pPr>
    </w:p>
    <w:p w14:paraId="38D52240" w14:textId="77777777" w:rsidR="00AE07FE" w:rsidRPr="009D4CD4" w:rsidRDefault="00AE07FE" w:rsidP="00AE07FE">
      <w:pPr>
        <w:spacing w:after="0" w:line="240" w:lineRule="auto"/>
        <w:jc w:val="left"/>
        <w:rPr>
          <w:rFonts w:cs="Arial"/>
        </w:rPr>
      </w:pPr>
      <w:r w:rsidRPr="009D4CD4">
        <w:rPr>
          <w:rFonts w:cs="Arial"/>
        </w:rPr>
        <w:t>&gt; Energies renouvelables</w:t>
      </w:r>
    </w:p>
    <w:p w14:paraId="2A90C9ED" w14:textId="640898A7" w:rsidR="00AE07FE" w:rsidRPr="009D4CD4" w:rsidRDefault="00AE07FE" w:rsidP="00AE07FE">
      <w:pPr>
        <w:spacing w:after="0" w:line="240" w:lineRule="auto"/>
        <w:jc w:val="left"/>
      </w:pPr>
      <w:r w:rsidRPr="009D4CD4">
        <w:rPr>
          <w:bCs/>
        </w:rPr>
        <w:t>Financement jusqu’à 180 mois : projets photovoltaïque, méthanisation, éolienne, hydraulique, biomasse, solaire thermique, bois.</w:t>
      </w:r>
    </w:p>
    <w:p w14:paraId="0F097DCE" w14:textId="6ED24D3A" w:rsidR="00A47B32" w:rsidRPr="009D4CD4" w:rsidRDefault="00A47B32" w:rsidP="00A47B32">
      <w:pPr>
        <w:pStyle w:val="Titre4"/>
      </w:pPr>
      <w:bookmarkStart w:id="70" w:name="_Toc96697997"/>
      <w:r w:rsidRPr="009D4CD4">
        <w:t>L’épargne</w:t>
      </w:r>
      <w:bookmarkEnd w:id="70"/>
    </w:p>
    <w:p w14:paraId="0283D0DF" w14:textId="0DC01A9F" w:rsidR="00C7151A" w:rsidRPr="009D4CD4" w:rsidRDefault="00C7151A" w:rsidP="00C7151A">
      <w:pPr>
        <w:spacing w:after="0" w:line="240" w:lineRule="auto"/>
        <w:jc w:val="left"/>
        <w:rPr>
          <w:rFonts w:cs="Arial"/>
        </w:rPr>
      </w:pPr>
      <w:r w:rsidRPr="009D4CD4">
        <w:rPr>
          <w:rFonts w:cs="Arial"/>
        </w:rPr>
        <w:t xml:space="preserve">Le CANMP propose des solutions adaptées aux clients des marchés de l’Agriculture et Professionnels intéressés par une épargne socialement responsable. Ceux-ci peuvent par </w:t>
      </w:r>
      <w:r w:rsidR="00405F18" w:rsidRPr="009D4CD4">
        <w:rPr>
          <w:rFonts w:cs="Arial"/>
        </w:rPr>
        <w:t>exemple se positionner sur les</w:t>
      </w:r>
      <w:r w:rsidRPr="009D4CD4">
        <w:rPr>
          <w:rFonts w:cs="Arial"/>
        </w:rPr>
        <w:t xml:space="preserve"> Fonds suivants : </w:t>
      </w:r>
    </w:p>
    <w:p w14:paraId="15F0A367" w14:textId="77777777" w:rsidR="00C7151A" w:rsidRPr="009D4CD4" w:rsidRDefault="00C7151A" w:rsidP="00C7151A">
      <w:pPr>
        <w:spacing w:after="0" w:line="240" w:lineRule="auto"/>
        <w:jc w:val="left"/>
        <w:rPr>
          <w:rFonts w:cs="Arial"/>
        </w:rPr>
      </w:pPr>
    </w:p>
    <w:p w14:paraId="4BB95639" w14:textId="77777777" w:rsidR="00C7151A" w:rsidRPr="009D4CD4" w:rsidRDefault="00C7151A" w:rsidP="00C7151A">
      <w:pPr>
        <w:pStyle w:val="Paragraphedeliste"/>
        <w:ind w:left="0"/>
        <w:contextualSpacing w:val="0"/>
        <w:rPr>
          <w:rFonts w:ascii="Calibri" w:eastAsia="Calibri" w:hAnsi="Calibri" w:cs="Arial"/>
          <w:sz w:val="22"/>
          <w:szCs w:val="22"/>
          <w:lang w:eastAsia="en-US"/>
        </w:rPr>
      </w:pPr>
      <w:r w:rsidRPr="009D4CD4">
        <w:rPr>
          <w:rFonts w:ascii="Calibri" w:eastAsia="Calibri" w:hAnsi="Calibri" w:cs="Arial"/>
          <w:sz w:val="22"/>
          <w:szCs w:val="22"/>
          <w:lang w:eastAsia="en-US"/>
        </w:rPr>
        <w:t xml:space="preserve">&gt; Hymnos : </w:t>
      </w:r>
    </w:p>
    <w:p w14:paraId="202DB535" w14:textId="77777777" w:rsidR="00C7151A" w:rsidRPr="009D4CD4" w:rsidRDefault="00C7151A" w:rsidP="00C7151A">
      <w:pPr>
        <w:spacing w:after="0" w:line="240" w:lineRule="auto"/>
        <w:jc w:val="left"/>
        <w:rPr>
          <w:rFonts w:cs="Arial"/>
        </w:rPr>
      </w:pPr>
      <w:r w:rsidRPr="009D4CD4">
        <w:rPr>
          <w:rFonts w:cs="Arial"/>
        </w:rPr>
        <w:t>Ce Fonds investit dans des actions d’entreprises européennes et des obligations d’Etats de la zone euro, sélectionnées pour leurs bonnes pratiques Environnementales, Sociales et de Gouvernance (ESG). Il s’agit donc d’une épargne qui associe recherche de performance et placement éthique et qui permet de contribuer au développement d’une économie plus responsable, avec un horizon de placement à 5 ans.  Hymnos n’offre pas de garantie de performance.</w:t>
      </w:r>
      <w:r w:rsidRPr="009D4CD4">
        <w:rPr>
          <w:rFonts w:cs="Arial"/>
        </w:rPr>
        <w:br/>
      </w:r>
    </w:p>
    <w:p w14:paraId="148D6655" w14:textId="77777777" w:rsidR="00C7151A" w:rsidRPr="009D4CD4" w:rsidRDefault="00C7151A" w:rsidP="00C7151A">
      <w:pPr>
        <w:pStyle w:val="Paragraphedeliste"/>
        <w:ind w:left="0"/>
        <w:contextualSpacing w:val="0"/>
        <w:rPr>
          <w:rFonts w:ascii="Calibri" w:eastAsia="Calibri" w:hAnsi="Calibri" w:cs="Arial"/>
          <w:sz w:val="22"/>
          <w:szCs w:val="22"/>
          <w:lang w:eastAsia="en-US"/>
        </w:rPr>
      </w:pPr>
      <w:r w:rsidRPr="009D4CD4">
        <w:rPr>
          <w:rFonts w:ascii="Calibri" w:eastAsia="Calibri" w:hAnsi="Calibri" w:cs="Arial"/>
          <w:sz w:val="22"/>
          <w:szCs w:val="22"/>
          <w:lang w:eastAsia="en-US"/>
        </w:rPr>
        <w:t>&gt;BFT Crédit Opportunités ISR :</w:t>
      </w:r>
    </w:p>
    <w:p w14:paraId="0F9B8793" w14:textId="77777777" w:rsidR="00C7151A" w:rsidRPr="009D4CD4" w:rsidRDefault="00C7151A" w:rsidP="00C7151A">
      <w:pPr>
        <w:spacing w:after="0" w:line="240" w:lineRule="auto"/>
        <w:jc w:val="left"/>
        <w:rPr>
          <w:rFonts w:cs="Arial"/>
        </w:rPr>
      </w:pPr>
      <w:r w:rsidRPr="009D4CD4">
        <w:rPr>
          <w:rFonts w:cs="Arial"/>
        </w:rPr>
        <w:t>Intégrant des critères ESG, la gestion est fondée sur une approche multi-stratégies obligataires euro. L’objectif est de tirer parti du potentiel des composantes Taux et Crédit des obligations, dans un contexte de risque prédéfini, grâce à une gestion flexible de conviction.</w:t>
      </w:r>
    </w:p>
    <w:p w14:paraId="1C5DC8D9" w14:textId="026F4ABB" w:rsidR="00A47B32" w:rsidRPr="009D4CD4" w:rsidRDefault="00A47B32" w:rsidP="00A317E9">
      <w:pPr>
        <w:spacing w:after="0" w:line="240" w:lineRule="auto"/>
        <w:jc w:val="left"/>
        <w:rPr>
          <w:rFonts w:cs="Arial"/>
        </w:rPr>
      </w:pPr>
      <w:r w:rsidRPr="009D4CD4">
        <w:rPr>
          <w:rFonts w:cs="Arial"/>
        </w:rPr>
        <w:t xml:space="preserve">&gt; Lancement en 2021 de </w:t>
      </w:r>
      <w:r w:rsidR="00A317E9" w:rsidRPr="009D4CD4">
        <w:rPr>
          <w:rFonts w:cs="Arial"/>
        </w:rPr>
        <w:t>Impact Transition.</w:t>
      </w:r>
    </w:p>
    <w:p w14:paraId="54EEF703" w14:textId="1BACB894" w:rsidR="00A47B32" w:rsidRPr="009D4CD4" w:rsidRDefault="00A317E9" w:rsidP="00A317E9">
      <w:pPr>
        <w:spacing w:after="0" w:line="240" w:lineRule="auto"/>
        <w:jc w:val="left"/>
        <w:rPr>
          <w:rFonts w:cs="Arial"/>
        </w:rPr>
      </w:pPr>
      <w:r w:rsidRPr="009D4CD4">
        <w:rPr>
          <w:rFonts w:cs="Arial"/>
        </w:rPr>
        <w:t>L’</w:t>
      </w:r>
      <w:r w:rsidR="00A47B32" w:rsidRPr="009D4CD4">
        <w:rPr>
          <w:rFonts w:cs="Arial"/>
        </w:rPr>
        <w:t>UCO Impact Transition by CA (Octobre 2021) est un support d'investissement à destination des clients Patrimoniaux et Banque Privée et clients gérés par les Chargés d'Affaires Pro/Agri. Il est éligible aux contrats d'assurance-vie et de capitalisation.</w:t>
      </w:r>
    </w:p>
    <w:p w14:paraId="6E87012F" w14:textId="77777777" w:rsidR="00A47B32" w:rsidRPr="009D4CD4" w:rsidRDefault="00A47B32" w:rsidP="00A47B32">
      <w:pPr>
        <w:spacing w:after="0" w:line="240" w:lineRule="auto"/>
        <w:jc w:val="left"/>
        <w:rPr>
          <w:rFonts w:cs="Arial"/>
        </w:rPr>
      </w:pPr>
    </w:p>
    <w:p w14:paraId="4C4552C6" w14:textId="533D8689" w:rsidR="00A47B32" w:rsidRPr="009D4CD4" w:rsidRDefault="00910017" w:rsidP="00A47B32">
      <w:pPr>
        <w:spacing w:after="0" w:line="240" w:lineRule="auto"/>
        <w:jc w:val="left"/>
        <w:rPr>
          <w:rFonts w:cs="Arial"/>
        </w:rPr>
      </w:pPr>
      <w:r>
        <w:t>&gt;</w:t>
      </w:r>
      <w:r w:rsidR="00B36450">
        <w:t xml:space="preserve">Les titres de créance </w:t>
      </w:r>
      <w:r w:rsidR="00A47B32" w:rsidRPr="009D4CD4">
        <w:t xml:space="preserve">Impact </w:t>
      </w:r>
      <w:r w:rsidR="00CD4B0B" w:rsidRPr="009D4CD4">
        <w:t xml:space="preserve">Transition </w:t>
      </w:r>
      <w:r w:rsidR="00B36450">
        <w:t>sont</w:t>
      </w:r>
      <w:r w:rsidR="00A47B32" w:rsidRPr="009D4CD4">
        <w:t xml:space="preserve"> destiné à financer ou refinancer exclusivement des projets verts ayant un impact environnemental positif</w:t>
      </w:r>
      <w:r w:rsidR="00B36450">
        <w:t xml:space="preserve">. </w:t>
      </w:r>
    </w:p>
    <w:p w14:paraId="6B2F76EC" w14:textId="2CF7B90F" w:rsidR="00A317E9" w:rsidRPr="009D4CD4" w:rsidRDefault="00B36450" w:rsidP="00A47B32">
      <w:pPr>
        <w:spacing w:after="0" w:line="240" w:lineRule="auto"/>
        <w:jc w:val="left"/>
      </w:pPr>
      <w:r>
        <w:t>Ces t</w:t>
      </w:r>
      <w:r w:rsidR="00A47B32" w:rsidRPr="009D4CD4">
        <w:t>itres const</w:t>
      </w:r>
      <w:r>
        <w:t>ituent des Obligations Vertes dont le produit</w:t>
      </w:r>
      <w:r w:rsidR="00A47B32" w:rsidRPr="009D4CD4">
        <w:t xml:space="preserve"> sera utilisé pour financer et/ou refinancer, en totalité ou en partie, des actifs verts éligibles existants ou nouveaux (les Actifs Verts Eligibles) dans les catégories suivantes : - Energies renouvelables - Immobilier vert - Efficacité énergétique - Transport propre - Gestion de l’eau et des déchets - Agriculture durable et gestion forestière, telles que développés dans le Cadre des Obligations Vertes basé sur les principes des obligations vertes publiés par l'Association Internationale des Marchés des Capitaux (International Capital Markets Association) dans son édition de 2018 (les Principes GB) disponible sur le site internet du groupe Crédit Agricole</w:t>
      </w:r>
      <w:r w:rsidR="00A317E9" w:rsidRPr="009D4CD4">
        <w:t>.</w:t>
      </w:r>
    </w:p>
    <w:p w14:paraId="2A2F8948" w14:textId="6A6E961C" w:rsidR="00A47B32" w:rsidRPr="009D4CD4" w:rsidRDefault="00A47B32" w:rsidP="00D70D0F">
      <w:pPr>
        <w:pStyle w:val="Titre4"/>
        <w:jc w:val="left"/>
      </w:pPr>
      <w:bookmarkStart w:id="71" w:name="_Toc96697998"/>
      <w:r w:rsidRPr="009D4CD4">
        <w:t>Accompagner les transitions agricoles</w:t>
      </w:r>
      <w:bookmarkEnd w:id="7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7"/>
        <w:gridCol w:w="1276"/>
        <w:gridCol w:w="1276"/>
        <w:gridCol w:w="1276"/>
      </w:tblGrid>
      <w:tr w:rsidR="009A7F39" w:rsidRPr="009D4CD4" w14:paraId="34148499" w14:textId="77777777" w:rsidTr="009A7F39">
        <w:trPr>
          <w:trHeight w:hRule="exact" w:val="284"/>
          <w:jc w:val="center"/>
        </w:trPr>
        <w:tc>
          <w:tcPr>
            <w:tcW w:w="6237" w:type="dxa"/>
            <w:tcBorders>
              <w:top w:val="nil"/>
              <w:left w:val="nil"/>
              <w:bottom w:val="single" w:sz="4" w:space="0" w:color="auto"/>
              <w:right w:val="single" w:sz="4" w:space="0" w:color="auto"/>
            </w:tcBorders>
            <w:shd w:val="clear" w:color="auto" w:fill="auto"/>
          </w:tcPr>
          <w:p w14:paraId="6150A8E1" w14:textId="77777777" w:rsidR="009A7F39" w:rsidRPr="009D4CD4" w:rsidRDefault="009A7F39" w:rsidP="009A7F39">
            <w:pPr>
              <w:spacing w:after="0" w:line="240" w:lineRule="auto"/>
              <w:ind w:right="140"/>
              <w:jc w:val="left"/>
              <w:rPr>
                <w:rFonts w:eastAsia="Times New Roman" w:cs="Arial"/>
              </w:rPr>
            </w:pPr>
            <w:r w:rsidRPr="009D4CD4">
              <w:rPr>
                <w:rFonts w:eastAsia="Times New Roman" w:cs="Arial"/>
                <w:b/>
                <w:i/>
                <w:sz w:val="20"/>
                <w:szCs w:val="20"/>
              </w:rPr>
              <w:t>Les chiffres – clé</w:t>
            </w:r>
          </w:p>
        </w:tc>
        <w:tc>
          <w:tcPr>
            <w:tcW w:w="1276" w:type="dxa"/>
            <w:tcBorders>
              <w:left w:val="single" w:sz="4" w:space="0" w:color="auto"/>
            </w:tcBorders>
            <w:shd w:val="clear" w:color="auto" w:fill="auto"/>
          </w:tcPr>
          <w:p w14:paraId="6E6BA8DC" w14:textId="4743F5EB" w:rsidR="009A7F39" w:rsidRPr="009D4CD4" w:rsidRDefault="009A7F39" w:rsidP="009A7F39">
            <w:pPr>
              <w:spacing w:after="0" w:line="240" w:lineRule="auto"/>
              <w:ind w:right="140"/>
              <w:jc w:val="left"/>
              <w:rPr>
                <w:rFonts w:eastAsia="Times New Roman" w:cs="Arial"/>
                <w:b/>
              </w:rPr>
            </w:pPr>
            <w:r w:rsidRPr="009D4CD4">
              <w:rPr>
                <w:rFonts w:eastAsia="Times New Roman" w:cs="Arial"/>
                <w:b/>
              </w:rPr>
              <w:t>2021</w:t>
            </w:r>
          </w:p>
        </w:tc>
        <w:tc>
          <w:tcPr>
            <w:tcW w:w="1276" w:type="dxa"/>
            <w:shd w:val="clear" w:color="auto" w:fill="auto"/>
          </w:tcPr>
          <w:p w14:paraId="3339FA0E" w14:textId="5F17B661" w:rsidR="009A7F39" w:rsidRPr="009D4CD4" w:rsidRDefault="009A7F39" w:rsidP="009A7F39">
            <w:pPr>
              <w:spacing w:after="0" w:line="240" w:lineRule="auto"/>
              <w:ind w:right="140"/>
              <w:jc w:val="left"/>
              <w:rPr>
                <w:rFonts w:eastAsia="Times New Roman" w:cs="Arial"/>
                <w:b/>
              </w:rPr>
            </w:pPr>
            <w:r w:rsidRPr="009D4CD4">
              <w:rPr>
                <w:rFonts w:eastAsia="Times New Roman" w:cs="Arial"/>
                <w:b/>
              </w:rPr>
              <w:t>2020</w:t>
            </w:r>
          </w:p>
        </w:tc>
        <w:tc>
          <w:tcPr>
            <w:tcW w:w="1276" w:type="dxa"/>
            <w:shd w:val="clear" w:color="auto" w:fill="auto"/>
          </w:tcPr>
          <w:p w14:paraId="523AC7EC" w14:textId="7AB92209" w:rsidR="009A7F39" w:rsidRPr="009D4CD4" w:rsidRDefault="009A7F39" w:rsidP="009A7F39">
            <w:pPr>
              <w:spacing w:after="0" w:line="240" w:lineRule="auto"/>
              <w:ind w:right="140"/>
              <w:jc w:val="left"/>
              <w:rPr>
                <w:rFonts w:eastAsia="Times New Roman" w:cs="Arial"/>
                <w:b/>
              </w:rPr>
            </w:pPr>
            <w:r w:rsidRPr="009D4CD4">
              <w:rPr>
                <w:rFonts w:eastAsia="Times New Roman" w:cs="Arial"/>
                <w:b/>
              </w:rPr>
              <w:t>2019</w:t>
            </w:r>
          </w:p>
        </w:tc>
      </w:tr>
      <w:tr w:rsidR="009A7F39" w:rsidRPr="009D4CD4" w14:paraId="59EFD991" w14:textId="77777777" w:rsidTr="009A7F39">
        <w:trPr>
          <w:trHeight w:hRule="exact" w:val="284"/>
          <w:jc w:val="center"/>
        </w:trPr>
        <w:tc>
          <w:tcPr>
            <w:tcW w:w="6237" w:type="dxa"/>
            <w:tcBorders>
              <w:top w:val="single" w:sz="4" w:space="0" w:color="auto"/>
            </w:tcBorders>
            <w:shd w:val="clear" w:color="auto" w:fill="auto"/>
          </w:tcPr>
          <w:p w14:paraId="122FAF96" w14:textId="77777777"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Part de marché Financement de l’agriculture (PM financière)</w:t>
            </w:r>
          </w:p>
        </w:tc>
        <w:tc>
          <w:tcPr>
            <w:tcW w:w="1276" w:type="dxa"/>
            <w:shd w:val="clear" w:color="auto" w:fill="auto"/>
          </w:tcPr>
          <w:p w14:paraId="4A6FC457" w14:textId="3683460C" w:rsidR="009A7F39" w:rsidRPr="009D4CD4" w:rsidRDefault="001A7F6E" w:rsidP="009A7F39">
            <w:pPr>
              <w:autoSpaceDE w:val="0"/>
              <w:autoSpaceDN w:val="0"/>
              <w:adjustRightInd w:val="0"/>
              <w:spacing w:after="0" w:line="240" w:lineRule="auto"/>
              <w:jc w:val="left"/>
              <w:rPr>
                <w:rFonts w:eastAsia="Times New Roman" w:cs="Arial"/>
                <w:sz w:val="18"/>
                <w:szCs w:val="18"/>
              </w:rPr>
            </w:pPr>
            <w:r w:rsidRPr="009D4CD4">
              <w:rPr>
                <w:rFonts w:eastAsia="Times New Roman" w:cs="Arial"/>
                <w:sz w:val="18"/>
                <w:szCs w:val="18"/>
              </w:rPr>
              <w:t>75,5% (09/21)</w:t>
            </w:r>
          </w:p>
        </w:tc>
        <w:tc>
          <w:tcPr>
            <w:tcW w:w="1276" w:type="dxa"/>
            <w:shd w:val="clear" w:color="auto" w:fill="auto"/>
          </w:tcPr>
          <w:p w14:paraId="3CCC15F2" w14:textId="1B4767B0"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18"/>
                <w:szCs w:val="18"/>
              </w:rPr>
              <w:t>75,9% (06/20)</w:t>
            </w:r>
          </w:p>
        </w:tc>
        <w:tc>
          <w:tcPr>
            <w:tcW w:w="1276" w:type="dxa"/>
            <w:shd w:val="clear" w:color="auto" w:fill="auto"/>
          </w:tcPr>
          <w:p w14:paraId="7C72C4AB" w14:textId="0C4899CF"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76,5%</w:t>
            </w:r>
          </w:p>
        </w:tc>
      </w:tr>
      <w:tr w:rsidR="009A7F39" w:rsidRPr="009D4CD4" w14:paraId="76519CA9" w14:textId="77777777" w:rsidTr="009A7F39">
        <w:trPr>
          <w:trHeight w:hRule="exact" w:val="284"/>
          <w:jc w:val="center"/>
        </w:trPr>
        <w:tc>
          <w:tcPr>
            <w:tcW w:w="6237" w:type="dxa"/>
            <w:tcBorders>
              <w:top w:val="single" w:sz="4" w:space="0" w:color="auto"/>
            </w:tcBorders>
            <w:shd w:val="clear" w:color="auto" w:fill="auto"/>
          </w:tcPr>
          <w:p w14:paraId="617A7CD8" w14:textId="77777777"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Réalisations crédit (équipement) Domaine Agri</w:t>
            </w:r>
          </w:p>
        </w:tc>
        <w:tc>
          <w:tcPr>
            <w:tcW w:w="1276" w:type="dxa"/>
            <w:shd w:val="clear" w:color="auto" w:fill="auto"/>
          </w:tcPr>
          <w:p w14:paraId="33145D43" w14:textId="6FCB6A9E" w:rsidR="009A7F39" w:rsidRPr="009D4CD4" w:rsidRDefault="001A7F6E"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286 M€</w:t>
            </w:r>
          </w:p>
        </w:tc>
        <w:tc>
          <w:tcPr>
            <w:tcW w:w="1276" w:type="dxa"/>
            <w:shd w:val="clear" w:color="auto" w:fill="auto"/>
          </w:tcPr>
          <w:p w14:paraId="2F4A914F" w14:textId="5A7EEC57"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275 M€</w:t>
            </w:r>
          </w:p>
        </w:tc>
        <w:tc>
          <w:tcPr>
            <w:tcW w:w="1276" w:type="dxa"/>
            <w:shd w:val="clear" w:color="auto" w:fill="auto"/>
          </w:tcPr>
          <w:p w14:paraId="5AB53F7E" w14:textId="22BB7756"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311 M€</w:t>
            </w:r>
          </w:p>
        </w:tc>
      </w:tr>
      <w:tr w:rsidR="009A7F39" w:rsidRPr="009D4CD4" w14:paraId="28BA4CC9" w14:textId="77777777" w:rsidTr="009A7F39">
        <w:trPr>
          <w:trHeight w:hRule="exact" w:val="284"/>
          <w:jc w:val="center"/>
        </w:trPr>
        <w:tc>
          <w:tcPr>
            <w:tcW w:w="6237" w:type="dxa"/>
            <w:tcBorders>
              <w:top w:val="single" w:sz="4" w:space="0" w:color="auto"/>
            </w:tcBorders>
            <w:shd w:val="clear" w:color="auto" w:fill="auto"/>
          </w:tcPr>
          <w:p w14:paraId="33F40212" w14:textId="77777777"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Nb de Jeunes Agriculteurs (JA) installés avec l’aide du CANMP *</w:t>
            </w:r>
          </w:p>
        </w:tc>
        <w:tc>
          <w:tcPr>
            <w:tcW w:w="1276" w:type="dxa"/>
            <w:shd w:val="clear" w:color="auto" w:fill="auto"/>
          </w:tcPr>
          <w:p w14:paraId="33003DFD" w14:textId="04052A4F" w:rsidR="009A7F39" w:rsidRPr="009D4CD4" w:rsidRDefault="00565688"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226</w:t>
            </w:r>
          </w:p>
        </w:tc>
        <w:tc>
          <w:tcPr>
            <w:tcW w:w="1276" w:type="dxa"/>
            <w:shd w:val="clear" w:color="auto" w:fill="auto"/>
          </w:tcPr>
          <w:p w14:paraId="2B56D765" w14:textId="3721D63B"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188</w:t>
            </w:r>
          </w:p>
        </w:tc>
        <w:tc>
          <w:tcPr>
            <w:tcW w:w="1276" w:type="dxa"/>
            <w:shd w:val="clear" w:color="auto" w:fill="auto"/>
          </w:tcPr>
          <w:p w14:paraId="3D921848" w14:textId="14E82EFB"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217</w:t>
            </w:r>
          </w:p>
        </w:tc>
      </w:tr>
      <w:tr w:rsidR="009A7F39" w:rsidRPr="009D4CD4" w14:paraId="4AAD5612" w14:textId="77777777" w:rsidTr="009A7F39">
        <w:trPr>
          <w:trHeight w:hRule="exact" w:val="284"/>
          <w:jc w:val="center"/>
        </w:trPr>
        <w:tc>
          <w:tcPr>
            <w:tcW w:w="6237" w:type="dxa"/>
            <w:shd w:val="clear" w:color="auto" w:fill="auto"/>
          </w:tcPr>
          <w:p w14:paraId="0E209191" w14:textId="77777777"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Poids du CANMP dans le total des installations *</w:t>
            </w:r>
          </w:p>
        </w:tc>
        <w:tc>
          <w:tcPr>
            <w:tcW w:w="1276" w:type="dxa"/>
            <w:shd w:val="clear" w:color="auto" w:fill="auto"/>
          </w:tcPr>
          <w:p w14:paraId="127D134A" w14:textId="26AB4DF4" w:rsidR="009A7F39" w:rsidRPr="009D4CD4" w:rsidRDefault="00565688"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76 %</w:t>
            </w:r>
          </w:p>
        </w:tc>
        <w:tc>
          <w:tcPr>
            <w:tcW w:w="1276" w:type="dxa"/>
            <w:shd w:val="clear" w:color="auto" w:fill="auto"/>
          </w:tcPr>
          <w:p w14:paraId="6359A66B" w14:textId="1C13619C"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82 %</w:t>
            </w:r>
          </w:p>
        </w:tc>
        <w:tc>
          <w:tcPr>
            <w:tcW w:w="1276" w:type="dxa"/>
            <w:shd w:val="clear" w:color="auto" w:fill="auto"/>
          </w:tcPr>
          <w:p w14:paraId="01523AFB" w14:textId="0DC5B047"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80 %</w:t>
            </w:r>
          </w:p>
        </w:tc>
      </w:tr>
      <w:tr w:rsidR="009A7F39" w:rsidRPr="009D4CD4" w14:paraId="1E3F41FD" w14:textId="77777777" w:rsidTr="009A7F39">
        <w:trPr>
          <w:trHeight w:hRule="exact" w:val="284"/>
          <w:jc w:val="center"/>
        </w:trPr>
        <w:tc>
          <w:tcPr>
            <w:tcW w:w="6237" w:type="dxa"/>
            <w:tcBorders>
              <w:bottom w:val="single" w:sz="4" w:space="0" w:color="auto"/>
            </w:tcBorders>
            <w:shd w:val="clear" w:color="auto" w:fill="auto"/>
          </w:tcPr>
          <w:p w14:paraId="76CBD4CB" w14:textId="77777777"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Part des JA installés en AB dans le total des JA installés avec le CANMP *</w:t>
            </w:r>
          </w:p>
        </w:tc>
        <w:tc>
          <w:tcPr>
            <w:tcW w:w="1276" w:type="dxa"/>
            <w:tcBorders>
              <w:bottom w:val="single" w:sz="4" w:space="0" w:color="auto"/>
            </w:tcBorders>
            <w:shd w:val="clear" w:color="auto" w:fill="auto"/>
          </w:tcPr>
          <w:p w14:paraId="04AF5667" w14:textId="35B3B404" w:rsidR="009A7F39" w:rsidRPr="009D4CD4" w:rsidRDefault="00565688"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21%</w:t>
            </w:r>
          </w:p>
        </w:tc>
        <w:tc>
          <w:tcPr>
            <w:tcW w:w="1276" w:type="dxa"/>
            <w:tcBorders>
              <w:bottom w:val="single" w:sz="4" w:space="0" w:color="auto"/>
            </w:tcBorders>
            <w:shd w:val="clear" w:color="auto" w:fill="auto"/>
          </w:tcPr>
          <w:p w14:paraId="55925B33" w14:textId="7E0483D4"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33 %</w:t>
            </w:r>
          </w:p>
        </w:tc>
        <w:tc>
          <w:tcPr>
            <w:tcW w:w="1276" w:type="dxa"/>
            <w:tcBorders>
              <w:bottom w:val="single" w:sz="4" w:space="0" w:color="auto"/>
            </w:tcBorders>
            <w:shd w:val="clear" w:color="auto" w:fill="auto"/>
          </w:tcPr>
          <w:p w14:paraId="6AC18CB1" w14:textId="2190F0D6" w:rsidR="009A7F39" w:rsidRPr="009D4CD4" w:rsidRDefault="009A7F39" w:rsidP="009A7F39">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25 %</w:t>
            </w:r>
          </w:p>
        </w:tc>
      </w:tr>
    </w:tbl>
    <w:p w14:paraId="7BD338A9" w14:textId="77777777" w:rsidR="00A47B32" w:rsidRPr="009D4CD4" w:rsidRDefault="00A47B32" w:rsidP="00A47B32">
      <w:pPr>
        <w:ind w:left="284"/>
        <w:jc w:val="left"/>
      </w:pPr>
      <w:r w:rsidRPr="009D4CD4">
        <w:t>*</w:t>
      </w:r>
      <w:r w:rsidRPr="009D4CD4">
        <w:rPr>
          <w:i/>
        </w:rPr>
        <w:t>Installations réglementairement aidées</w:t>
      </w:r>
    </w:p>
    <w:p w14:paraId="71319C9C" w14:textId="0C6E736F" w:rsidR="00A47B32" w:rsidRPr="009D4CD4" w:rsidRDefault="00A47B32" w:rsidP="00A47B32">
      <w:pPr>
        <w:spacing w:after="0" w:line="240" w:lineRule="auto"/>
        <w:jc w:val="left"/>
      </w:pPr>
      <w:r w:rsidRPr="009D4CD4">
        <w:t>Le CANMP réaffirme son attachement à demeurer le partenaire bancaire principal de l’agriculture, secteur-clé de l’économie des 4 départements.  Ici comme ailleurs, l’évolution des systèmes agricoles s’accélère, sous l’effet notamment de l’évolution du climat et de la demande sociétale en matière de qualité des produits, de protection de l’environnement, de bien-être animal et d’approvisionnements de proximité. Consciente de ces enjeux de transition, la Caisse Régionale poursuit sa politique d’accompagnement en déployant plusieurs dispositifs.</w:t>
      </w:r>
    </w:p>
    <w:p w14:paraId="1751F832" w14:textId="77777777" w:rsidR="00A47B32" w:rsidRPr="009D4CD4" w:rsidRDefault="00A47B32" w:rsidP="00A47B32">
      <w:pPr>
        <w:spacing w:after="0" w:line="240" w:lineRule="auto"/>
        <w:jc w:val="left"/>
      </w:pPr>
    </w:p>
    <w:p w14:paraId="3EAB62D1" w14:textId="77777777" w:rsidR="00A47B32" w:rsidRPr="009D4CD4" w:rsidRDefault="00A47B32" w:rsidP="00A47B32">
      <w:pPr>
        <w:spacing w:after="0" w:line="240" w:lineRule="auto"/>
      </w:pPr>
      <w:r w:rsidRPr="009D4CD4">
        <w:t>&gt; La mise à disposition d’un réseau de compétences</w:t>
      </w:r>
    </w:p>
    <w:p w14:paraId="4FFABECC" w14:textId="77777777" w:rsidR="00A47B32" w:rsidRPr="009D4CD4" w:rsidRDefault="00A47B32" w:rsidP="00A47B32">
      <w:pPr>
        <w:spacing w:after="0" w:line="240" w:lineRule="auto"/>
        <w:jc w:val="left"/>
      </w:pPr>
    </w:p>
    <w:p w14:paraId="61766DE7" w14:textId="6CC576F9" w:rsidR="00A47B32" w:rsidRPr="009D4CD4" w:rsidRDefault="00A47B32" w:rsidP="00A47B32">
      <w:pPr>
        <w:spacing w:after="0" w:line="240" w:lineRule="auto"/>
      </w:pPr>
      <w:r w:rsidRPr="009D4CD4">
        <w:t xml:space="preserve">La </w:t>
      </w:r>
      <w:r w:rsidR="00A7717F">
        <w:t>Caisse Régionale</w:t>
      </w:r>
      <w:r w:rsidRPr="009D4CD4">
        <w:t xml:space="preserve"> met à disposition du secteur agricole un réseau de compétences très développé, à savoir 95 conseillers dans </w:t>
      </w:r>
      <w:r w:rsidR="00C00F61">
        <w:t>les agences</w:t>
      </w:r>
      <w:r w:rsidR="00F936F5">
        <w:t xml:space="preserve">, ainsi que </w:t>
      </w:r>
      <w:r w:rsidR="008C4408">
        <w:t>8</w:t>
      </w:r>
      <w:r w:rsidR="00F936F5">
        <w:t xml:space="preserve"> c</w:t>
      </w:r>
      <w:r w:rsidRPr="009D4CD4">
        <w:t xml:space="preserve">hargés de marché </w:t>
      </w:r>
      <w:r w:rsidR="008C4408">
        <w:t>et 3</w:t>
      </w:r>
      <w:r w:rsidR="00F936F5">
        <w:t xml:space="preserve"> responsables d’antenne </w:t>
      </w:r>
      <w:r w:rsidRPr="009D4CD4">
        <w:t>sur les 4 sites administratifs, dont le rôle est de fournir un appui technique et financier aux conseillers et à leurs clients. Un programme de formation intensif de 12 jours permet l’accueil des nouveaux entrants sur le métier de conseiller sur toutes les thématiques agricoles. En complément, 30 experts en assurances réalisent des diagnostics et proposent des solutions de couverture des risques agricoles.</w:t>
      </w:r>
    </w:p>
    <w:p w14:paraId="17630FF0" w14:textId="6F11CCCE" w:rsidR="00A47B32" w:rsidRDefault="009230B6" w:rsidP="00A47B32">
      <w:pPr>
        <w:spacing w:after="0" w:line="240" w:lineRule="auto"/>
        <w:jc w:val="left"/>
      </w:pPr>
      <w:r>
        <w:t>Par ailleurs, le Centre d’affaire agricole</w:t>
      </w:r>
      <w:r w:rsidR="00F27BDA">
        <w:t xml:space="preserve"> du CANMP</w:t>
      </w:r>
      <w:r>
        <w:t>, regroupant 10 personnes, met une expertise renforcée à disposition des agriculteurs réalisant un chiffre d’affaire supérieur</w:t>
      </w:r>
      <w:r w:rsidR="007219C8">
        <w:t xml:space="preserve"> à 500K€.</w:t>
      </w:r>
    </w:p>
    <w:p w14:paraId="7A23559E" w14:textId="77777777" w:rsidR="009230B6" w:rsidRPr="009D4CD4" w:rsidRDefault="009230B6" w:rsidP="00A47B32">
      <w:pPr>
        <w:spacing w:after="0" w:line="240" w:lineRule="auto"/>
        <w:jc w:val="left"/>
      </w:pPr>
    </w:p>
    <w:p w14:paraId="78FED3FF" w14:textId="65230CC7" w:rsidR="00A52D99" w:rsidRDefault="00A52D99">
      <w:pPr>
        <w:spacing w:after="0" w:line="240" w:lineRule="auto"/>
        <w:jc w:val="left"/>
      </w:pPr>
    </w:p>
    <w:p w14:paraId="4E671592" w14:textId="1B84BD3E" w:rsidR="00A47B32" w:rsidRPr="009D4CD4" w:rsidRDefault="00A47B32" w:rsidP="00A47B32">
      <w:pPr>
        <w:spacing w:after="0" w:line="240" w:lineRule="auto"/>
      </w:pPr>
      <w:r w:rsidRPr="009D4CD4">
        <w:t>&gt; Les so</w:t>
      </w:r>
      <w:r w:rsidR="0058558C">
        <w:t>lutions de financement adaptées</w:t>
      </w:r>
    </w:p>
    <w:p w14:paraId="63B36265" w14:textId="77777777" w:rsidR="00A47B32" w:rsidRPr="009D4CD4" w:rsidRDefault="00A47B32" w:rsidP="00A47B32">
      <w:pPr>
        <w:spacing w:after="0" w:line="240" w:lineRule="auto"/>
      </w:pPr>
    </w:p>
    <w:p w14:paraId="73D2AD28" w14:textId="0CAE2702" w:rsidR="00A47B32" w:rsidRPr="009D4CD4" w:rsidRDefault="00A47B32" w:rsidP="00D259D6">
      <w:pPr>
        <w:spacing w:after="0" w:line="240" w:lineRule="auto"/>
        <w:jc w:val="left"/>
        <w:rPr>
          <w:rFonts w:ascii="Times New Roman" w:eastAsia="Times New Roman" w:hAnsi="Times New Roman"/>
          <w:sz w:val="24"/>
          <w:szCs w:val="24"/>
          <w:lang w:eastAsia="fr-FR"/>
        </w:rPr>
      </w:pPr>
      <w:r w:rsidRPr="009D4CD4">
        <w:t xml:space="preserve">Leader sur le marché de l’agriculture, le CANMP propose des solutions de financement adaptées pour accompagner tous les projets de développement des exploitations agricoles. </w:t>
      </w:r>
      <w:r w:rsidR="00B36450">
        <w:t xml:space="preserve">Ces solutions sont proposées par les conseillers.  Elles font l’objet de publications dans la presse spécialisée et en ligne. </w:t>
      </w:r>
      <w:r w:rsidRPr="009D4CD4">
        <w:t xml:space="preserve">En particulier, le CANMP accompagne les stratégies de transition ou d’adaptation portées par les agriculteurs. Pour donner plus de visibilité à cet accompagnement, la </w:t>
      </w:r>
      <w:r w:rsidR="00A7717F">
        <w:t>Caisse Régionale</w:t>
      </w:r>
      <w:r w:rsidRPr="009D4CD4">
        <w:t xml:space="preserve"> a structuré des crédits spécifiques pour l’Agriculture Biologique, pour financer le fonds de roulement, sans frais de dossier, au taux du Livret A. Par ailleurs, des dispositifs de garantie nationaux ou régionaux (</w:t>
      </w:r>
      <w:hyperlink r:id="rId16" w:history="1">
        <w:r w:rsidRPr="00672D12">
          <w:rPr>
            <w:rStyle w:val="Lienhypertexte"/>
          </w:rPr>
          <w:t>INAF</w:t>
        </w:r>
      </w:hyperlink>
      <w:r w:rsidRPr="009D4CD4">
        <w:t xml:space="preserve">, </w:t>
      </w:r>
      <w:hyperlink r:id="rId17" w:history="1">
        <w:r w:rsidRPr="00F27BDA">
          <w:rPr>
            <w:rStyle w:val="Lienhypertexte"/>
          </w:rPr>
          <w:t>FOSTER</w:t>
        </w:r>
      </w:hyperlink>
      <w:r w:rsidRPr="009D4CD4">
        <w:t>) permettent de faciliter le financement de l’Agriculture Bio.</w:t>
      </w:r>
    </w:p>
    <w:p w14:paraId="771BEBA4" w14:textId="01D5CCBD" w:rsidR="00C00337" w:rsidRPr="009D4CD4" w:rsidRDefault="00C00337" w:rsidP="00D259D6">
      <w:pPr>
        <w:spacing w:after="0" w:line="240" w:lineRule="auto"/>
        <w:jc w:val="left"/>
      </w:pPr>
      <w:r w:rsidRPr="009D4CD4">
        <w:t>Enfin</w:t>
      </w:r>
      <w:r w:rsidR="00A47B32" w:rsidRPr="009D4CD4">
        <w:t>, le CANMP propose des solutions de financement de mises à niveau des bâtiments répondant à des divers besoins, notamment : le bien-être animal ; la mise aux normes environnementale</w:t>
      </w:r>
      <w:r w:rsidRPr="009D4CD4">
        <w:t>s ; la facilitation du travail.</w:t>
      </w:r>
      <w:r w:rsidRPr="009D4CD4">
        <w:br/>
      </w:r>
    </w:p>
    <w:p w14:paraId="56B5E965" w14:textId="3287CDDC" w:rsidR="00C00337" w:rsidRPr="009D4CD4" w:rsidRDefault="00A47B32" w:rsidP="00B36450">
      <w:pPr>
        <w:spacing w:after="0" w:line="240" w:lineRule="auto"/>
        <w:jc w:val="left"/>
      </w:pPr>
      <w:r w:rsidRPr="009D4CD4">
        <w:t>&gt;</w:t>
      </w:r>
      <w:r w:rsidR="003912D6" w:rsidRPr="009D4CD4">
        <w:t xml:space="preserve"> </w:t>
      </w:r>
      <w:r w:rsidRPr="009D4CD4">
        <w:t>L’accompagnement des installations</w:t>
      </w:r>
      <w:r w:rsidR="00C00337" w:rsidRPr="009D4CD4">
        <w:br/>
      </w:r>
    </w:p>
    <w:p w14:paraId="5076AF19" w14:textId="2F5CC168" w:rsidR="00C00337" w:rsidRPr="009D4CD4" w:rsidRDefault="00A47B32" w:rsidP="00AD165B">
      <w:pPr>
        <w:spacing w:after="0" w:line="240" w:lineRule="auto"/>
        <w:jc w:val="left"/>
      </w:pPr>
      <w:r w:rsidRPr="009D4CD4">
        <w:t>Pour accompagner les installations, le CANMP mobilise l’expertise conjointe du conseiller et d’un chargé de marché. Des solutions de financement sans frais de dossier, à taux bonifié, sont susceptibles de couvrir la totalité des besoins. Le chèque JA constitue une remise sur les cotisations d’assurance Pacifica.</w:t>
      </w:r>
    </w:p>
    <w:p w14:paraId="14747459" w14:textId="77777777" w:rsidR="00AD165B" w:rsidRPr="009D4CD4" w:rsidRDefault="00AD165B" w:rsidP="00AD165B">
      <w:pPr>
        <w:spacing w:after="0" w:line="240" w:lineRule="auto"/>
        <w:jc w:val="left"/>
      </w:pPr>
    </w:p>
    <w:p w14:paraId="6D3688B2" w14:textId="70409194" w:rsidR="00A47B32" w:rsidRPr="009D4CD4" w:rsidRDefault="00A47B32" w:rsidP="00A47B32">
      <w:pPr>
        <w:spacing w:after="0" w:line="240" w:lineRule="auto"/>
      </w:pPr>
      <w:r w:rsidRPr="009D4CD4">
        <w:t>&gt;</w:t>
      </w:r>
      <w:r w:rsidR="003912D6" w:rsidRPr="009D4CD4">
        <w:t xml:space="preserve"> </w:t>
      </w:r>
      <w:r w:rsidRPr="009D4CD4">
        <w:t>L’accompagne</w:t>
      </w:r>
      <w:r w:rsidR="0058558C">
        <w:t>ment de l’agriculture de groupe</w:t>
      </w:r>
    </w:p>
    <w:p w14:paraId="6026FA1E" w14:textId="77777777" w:rsidR="00A47B32" w:rsidRPr="009D4CD4" w:rsidRDefault="00A47B32" w:rsidP="00A47B32">
      <w:pPr>
        <w:spacing w:after="0" w:line="240" w:lineRule="auto"/>
      </w:pPr>
    </w:p>
    <w:p w14:paraId="525628A4" w14:textId="77777777" w:rsidR="00A47B32" w:rsidRPr="009D4CD4" w:rsidRDefault="00A47B32" w:rsidP="00A47B32">
      <w:pPr>
        <w:spacing w:after="0" w:line="240" w:lineRule="auto"/>
        <w:jc w:val="left"/>
      </w:pPr>
      <w:r w:rsidRPr="009D4CD4">
        <w:t xml:space="preserve">Le CANMP soutient historiquement l’agriculture de groupe, avec notamment une solution de financement pour les Coopératives d’Utilisation de Matériel Agricole (CUMA), sans frais de dossier. </w:t>
      </w:r>
    </w:p>
    <w:p w14:paraId="4E61E9F4" w14:textId="713F3304" w:rsidR="00A47B32" w:rsidRPr="009D4CD4" w:rsidRDefault="00A47B32" w:rsidP="00A47B32">
      <w:pPr>
        <w:spacing w:after="0" w:line="240" w:lineRule="auto"/>
        <w:jc w:val="left"/>
      </w:pPr>
      <w:r w:rsidRPr="009D4CD4">
        <w:t xml:space="preserve">Depuis 2002, le CANMP est partenaire du Challenge CUMA organisé chaque année par les fédérations départementales des CUMA des 4 départements. L’objectif est </w:t>
      </w:r>
      <w:r w:rsidR="003912D6" w:rsidRPr="009D4CD4">
        <w:t>de promouvoir</w:t>
      </w:r>
      <w:r w:rsidRPr="009D4CD4">
        <w:t xml:space="preserve"> la coopération et les valeurs d’entraide. Des initiatives sont récompensées par un jury, sources d’inspiration pour tous, à la recherche d’idées nouvelles pour simplifier le travail, mutualiser ou optimiser les charges. </w:t>
      </w:r>
    </w:p>
    <w:p w14:paraId="1D590F55" w14:textId="77777777" w:rsidR="00A47B32" w:rsidRPr="009D4CD4" w:rsidRDefault="00A47B32" w:rsidP="00A47B32">
      <w:pPr>
        <w:spacing w:after="0" w:line="240" w:lineRule="auto"/>
        <w:jc w:val="left"/>
      </w:pPr>
    </w:p>
    <w:p w14:paraId="7CADF39C" w14:textId="1E94AD18" w:rsidR="00A47B32" w:rsidRPr="009D4CD4" w:rsidRDefault="00A47B32" w:rsidP="00A47B32">
      <w:pPr>
        <w:spacing w:after="0" w:line="240" w:lineRule="auto"/>
        <w:jc w:val="left"/>
      </w:pPr>
      <w:r w:rsidRPr="009D4CD4">
        <w:t>&gt; La prise en compte des enjeux climatiques</w:t>
      </w:r>
    </w:p>
    <w:p w14:paraId="3867AFAB" w14:textId="77777777" w:rsidR="00A47B32" w:rsidRPr="009D4CD4" w:rsidRDefault="00A47B32" w:rsidP="00A47B32">
      <w:pPr>
        <w:spacing w:after="0" w:line="240" w:lineRule="auto"/>
        <w:jc w:val="left"/>
      </w:pPr>
    </w:p>
    <w:p w14:paraId="7CCB00AB" w14:textId="372FFD2D" w:rsidR="00A47B32" w:rsidRPr="009D4CD4" w:rsidRDefault="00A47B32" w:rsidP="00A47B32">
      <w:pPr>
        <w:spacing w:after="0" w:line="240" w:lineRule="auto"/>
        <w:jc w:val="left"/>
      </w:pPr>
      <w:r w:rsidRPr="009D4CD4">
        <w:t xml:space="preserve">Pour anticiper les enjeux du dérèglement climatique, la </w:t>
      </w:r>
      <w:r w:rsidR="00A7717F">
        <w:t>Caisse Régionale</w:t>
      </w:r>
      <w:r w:rsidRPr="009D4CD4">
        <w:t xml:space="preserve"> a proposé en 2020 aux organisations professionnelles agricoles, un travail prospectif d’identification des risques auxquels seront exposés les agriculteurs à l’horizon 2035 et 2050. Pour cela, le CANMP a mobilisé l’expertise du cabinet Carbone 4 pour, en cible, établir une cartographie à l’échelle communale de la sensibilité des principaux systèmes de production aux effets du dérèglement climatique (sécheresse, élévation des températures etc.).</w:t>
      </w:r>
    </w:p>
    <w:p w14:paraId="0E41821B" w14:textId="77777777" w:rsidR="00A47B32" w:rsidRPr="009D4CD4" w:rsidRDefault="00A47B32" w:rsidP="00A47B32">
      <w:pPr>
        <w:spacing w:after="0" w:line="240" w:lineRule="auto"/>
        <w:jc w:val="left"/>
      </w:pPr>
      <w:r w:rsidRPr="009D4CD4">
        <w:t xml:space="preserve">Pour le CANMP les enjeux sont nombreux : </w:t>
      </w:r>
    </w:p>
    <w:p w14:paraId="02290AE6" w14:textId="77777777" w:rsidR="00A47B32" w:rsidRPr="009D4CD4" w:rsidRDefault="00A47B32" w:rsidP="00A47B32">
      <w:pPr>
        <w:spacing w:after="0" w:line="240" w:lineRule="auto"/>
      </w:pPr>
      <w:r w:rsidRPr="009D4CD4">
        <w:t>&gt; Accompagner les agriculteurs dans leur transition, en prenant en compte les vulnérabilités des systèmes de production face au dérèglement climatique,</w:t>
      </w:r>
    </w:p>
    <w:p w14:paraId="7B93B8CC" w14:textId="77777777" w:rsidR="00A47B32" w:rsidRPr="009D4CD4" w:rsidRDefault="00A47B32" w:rsidP="00A47B32">
      <w:pPr>
        <w:spacing w:after="0" w:line="240" w:lineRule="auto"/>
      </w:pPr>
      <w:r w:rsidRPr="009D4CD4">
        <w:t>&gt; Construire un outil d’aide à la décision pour diminuer les risques de contrepartie,</w:t>
      </w:r>
    </w:p>
    <w:p w14:paraId="6D25607F" w14:textId="77777777" w:rsidR="00A47B32" w:rsidRPr="009D4CD4" w:rsidRDefault="00A47B32" w:rsidP="00A47B32">
      <w:pPr>
        <w:spacing w:after="0" w:line="240" w:lineRule="auto"/>
      </w:pPr>
      <w:r w:rsidRPr="009D4CD4">
        <w:t>&gt; Anticiper les exigences du régulateur et l’évolution de la réglementation.</w:t>
      </w:r>
    </w:p>
    <w:p w14:paraId="1ECF3E41" w14:textId="77777777" w:rsidR="00A47B32" w:rsidRPr="009D4CD4" w:rsidRDefault="00A47B32" w:rsidP="00A47B32">
      <w:pPr>
        <w:spacing w:after="0" w:line="240" w:lineRule="auto"/>
        <w:jc w:val="left"/>
      </w:pPr>
      <w:r w:rsidRPr="009D4CD4">
        <w:t>Le CANMP a proposé aux 4 chambres d’agriculture du territoire d’être partie-prenantes du projet en fournissant notamment de l’expertise pour déterminer les indicateurs pertinents à retenir pour mesurer les risques.</w:t>
      </w:r>
    </w:p>
    <w:p w14:paraId="0F940ACC" w14:textId="43814628" w:rsidR="00A47B32" w:rsidRPr="009D4CD4" w:rsidRDefault="009A7F39" w:rsidP="00A47B32">
      <w:pPr>
        <w:spacing w:after="0" w:line="240" w:lineRule="auto"/>
        <w:jc w:val="left"/>
      </w:pPr>
      <w:r w:rsidRPr="009D4CD4">
        <w:t>Les travaux ont été conduits au dernier trimestre 2021 et seront présentés début 2022</w:t>
      </w:r>
      <w:r w:rsidR="00793786">
        <w:t>.</w:t>
      </w:r>
    </w:p>
    <w:p w14:paraId="12FA1746" w14:textId="07FF39E7" w:rsidR="00A47B32" w:rsidRPr="009D4CD4" w:rsidRDefault="00A47B32" w:rsidP="00A440E0"/>
    <w:p w14:paraId="6B123103" w14:textId="5734A94C" w:rsidR="0003278F" w:rsidRPr="009D4CD4" w:rsidRDefault="00A47B32" w:rsidP="00326D6D">
      <w:pPr>
        <w:pStyle w:val="Titre3"/>
      </w:pPr>
      <w:bookmarkStart w:id="72" w:name="_Toc96697999"/>
      <w:r w:rsidRPr="009D4CD4">
        <w:t xml:space="preserve">Accompagner les transitions </w:t>
      </w:r>
      <w:r w:rsidR="00B80F87" w:rsidRPr="009D4CD4">
        <w:t>des E</w:t>
      </w:r>
      <w:r w:rsidRPr="009D4CD4">
        <w:t>ntreprises</w:t>
      </w:r>
      <w:bookmarkEnd w:id="72"/>
    </w:p>
    <w:p w14:paraId="5DCEC8EE" w14:textId="4FB5B2B0" w:rsidR="00A47B32" w:rsidRPr="009D4CD4" w:rsidRDefault="00A47B32" w:rsidP="00A47B32">
      <w:pPr>
        <w:pStyle w:val="Titre4"/>
      </w:pPr>
      <w:bookmarkStart w:id="73" w:name="_Toc96698000"/>
      <w:r w:rsidRPr="009D4CD4">
        <w:t xml:space="preserve">Accompagner les démarches RSE des </w:t>
      </w:r>
      <w:r w:rsidR="00212040" w:rsidRPr="009D4CD4">
        <w:t>Entreprises</w:t>
      </w:r>
      <w:bookmarkEnd w:id="73"/>
    </w:p>
    <w:p w14:paraId="37CF1D98" w14:textId="39F62FC6" w:rsidR="00A47B32" w:rsidRPr="009D4CD4" w:rsidRDefault="00A47B32" w:rsidP="003E0220">
      <w:pPr>
        <w:autoSpaceDE w:val="0"/>
        <w:autoSpaceDN w:val="0"/>
        <w:spacing w:after="0" w:line="240" w:lineRule="auto"/>
        <w:jc w:val="left"/>
        <w:rPr>
          <w:rFonts w:asciiTheme="minorHAnsi" w:hAnsiTheme="minorHAnsi"/>
          <w:color w:val="000000"/>
        </w:rPr>
      </w:pPr>
      <w:r w:rsidRPr="009D4CD4">
        <w:rPr>
          <w:rFonts w:asciiTheme="minorHAnsi" w:hAnsiTheme="minorHAnsi"/>
          <w:color w:val="000000"/>
        </w:rPr>
        <w:t>Le CANMP souhaite accompagner les entreprises dans leur démarche RSE</w:t>
      </w:r>
      <w:r w:rsidR="003E0220" w:rsidRPr="009D4CD4">
        <w:rPr>
          <w:rFonts w:asciiTheme="minorHAnsi" w:hAnsiTheme="minorHAnsi"/>
          <w:color w:val="000000"/>
        </w:rPr>
        <w:t xml:space="preserve">. En effet, </w:t>
      </w:r>
      <w:r w:rsidRPr="009D4CD4">
        <w:rPr>
          <w:rFonts w:asciiTheme="minorHAnsi" w:hAnsiTheme="minorHAnsi"/>
          <w:color w:val="000000"/>
        </w:rPr>
        <w:t>celles qui mettent en œuvre la RSE dans leur stratégie et dans leurs actions, ont des niveaux de performance plus élevés que les autres</w:t>
      </w:r>
      <w:r w:rsidRPr="009D4CD4">
        <w:rPr>
          <w:rStyle w:val="Appelnotedebasdep"/>
          <w:rFonts w:asciiTheme="minorHAnsi" w:hAnsiTheme="minorHAnsi"/>
          <w:color w:val="000000"/>
        </w:rPr>
        <w:footnoteReference w:id="6"/>
      </w:r>
      <w:r w:rsidRPr="009D4CD4">
        <w:rPr>
          <w:rFonts w:asciiTheme="minorHAnsi" w:hAnsiTheme="minorHAnsi"/>
          <w:color w:val="000000"/>
        </w:rPr>
        <w:t xml:space="preserve">. Les bénéfices de la RSE sont </w:t>
      </w:r>
      <w:r w:rsidR="00672D12">
        <w:rPr>
          <w:rFonts w:asciiTheme="minorHAnsi" w:hAnsiTheme="minorHAnsi"/>
          <w:color w:val="000000"/>
        </w:rPr>
        <w:t xml:space="preserve">en effet </w:t>
      </w:r>
      <w:r w:rsidRPr="009D4CD4">
        <w:rPr>
          <w:rFonts w:asciiTheme="minorHAnsi" w:hAnsiTheme="minorHAnsi"/>
          <w:color w:val="000000"/>
        </w:rPr>
        <w:t xml:space="preserve">importants </w:t>
      </w:r>
      <w:r w:rsidR="00672D12">
        <w:rPr>
          <w:rFonts w:asciiTheme="minorHAnsi" w:hAnsiTheme="minorHAnsi"/>
          <w:color w:val="000000"/>
        </w:rPr>
        <w:t xml:space="preserve">du point de vue du CANMP </w:t>
      </w:r>
      <w:r w:rsidRPr="009D4CD4">
        <w:rPr>
          <w:rFonts w:asciiTheme="minorHAnsi" w:hAnsiTheme="minorHAnsi"/>
          <w:color w:val="000000"/>
        </w:rPr>
        <w:t>: au niveau économique (</w:t>
      </w:r>
      <w:r w:rsidR="003E0220" w:rsidRPr="009D4CD4">
        <w:rPr>
          <w:rFonts w:asciiTheme="minorHAnsi" w:hAnsiTheme="minorHAnsi"/>
          <w:color w:val="000000"/>
        </w:rPr>
        <w:t xml:space="preserve">acteurs retenus dans les </w:t>
      </w:r>
      <w:r w:rsidRPr="009D4CD4">
        <w:rPr>
          <w:rFonts w:asciiTheme="minorHAnsi" w:hAnsiTheme="minorHAnsi"/>
          <w:color w:val="000000"/>
        </w:rPr>
        <w:t xml:space="preserve">appels d’offres, </w:t>
      </w:r>
      <w:r w:rsidR="003E0220" w:rsidRPr="009D4CD4">
        <w:rPr>
          <w:rFonts w:asciiTheme="minorHAnsi" w:hAnsiTheme="minorHAnsi"/>
          <w:color w:val="000000"/>
        </w:rPr>
        <w:t xml:space="preserve">accès à de </w:t>
      </w:r>
      <w:r w:rsidRPr="009D4CD4">
        <w:rPr>
          <w:rFonts w:asciiTheme="minorHAnsi" w:hAnsiTheme="minorHAnsi"/>
          <w:color w:val="000000"/>
        </w:rPr>
        <w:t xml:space="preserve">nouveaux marchés, </w:t>
      </w:r>
      <w:r w:rsidR="003E0220" w:rsidRPr="009D4CD4">
        <w:rPr>
          <w:rFonts w:asciiTheme="minorHAnsi" w:hAnsiTheme="minorHAnsi"/>
          <w:color w:val="000000"/>
        </w:rPr>
        <w:t xml:space="preserve">reconnaissance des </w:t>
      </w:r>
      <w:r w:rsidRPr="009D4CD4">
        <w:rPr>
          <w:rFonts w:asciiTheme="minorHAnsi" w:hAnsiTheme="minorHAnsi"/>
          <w:color w:val="000000"/>
        </w:rPr>
        <w:t>certifications et labels…) ; au niveau environnemental (économie de charges et d</w:t>
      </w:r>
      <w:r w:rsidR="003E0220" w:rsidRPr="009D4CD4">
        <w:rPr>
          <w:rFonts w:asciiTheme="minorHAnsi" w:hAnsiTheme="minorHAnsi"/>
          <w:color w:val="000000"/>
        </w:rPr>
        <w:t>’émission de gaz à effet de serre</w:t>
      </w:r>
      <w:r w:rsidRPr="009D4CD4">
        <w:rPr>
          <w:rFonts w:asciiTheme="minorHAnsi" w:hAnsiTheme="minorHAnsi"/>
          <w:color w:val="000000"/>
        </w:rPr>
        <w:t>, anticipation des risques</w:t>
      </w:r>
      <w:r w:rsidR="003E0220" w:rsidRPr="009D4CD4">
        <w:rPr>
          <w:rFonts w:asciiTheme="minorHAnsi" w:hAnsiTheme="minorHAnsi"/>
          <w:color w:val="000000"/>
        </w:rPr>
        <w:t>…)</w:t>
      </w:r>
      <w:r w:rsidRPr="009D4CD4">
        <w:rPr>
          <w:rFonts w:asciiTheme="minorHAnsi" w:hAnsiTheme="minorHAnsi"/>
          <w:color w:val="000000"/>
        </w:rPr>
        <w:t xml:space="preserve"> ; au niveau sociétal (reconnaissance sur le marché, </w:t>
      </w:r>
      <w:r w:rsidR="003E0220" w:rsidRPr="009D4CD4">
        <w:rPr>
          <w:rFonts w:asciiTheme="minorHAnsi" w:hAnsiTheme="minorHAnsi"/>
          <w:color w:val="000000"/>
        </w:rPr>
        <w:t xml:space="preserve">éléments de réponse à la </w:t>
      </w:r>
      <w:r w:rsidRPr="009D4CD4">
        <w:rPr>
          <w:rFonts w:asciiTheme="minorHAnsi" w:hAnsiTheme="minorHAnsi"/>
          <w:color w:val="000000"/>
        </w:rPr>
        <w:t xml:space="preserve">pression des clients, image et réputation) ; au niveau social (attractivité employeur, motivation des salariés). </w:t>
      </w:r>
      <w:r w:rsidR="003E0220" w:rsidRPr="009D4CD4">
        <w:rPr>
          <w:rFonts w:asciiTheme="minorHAnsi" w:hAnsiTheme="minorHAnsi"/>
          <w:color w:val="000000"/>
        </w:rPr>
        <w:t>D’ailleurs</w:t>
      </w:r>
      <w:r w:rsidRPr="009D4CD4">
        <w:rPr>
          <w:rFonts w:asciiTheme="minorHAnsi" w:hAnsiTheme="minorHAnsi"/>
          <w:color w:val="000000"/>
        </w:rPr>
        <w:t>, la Banque de France intègre</w:t>
      </w:r>
      <w:r w:rsidR="003E0220" w:rsidRPr="009D4CD4">
        <w:rPr>
          <w:rFonts w:asciiTheme="minorHAnsi" w:hAnsiTheme="minorHAnsi"/>
          <w:color w:val="000000"/>
        </w:rPr>
        <w:t xml:space="preserve"> désormais</w:t>
      </w:r>
      <w:r w:rsidRPr="009D4CD4">
        <w:rPr>
          <w:rFonts w:asciiTheme="minorHAnsi" w:hAnsiTheme="minorHAnsi"/>
          <w:color w:val="000000"/>
        </w:rPr>
        <w:t xml:space="preserve"> dans ses analyses la maturité de la performance RSE des entreprises. </w:t>
      </w:r>
    </w:p>
    <w:p w14:paraId="40D11C6E" w14:textId="6709928D" w:rsidR="00677357" w:rsidRPr="00A52D99" w:rsidRDefault="00212040" w:rsidP="00A52D99">
      <w:pPr>
        <w:autoSpaceDE w:val="0"/>
        <w:autoSpaceDN w:val="0"/>
        <w:spacing w:after="0" w:line="240" w:lineRule="auto"/>
        <w:rPr>
          <w:rFonts w:asciiTheme="minorHAnsi" w:hAnsiTheme="minorHAnsi"/>
        </w:rPr>
      </w:pPr>
      <w:r w:rsidRPr="009D4CD4">
        <w:rPr>
          <w:rFonts w:asciiTheme="minorHAnsi" w:hAnsiTheme="minorHAnsi"/>
          <w:color w:val="000000"/>
        </w:rPr>
        <w:t xml:space="preserve">C’est pourquoi le </w:t>
      </w:r>
      <w:r w:rsidR="00A47B32" w:rsidRPr="009D4CD4">
        <w:rPr>
          <w:rFonts w:asciiTheme="minorHAnsi" w:hAnsiTheme="minorHAnsi"/>
          <w:color w:val="000000"/>
        </w:rPr>
        <w:t xml:space="preserve">CANMP propose aux clients Entreprises d’aborder 12 thèmes RSE </w:t>
      </w:r>
      <w:r w:rsidR="003E0220" w:rsidRPr="009D4CD4">
        <w:rPr>
          <w:rFonts w:asciiTheme="minorHAnsi" w:hAnsiTheme="minorHAnsi"/>
          <w:color w:val="000000"/>
        </w:rPr>
        <w:t>au cours des entretiens conduits</w:t>
      </w:r>
      <w:r w:rsidR="00A47B32" w:rsidRPr="009D4CD4">
        <w:rPr>
          <w:rFonts w:asciiTheme="minorHAnsi" w:hAnsiTheme="minorHAnsi"/>
          <w:color w:val="000000"/>
        </w:rPr>
        <w:t xml:space="preserve"> par les Chargés d’Affaires. Ces thèmes concernent les 3 piliers de l’analyse ESG : E pour environnement, S pour sociétal et G pour Gouvernance. </w:t>
      </w:r>
      <w:r w:rsidR="003E0220" w:rsidRPr="009D4CD4">
        <w:rPr>
          <w:color w:val="000000"/>
        </w:rPr>
        <w:t>Cette démarche a pour objectif premier de sensibiliser les entreprises sur la démarche RSE et de situer leur niveau de maturité sur le sujet à un moment donné. L’intérêt est de poursuivre ce type d’entretiens régulièrement et d’évaluer la progression de l’entreprise dans le temps. Le dispositif d’analyse ESG a été démultiplié auprès de tous les Chargés d’Affaires</w:t>
      </w:r>
      <w:r w:rsidR="003E0220" w:rsidRPr="009D4CD4">
        <w:t>.</w:t>
      </w:r>
      <w:r w:rsidR="00CE286C" w:rsidRPr="009D4CD4">
        <w:t xml:space="preserve"> En 2021, les entretiens RSE</w:t>
      </w:r>
      <w:r w:rsidR="00E92833" w:rsidRPr="009D4CD4">
        <w:t xml:space="preserve"> </w:t>
      </w:r>
      <w:r w:rsidR="00CE286C" w:rsidRPr="009D4CD4">
        <w:t>ont été conduits dans 29,</w:t>
      </w:r>
      <w:r w:rsidR="003E0220" w:rsidRPr="009D4CD4">
        <w:t xml:space="preserve">6 % </w:t>
      </w:r>
      <w:r w:rsidR="00CE286C" w:rsidRPr="009D4CD4">
        <w:t>des entreprises clientes.</w:t>
      </w:r>
    </w:p>
    <w:p w14:paraId="7A5EF551" w14:textId="4EC042D7" w:rsidR="00A47B32" w:rsidRPr="009D4CD4" w:rsidRDefault="004C03A0" w:rsidP="00A47B32">
      <w:pPr>
        <w:pStyle w:val="Titre4"/>
      </w:pPr>
      <w:bookmarkStart w:id="74" w:name="_Toc96698001"/>
      <w:r w:rsidRPr="009D4CD4">
        <w:t xml:space="preserve">La cellule d’expertise </w:t>
      </w:r>
      <w:r w:rsidR="00A47B32" w:rsidRPr="009D4CD4">
        <w:t>dédié</w:t>
      </w:r>
      <w:r w:rsidRPr="009D4CD4">
        <w:t>e</w:t>
      </w:r>
      <w:r w:rsidR="00A47B32" w:rsidRPr="009D4CD4">
        <w:t xml:space="preserve"> à la Transition Energétique</w:t>
      </w:r>
      <w:bookmarkEnd w:id="74"/>
    </w:p>
    <w:p w14:paraId="40468365" w14:textId="77777777" w:rsidR="005622FC" w:rsidRPr="009D4CD4" w:rsidRDefault="005622FC" w:rsidP="005622FC">
      <w:pPr>
        <w:spacing w:after="0" w:line="240" w:lineRule="auto"/>
        <w:jc w:val="left"/>
        <w:rPr>
          <w:strike/>
        </w:rPr>
      </w:pPr>
      <w:r w:rsidRPr="009D4CD4">
        <w:t xml:space="preserve">Cette unité a pour objectif d’accompagner les clients des marchés spécialisés dans leur projet de transition énergétique. Elle concentre de l’expertise tant dans le domaine des énergies renouvelables que de l’efficacité énergétique. D’autres sujets seront intégrés ultérieurement, comme celui des mobilités douces. Le champ d’actions porte également sur les modèles de distribution des solutions proposées aux clients.  </w:t>
      </w:r>
    </w:p>
    <w:p w14:paraId="6C2BA06A" w14:textId="77777777" w:rsidR="005622FC" w:rsidRPr="009D4CD4" w:rsidRDefault="005622FC" w:rsidP="005622FC">
      <w:pPr>
        <w:spacing w:after="0" w:line="240" w:lineRule="auto"/>
        <w:jc w:val="left"/>
      </w:pPr>
    </w:p>
    <w:p w14:paraId="60B603D5" w14:textId="77777777" w:rsidR="005622FC" w:rsidRPr="009D4CD4" w:rsidRDefault="005622FC" w:rsidP="005622FC">
      <w:pPr>
        <w:spacing w:after="0" w:line="240" w:lineRule="auto"/>
        <w:jc w:val="left"/>
        <w:rPr>
          <w:rFonts w:cs="Arial"/>
        </w:rPr>
      </w:pPr>
      <w:r w:rsidRPr="009D4CD4">
        <w:rPr>
          <w:rFonts w:cs="Arial"/>
        </w:rPr>
        <w:t xml:space="preserve">Constituée à l’automne 2021, la cellule Transition Energétique a concentré son action sur les chantiers suivants : </w:t>
      </w:r>
    </w:p>
    <w:p w14:paraId="41BDF000" w14:textId="30253212" w:rsidR="005622FC" w:rsidRPr="009D4CD4" w:rsidRDefault="005622FC" w:rsidP="005622FC">
      <w:pPr>
        <w:spacing w:after="0" w:line="240" w:lineRule="auto"/>
        <w:jc w:val="left"/>
        <w:rPr>
          <w:rFonts w:cs="Arial"/>
        </w:rPr>
      </w:pPr>
      <w:r w:rsidRPr="009D4CD4">
        <w:rPr>
          <w:rFonts w:cs="Arial"/>
        </w:rPr>
        <w:t>&gt;Intensification du déploiement du guide d’entretien sur la démarche RSE auprès des Chargés d’Affaires Entreprises afin de permettre une meilleure appropriation de la démarche et un plus large déploiement auprès de la clientèle Entreprises,</w:t>
      </w:r>
    </w:p>
    <w:p w14:paraId="2EACFFE0" w14:textId="74C161BD" w:rsidR="005622FC" w:rsidRPr="009D4CD4" w:rsidRDefault="005622FC" w:rsidP="005622FC">
      <w:pPr>
        <w:spacing w:after="0" w:line="240" w:lineRule="auto"/>
        <w:jc w:val="left"/>
        <w:rPr>
          <w:rFonts w:cs="Arial"/>
        </w:rPr>
      </w:pPr>
      <w:r w:rsidRPr="009D4CD4">
        <w:rPr>
          <w:rFonts w:cs="Arial"/>
        </w:rPr>
        <w:t xml:space="preserve">&gt;Recensement des acteurs du territoire et des démarches déjà existantes sur la Transition Energétique tant interne qu’externe avec pour objectif de connaître le marché, et d’optimiser le positionnement de la </w:t>
      </w:r>
      <w:r w:rsidR="00A7717F">
        <w:rPr>
          <w:rFonts w:cs="Arial"/>
        </w:rPr>
        <w:t>Caisse Régionale</w:t>
      </w:r>
      <w:r w:rsidRPr="009D4CD4">
        <w:rPr>
          <w:rFonts w:cs="Arial"/>
        </w:rPr>
        <w:t>,</w:t>
      </w:r>
    </w:p>
    <w:p w14:paraId="605FDC63" w14:textId="2C801C51" w:rsidR="005622FC" w:rsidRPr="009D4CD4" w:rsidRDefault="005622FC" w:rsidP="005622FC">
      <w:pPr>
        <w:spacing w:after="0" w:line="240" w:lineRule="auto"/>
        <w:jc w:val="left"/>
        <w:rPr>
          <w:rFonts w:cs="Arial"/>
        </w:rPr>
      </w:pPr>
      <w:r w:rsidRPr="009D4CD4">
        <w:rPr>
          <w:rFonts w:cs="Arial"/>
        </w:rPr>
        <w:t>&gt;Réflexions sur les sujets de l’autoconsommation photovoltaïque afin de développer une offre de service,</w:t>
      </w:r>
    </w:p>
    <w:p w14:paraId="7BC8FE39" w14:textId="20B781E9" w:rsidR="005622FC" w:rsidRPr="009D4CD4" w:rsidRDefault="005622FC" w:rsidP="005622FC">
      <w:pPr>
        <w:spacing w:after="0" w:line="240" w:lineRule="auto"/>
        <w:jc w:val="left"/>
        <w:rPr>
          <w:rFonts w:cs="Arial"/>
        </w:rPr>
      </w:pPr>
      <w:r w:rsidRPr="009D4CD4">
        <w:rPr>
          <w:rFonts w:cs="Arial"/>
        </w:rPr>
        <w:t>&gt;Lancement du « Club Transition Energétique NMP » réunissant un référent par marché dans le but de partager des connaissances, de l’information et des problématiques rencontrées sur le thème de la Transition Energétique,</w:t>
      </w:r>
    </w:p>
    <w:p w14:paraId="68CDB9D4" w14:textId="12EB0F55" w:rsidR="005622FC" w:rsidRPr="009D4CD4" w:rsidRDefault="005622FC" w:rsidP="005622FC">
      <w:pPr>
        <w:spacing w:after="0" w:line="240" w:lineRule="auto"/>
        <w:jc w:val="left"/>
        <w:rPr>
          <w:rFonts w:cs="Arial"/>
        </w:rPr>
      </w:pPr>
      <w:r w:rsidRPr="009D4CD4">
        <w:rPr>
          <w:rFonts w:cs="Arial"/>
        </w:rPr>
        <w:t>&gt;Réflexion sur le lancement d’une offre de financement TE.</w:t>
      </w:r>
    </w:p>
    <w:p w14:paraId="74E2B144" w14:textId="1BD5FA9B" w:rsidR="00A47B32" w:rsidRPr="009D4CD4" w:rsidRDefault="00A47B32" w:rsidP="00A47B32">
      <w:pPr>
        <w:pStyle w:val="Titre4"/>
      </w:pPr>
      <w:bookmarkStart w:id="75" w:name="_Toc96698002"/>
      <w:r w:rsidRPr="009D4CD4">
        <w:t>Les solutions de financement de la TE</w:t>
      </w:r>
      <w:bookmarkEnd w:id="75"/>
    </w:p>
    <w:p w14:paraId="427A6805" w14:textId="77777777" w:rsidR="00ED68D7" w:rsidRPr="009D4CD4" w:rsidRDefault="00ED68D7" w:rsidP="00ED68D7">
      <w:pPr>
        <w:spacing w:after="0" w:line="240" w:lineRule="auto"/>
        <w:jc w:val="left"/>
      </w:pPr>
      <w:r w:rsidRPr="009D4CD4">
        <w:t>Comme sur les autres Marchés, le CANMP propose des prêts pour le financement des projets dans le domaine de la transition énergétique (énergies renouvelables, efficacité énergétique etc…) :</w:t>
      </w:r>
    </w:p>
    <w:p w14:paraId="6CF56A92" w14:textId="77777777" w:rsidR="00ED68D7" w:rsidRPr="009D4CD4" w:rsidRDefault="00ED68D7" w:rsidP="00ED68D7">
      <w:pPr>
        <w:spacing w:after="0" w:line="240" w:lineRule="auto"/>
        <w:jc w:val="left"/>
      </w:pPr>
      <w:r w:rsidRPr="009D4CD4">
        <w:br/>
        <w:t xml:space="preserve">&gt; Le Prêt Vert permet de financer à long moyen terme les investissements liés : </w:t>
      </w:r>
    </w:p>
    <w:p w14:paraId="1E0657C8" w14:textId="77777777" w:rsidR="00ED68D7" w:rsidRPr="009D4CD4" w:rsidRDefault="00ED68D7" w:rsidP="00ED68D7">
      <w:pPr>
        <w:spacing w:after="0" w:line="240" w:lineRule="auto"/>
        <w:jc w:val="left"/>
      </w:pPr>
      <w:r w:rsidRPr="009D4CD4">
        <w:t>- à la mobilité verte (véhicules électriques, hybrides rechargeables, hydrogènes et ceux à faible émission de CO2),</w:t>
      </w:r>
      <w:r w:rsidRPr="009D4CD4">
        <w:br/>
        <w:t xml:space="preserve">- aux projets de réduction de la consommation d’énergie ou d’amélioration de l’efficience énergétique (financement des diagnostics énergétiques, relamping, les réseaux de chaleur, l’isolation des bâtiment, …), </w:t>
      </w:r>
    </w:p>
    <w:p w14:paraId="74624721" w14:textId="77777777" w:rsidR="00ED68D7" w:rsidRPr="009D4CD4" w:rsidRDefault="00ED68D7" w:rsidP="00ED68D7">
      <w:pPr>
        <w:spacing w:after="0" w:line="240" w:lineRule="auto"/>
        <w:jc w:val="left"/>
      </w:pPr>
      <w:r w:rsidRPr="009D4CD4">
        <w:t xml:space="preserve">- aux projets favorisant le recyclage et la valorisation des matériaux. </w:t>
      </w:r>
    </w:p>
    <w:p w14:paraId="794FB505" w14:textId="77777777" w:rsidR="00ED68D7" w:rsidRPr="009D4CD4" w:rsidRDefault="00ED68D7" w:rsidP="00ED68D7">
      <w:pPr>
        <w:spacing w:after="0" w:line="240" w:lineRule="auto"/>
        <w:jc w:val="left"/>
      </w:pPr>
      <w:r w:rsidRPr="009D4CD4">
        <w:t>Le Prêt Vert , d’un montant maximum de 100 k€ bénéficie d’une bonification de taux et de frais de dossier réduits.</w:t>
      </w:r>
    </w:p>
    <w:p w14:paraId="01E080B9" w14:textId="77777777" w:rsidR="00ED68D7" w:rsidRPr="009D4CD4" w:rsidRDefault="00ED68D7" w:rsidP="00ED68D7">
      <w:pPr>
        <w:spacing w:after="0" w:line="240" w:lineRule="auto"/>
        <w:jc w:val="left"/>
      </w:pPr>
    </w:p>
    <w:p w14:paraId="1CB6EF15" w14:textId="6012AC68" w:rsidR="00ED68D7" w:rsidRPr="009D4CD4" w:rsidRDefault="00ED68D7" w:rsidP="00ED68D7">
      <w:pPr>
        <w:spacing w:after="0" w:line="240" w:lineRule="auto"/>
        <w:jc w:val="left"/>
      </w:pPr>
      <w:r w:rsidRPr="009D4CD4">
        <w:t>&gt; L’offre « Green Solutions » développée par Crédit Agricole Leasing et Factoring permet de financer en crédit-bail les projets d’autoconsommation photovoltaïque, de relamping et de mobilité verte.</w:t>
      </w:r>
      <w:r w:rsidRPr="009D4CD4">
        <w:br/>
      </w:r>
      <w:r w:rsidRPr="009D4CD4">
        <w:rPr>
          <w:color w:val="323E4F"/>
        </w:rPr>
        <w:br/>
        <w:t xml:space="preserve">&gt; Sur les projets de </w:t>
      </w:r>
      <w:r w:rsidRPr="009D4CD4">
        <w:t xml:space="preserve">taille </w:t>
      </w:r>
      <w:r w:rsidRPr="009D4CD4">
        <w:rPr>
          <w:color w:val="323E4F"/>
        </w:rPr>
        <w:t xml:space="preserve">plus </w:t>
      </w:r>
      <w:r w:rsidRPr="009D4CD4">
        <w:t xml:space="preserve">conséquente, la </w:t>
      </w:r>
      <w:r w:rsidR="00A7717F">
        <w:t>Caisse Régionale</w:t>
      </w:r>
      <w:r w:rsidRPr="009D4CD4">
        <w:t xml:space="preserve"> intervient en co-financement ou en syndication</w:t>
      </w:r>
      <w:r w:rsidRPr="009D4CD4">
        <w:rPr>
          <w:color w:val="323E4F"/>
        </w:rPr>
        <w:t xml:space="preserve"> avec Uni</w:t>
      </w:r>
      <w:r w:rsidRPr="009D4CD4">
        <w:t>fergie, filiale d</w:t>
      </w:r>
      <w:r w:rsidRPr="009D4CD4">
        <w:rPr>
          <w:color w:val="323E4F"/>
        </w:rPr>
        <w:t>e</w:t>
      </w:r>
      <w:r w:rsidRPr="009D4CD4">
        <w:t xml:space="preserve"> Crédit Agricole Leasing et Factoring spécialisée dans le financement de la transition énergétique, les énergies renouvelables (biomasse, éolien, photovoltaïque, etc.), la performance énergétique (cogénération, éclairage public, réhabilitation de bâtiments, réseaux de chaleur, équipements énergétiques) et l’environnement. </w:t>
      </w:r>
    </w:p>
    <w:p w14:paraId="013376AC" w14:textId="592F16CB" w:rsidR="00A47B32" w:rsidRPr="009D4CD4" w:rsidRDefault="00A47B32" w:rsidP="00A47B32">
      <w:pPr>
        <w:pStyle w:val="Titre4"/>
      </w:pPr>
      <w:bookmarkStart w:id="76" w:name="_Toc96698003"/>
      <w:r w:rsidRPr="009D4CD4">
        <w:t>L’apport en fonds propres sur les projets de Transition Energétique.</w:t>
      </w:r>
      <w:bookmarkEnd w:id="76"/>
      <w:r w:rsidR="00B80F87" w:rsidRPr="009D4CD4">
        <w:t xml:space="preserve"> </w:t>
      </w:r>
    </w:p>
    <w:p w14:paraId="2E5C62E7" w14:textId="3360C576" w:rsidR="00A47B32" w:rsidRPr="009D4CD4" w:rsidRDefault="00A47B32" w:rsidP="00A47B32">
      <w:pPr>
        <w:pStyle w:val="xmsonormal"/>
        <w:spacing w:before="0" w:beforeAutospacing="0" w:after="0" w:afterAutospacing="0"/>
        <w:rPr>
          <w:rFonts w:ascii="Calibri" w:hAnsi="Calibri" w:cs="Calibri"/>
          <w:color w:val="212121"/>
          <w:sz w:val="22"/>
          <w:szCs w:val="22"/>
        </w:rPr>
      </w:pPr>
      <w:r w:rsidRPr="009D4CD4">
        <w:rPr>
          <w:rFonts w:ascii="Calibri" w:hAnsi="Calibri" w:cs="Calibri"/>
          <w:color w:val="212121"/>
          <w:sz w:val="22"/>
          <w:szCs w:val="22"/>
        </w:rPr>
        <w:t>Outre son activité de financement, le Crédit Agricole Nord Midi-Pyrénées accompagne les entreprises portant des projets de production d’énergie renouvelable, par l’apport en fonds propres, au travers d’AREC Production (ex Midi-Pyrénées Energie Investissement). Créée en 2013, cette structure dédiée au financement de projets de production d’énergie renouvelable a évolué en 2019. La Région Occitanie, dans le cadre du plan REPOS 2050 (Région à Energie Positive) a renforcé les moyens de MPEI devenue AREC Production (Agence Régionale de l'Energie et du Climat) et la Caisse des Dépôts, les Caisses régionales de Crédit Agricole Nord Midi-Pyrénées, Toulouse 31, Pyrénées Gascogne, Languedoc Roussillon et Sud Méditerranée, ainsi que la Caisse d’Epargne Midi-Pyrénées et la Banque Populaire ont participé à cette augmentation de capital. Parallèlement, une structure dédiée à l'innovation en matière d'ENR a été créée (AREC Innovation), avec le concours des mêmes actionnaires.</w:t>
      </w:r>
    </w:p>
    <w:p w14:paraId="294AF729" w14:textId="77777777" w:rsidR="00A47B32" w:rsidRPr="009D4CD4" w:rsidRDefault="00A47B32" w:rsidP="00A47B32">
      <w:pPr>
        <w:pStyle w:val="xmsonormal"/>
        <w:spacing w:before="0" w:beforeAutospacing="0" w:after="0" w:afterAutospacing="0"/>
        <w:rPr>
          <w:rFonts w:ascii="Calibri" w:hAnsi="Calibri" w:cs="Calibri"/>
          <w:color w:val="212121"/>
          <w:sz w:val="22"/>
          <w:szCs w:val="22"/>
        </w:rPr>
      </w:pPr>
      <w:r w:rsidRPr="009D4CD4">
        <w:rPr>
          <w:rFonts w:ascii="Calibri" w:hAnsi="Calibri" w:cs="Calibri"/>
          <w:color w:val="212121"/>
          <w:sz w:val="22"/>
          <w:szCs w:val="22"/>
        </w:rPr>
        <w:t>Aujourd'hui, AREC Production et AREC Innovation apportent des fonds propres pour entrer au capital des sociétés dédiées, produisant toute énergie renouvelable (solaire, bois énergie, méthanisation, géothermie etc.).</w:t>
      </w:r>
    </w:p>
    <w:p w14:paraId="3BF8AA90" w14:textId="77777777" w:rsidR="00A47B32" w:rsidRPr="009D4CD4" w:rsidRDefault="00A47B32" w:rsidP="00A47B32">
      <w:pPr>
        <w:pStyle w:val="xmsonormal"/>
        <w:spacing w:before="0" w:beforeAutospacing="0" w:after="0" w:afterAutospacing="0"/>
        <w:rPr>
          <w:rFonts w:ascii="Calibri" w:hAnsi="Calibri" w:cs="Calibri"/>
          <w:color w:val="212121"/>
          <w:sz w:val="22"/>
          <w:szCs w:val="22"/>
        </w:rPr>
      </w:pPr>
    </w:p>
    <w:p w14:paraId="5D38DB46" w14:textId="422DF87B" w:rsidR="00A47B32" w:rsidRPr="009D4CD4" w:rsidRDefault="00A47B32" w:rsidP="00A47B32">
      <w:pPr>
        <w:pStyle w:val="xmsonormal"/>
        <w:spacing w:before="0" w:beforeAutospacing="0" w:after="0" w:afterAutospacing="0"/>
        <w:rPr>
          <w:rFonts w:ascii="Calibri" w:hAnsi="Calibri" w:cs="Calibri"/>
          <w:color w:val="212121"/>
          <w:sz w:val="22"/>
          <w:szCs w:val="22"/>
        </w:rPr>
      </w:pPr>
      <w:r w:rsidRPr="009D4CD4">
        <w:rPr>
          <w:rFonts w:ascii="Calibri" w:hAnsi="Calibri" w:cs="Calibri"/>
          <w:color w:val="212121"/>
          <w:sz w:val="22"/>
          <w:szCs w:val="22"/>
        </w:rPr>
        <w:t xml:space="preserve">Par ailleurs, NMP Développement, filiale de Capital Investissement de la </w:t>
      </w:r>
      <w:r w:rsidR="00A7717F">
        <w:rPr>
          <w:rFonts w:ascii="Calibri" w:hAnsi="Calibri" w:cs="Calibri"/>
          <w:color w:val="212121"/>
          <w:sz w:val="22"/>
          <w:szCs w:val="22"/>
        </w:rPr>
        <w:t>Caisse Régionale</w:t>
      </w:r>
      <w:r w:rsidRPr="009D4CD4">
        <w:rPr>
          <w:rFonts w:ascii="Calibri" w:hAnsi="Calibri" w:cs="Calibri"/>
          <w:color w:val="212121"/>
          <w:sz w:val="22"/>
          <w:szCs w:val="22"/>
        </w:rPr>
        <w:t>, a pour mission d’accompagner les entrepreneurs du territoire dans leurs projets de développement, transmission et innovation, tous secteurs d’activités confondus. En 202</w:t>
      </w:r>
      <w:r w:rsidR="00BD58D0" w:rsidRPr="009D4CD4">
        <w:rPr>
          <w:rFonts w:ascii="Calibri" w:hAnsi="Calibri" w:cs="Calibri"/>
          <w:color w:val="212121"/>
          <w:sz w:val="22"/>
          <w:szCs w:val="22"/>
        </w:rPr>
        <w:t>1</w:t>
      </w:r>
      <w:r w:rsidRPr="009D4CD4">
        <w:rPr>
          <w:rFonts w:ascii="Calibri" w:hAnsi="Calibri" w:cs="Calibri"/>
          <w:color w:val="212121"/>
          <w:sz w:val="22"/>
          <w:szCs w:val="22"/>
        </w:rPr>
        <w:t>, NMP Développement a pris une nouvelle participation chez Amarenco Solar Limited, développeur et constructeur de centrales photovoltaïques.</w:t>
      </w:r>
    </w:p>
    <w:p w14:paraId="2223A967" w14:textId="6DBCA857" w:rsidR="008953FB" w:rsidRPr="009D4CD4" w:rsidRDefault="00A47B32" w:rsidP="00677357">
      <w:pPr>
        <w:pStyle w:val="xmsonormal"/>
        <w:spacing w:before="0" w:beforeAutospacing="0" w:after="0" w:afterAutospacing="0"/>
      </w:pPr>
      <w:r w:rsidRPr="009D4CD4">
        <w:rPr>
          <w:rFonts w:ascii="Calibri" w:hAnsi="Calibri" w:cs="Calibri"/>
          <w:color w:val="212121"/>
          <w:sz w:val="22"/>
          <w:szCs w:val="22"/>
        </w:rPr>
        <w:t> </w:t>
      </w:r>
    </w:p>
    <w:p w14:paraId="0444C65D" w14:textId="77777777" w:rsidR="006153A0" w:rsidRPr="009D4CD4" w:rsidRDefault="006153A0" w:rsidP="00B72A61">
      <w:pPr>
        <w:spacing w:after="0" w:line="240" w:lineRule="auto"/>
        <w:jc w:val="left"/>
        <w:rPr>
          <w:rFonts w:cs="Arial"/>
        </w:rPr>
      </w:pPr>
    </w:p>
    <w:p w14:paraId="3A31EDF3" w14:textId="1C8F584B" w:rsidR="00B72A61" w:rsidRPr="009D4CD4" w:rsidRDefault="00D72E91" w:rsidP="00326D6D">
      <w:pPr>
        <w:pStyle w:val="Titre2"/>
      </w:pPr>
      <w:bookmarkStart w:id="77" w:name="_Toc32416031"/>
      <w:bookmarkStart w:id="78" w:name="_Toc59444707"/>
      <w:bookmarkStart w:id="79" w:name="_Toc96698004"/>
      <w:r w:rsidRPr="009D4CD4">
        <w:t>Etre</w:t>
      </w:r>
      <w:r w:rsidR="00B72A61" w:rsidRPr="009D4CD4">
        <w:t xml:space="preserve"> le partenaire </w:t>
      </w:r>
      <w:r w:rsidR="00224DD5" w:rsidRPr="009D4CD4">
        <w:t>solidaire du territoire</w:t>
      </w:r>
      <w:r w:rsidR="00B72A61" w:rsidRPr="009D4CD4">
        <w:t>.</w:t>
      </w:r>
      <w:bookmarkEnd w:id="77"/>
      <w:bookmarkEnd w:id="78"/>
      <w:bookmarkEnd w:id="79"/>
    </w:p>
    <w:p w14:paraId="0080974C" w14:textId="77777777" w:rsidR="00F4368A" w:rsidRPr="00A33B5A" w:rsidRDefault="00F4368A" w:rsidP="00B72A61">
      <w:pPr>
        <w:spacing w:after="0" w:line="240" w:lineRule="auto"/>
        <w:jc w:val="left"/>
      </w:pPr>
    </w:p>
    <w:p w14:paraId="17D49538" w14:textId="24DB6D25" w:rsidR="009266BC" w:rsidRPr="009D4CD4" w:rsidRDefault="00D72E91" w:rsidP="00B72A61">
      <w:pPr>
        <w:spacing w:after="0" w:line="240" w:lineRule="auto"/>
        <w:jc w:val="left"/>
      </w:pPr>
      <w:r w:rsidRPr="009D4CD4">
        <w:t>Etre</w:t>
      </w:r>
      <w:r w:rsidR="00F4368A" w:rsidRPr="009D4CD4">
        <w:t xml:space="preserve"> le partenaire solidaire du territoire constitue le cœur du projet coopératif du CANMP. </w:t>
      </w:r>
    </w:p>
    <w:p w14:paraId="07EB8984" w14:textId="378FCE93" w:rsidR="00F4368A" w:rsidRPr="009D4CD4" w:rsidRDefault="00F4368A" w:rsidP="00B72A61">
      <w:pPr>
        <w:spacing w:after="0" w:line="240" w:lineRule="auto"/>
        <w:jc w:val="left"/>
      </w:pPr>
      <w:r w:rsidRPr="009D4CD4">
        <w:t>Cette ambition est déclinée sur deux axes principaux</w:t>
      </w:r>
      <w:r w:rsidR="00D72E91" w:rsidRPr="009D4CD4">
        <w:t> :</w:t>
      </w:r>
    </w:p>
    <w:p w14:paraId="4A74D50B" w14:textId="0CBD5B73" w:rsidR="009266BC" w:rsidRPr="009D4CD4" w:rsidRDefault="009266BC" w:rsidP="00B72A61">
      <w:pPr>
        <w:spacing w:after="0" w:line="240" w:lineRule="auto"/>
        <w:jc w:val="left"/>
      </w:pPr>
      <w:r w:rsidRPr="009D4CD4">
        <w:t xml:space="preserve">&gt; </w:t>
      </w:r>
      <w:r w:rsidR="00F4368A" w:rsidRPr="009D4CD4">
        <w:t>Le CANMP, solidaire des jeunes</w:t>
      </w:r>
    </w:p>
    <w:p w14:paraId="1555C3A4" w14:textId="5DFE422D" w:rsidR="009266BC" w:rsidRPr="009D4CD4" w:rsidRDefault="009266BC" w:rsidP="00B72A61">
      <w:pPr>
        <w:spacing w:after="0" w:line="240" w:lineRule="auto"/>
        <w:jc w:val="left"/>
      </w:pPr>
      <w:r w:rsidRPr="009D4CD4">
        <w:t xml:space="preserve">&gt; </w:t>
      </w:r>
      <w:r w:rsidR="00C05C3F">
        <w:t>Le CANMP, soutien des acteurs du territoire</w:t>
      </w:r>
    </w:p>
    <w:p w14:paraId="130E5A93" w14:textId="409409F9" w:rsidR="00224DD5" w:rsidRPr="009D4CD4" w:rsidRDefault="00422270" w:rsidP="00224DD5">
      <w:pPr>
        <w:pStyle w:val="Titre4"/>
      </w:pPr>
      <w:bookmarkStart w:id="80" w:name="_Toc96698005"/>
      <w:r w:rsidRPr="009D4CD4">
        <w:t xml:space="preserve">Le CANMP, </w:t>
      </w:r>
      <w:r w:rsidR="00224DD5" w:rsidRPr="009D4CD4">
        <w:t>solidaire des jeunes</w:t>
      </w:r>
      <w:bookmarkEnd w:id="80"/>
    </w:p>
    <w:p w14:paraId="55F6F87F" w14:textId="2AE39381" w:rsidR="00224DD5" w:rsidRPr="009D4CD4" w:rsidRDefault="00224DD5" w:rsidP="00422270">
      <w:pPr>
        <w:pStyle w:val="Titre5"/>
      </w:pPr>
      <w:bookmarkStart w:id="81" w:name="_Toc96698006"/>
      <w:r w:rsidRPr="009D4CD4">
        <w:rPr>
          <w:rStyle w:val="Titre5Car"/>
        </w:rPr>
        <w:t>L’accompagnement financier des étudiants sans caution personnelle ni condition de</w:t>
      </w:r>
      <w:r w:rsidRPr="009D4CD4">
        <w:t xml:space="preserve"> ressources</w:t>
      </w:r>
      <w:bookmarkEnd w:id="81"/>
    </w:p>
    <w:p w14:paraId="30584EED" w14:textId="77777777" w:rsidR="00677357" w:rsidRDefault="00677357" w:rsidP="00422270">
      <w:pPr>
        <w:spacing w:after="0" w:line="240" w:lineRule="auto"/>
        <w:jc w:val="left"/>
        <w:rPr>
          <w:rStyle w:val="Accentuation"/>
          <w:rFonts w:asciiTheme="minorHAnsi" w:hAnsiTheme="minorHAnsi"/>
          <w:i w:val="0"/>
        </w:rPr>
      </w:pPr>
    </w:p>
    <w:p w14:paraId="7EA7FD45" w14:textId="2AA8FF56" w:rsidR="00224DD5" w:rsidRPr="009D4CD4" w:rsidRDefault="00224DD5" w:rsidP="00422270">
      <w:pPr>
        <w:spacing w:after="0" w:line="240" w:lineRule="auto"/>
        <w:jc w:val="left"/>
        <w:rPr>
          <w:rStyle w:val="Accentuation"/>
          <w:rFonts w:asciiTheme="minorHAnsi" w:hAnsiTheme="minorHAnsi"/>
          <w:i w:val="0"/>
        </w:rPr>
      </w:pPr>
      <w:r w:rsidRPr="009D4CD4">
        <w:rPr>
          <w:rStyle w:val="Accentuation"/>
          <w:rFonts w:asciiTheme="minorHAnsi" w:hAnsiTheme="minorHAnsi"/>
          <w:i w:val="0"/>
        </w:rPr>
        <w:t>Afin de faciliter l’accès au crédit bancaire des étudiants de l’enseignement supérieur français sans caution personnelle, le Crédit Agricole a souhaité s’associer au dispositif de Prêt Etudiant garanti par l’Etat avec Bpifrance.</w:t>
      </w:r>
    </w:p>
    <w:p w14:paraId="0DAC37CE" w14:textId="1C2666B6" w:rsidR="00224DD5" w:rsidRPr="009D4CD4" w:rsidRDefault="00224DD5" w:rsidP="00422270">
      <w:pPr>
        <w:spacing w:after="0" w:line="240" w:lineRule="auto"/>
        <w:jc w:val="left"/>
        <w:rPr>
          <w:rStyle w:val="Accentuation"/>
          <w:rFonts w:asciiTheme="minorHAnsi" w:hAnsiTheme="minorHAnsi"/>
          <w:i w:val="0"/>
        </w:rPr>
      </w:pPr>
      <w:r w:rsidRPr="009D4CD4">
        <w:rPr>
          <w:rStyle w:val="Accentuation"/>
          <w:rFonts w:asciiTheme="minorHAnsi" w:hAnsiTheme="minorHAnsi"/>
          <w:i w:val="0"/>
        </w:rPr>
        <w:t>Ce prêt permet aux étudiants de moins de 28 ans de financer l’ensemble des coûts liés à la vie étudiante (frais de scolarité, logement, voyage d’étude…)</w:t>
      </w:r>
      <w:r w:rsidR="002B098F" w:rsidRPr="009D4CD4">
        <w:rPr>
          <w:rStyle w:val="Accentuation"/>
          <w:rFonts w:asciiTheme="minorHAnsi" w:hAnsiTheme="minorHAnsi"/>
          <w:i w:val="0"/>
        </w:rPr>
        <w:t>.</w:t>
      </w:r>
      <w:r w:rsidRPr="009D4CD4">
        <w:rPr>
          <w:rStyle w:val="Accentuation"/>
          <w:rFonts w:asciiTheme="minorHAnsi" w:hAnsiTheme="minorHAnsi"/>
          <w:i w:val="0"/>
        </w:rPr>
        <w:t xml:space="preserve"> </w:t>
      </w:r>
      <w:r w:rsidR="002B098F" w:rsidRPr="009D4CD4">
        <w:rPr>
          <w:rStyle w:val="Accentuation"/>
          <w:rFonts w:asciiTheme="minorHAnsi" w:hAnsiTheme="minorHAnsi"/>
          <w:i w:val="0"/>
        </w:rPr>
        <w:t>L</w:t>
      </w:r>
      <w:r w:rsidRPr="009D4CD4">
        <w:rPr>
          <w:rStyle w:val="Accentuation"/>
          <w:rFonts w:asciiTheme="minorHAnsi" w:hAnsiTheme="minorHAnsi"/>
          <w:i w:val="0"/>
        </w:rPr>
        <w:t>e montant emprunté peut aller jusqu’à 20</w:t>
      </w:r>
      <w:r w:rsidR="002B098F" w:rsidRPr="009D4CD4">
        <w:rPr>
          <w:rStyle w:val="Accentuation"/>
          <w:rFonts w:asciiTheme="minorHAnsi" w:hAnsiTheme="minorHAnsi"/>
          <w:i w:val="0"/>
        </w:rPr>
        <w:t> </w:t>
      </w:r>
      <w:r w:rsidRPr="009D4CD4">
        <w:rPr>
          <w:rStyle w:val="Accentuation"/>
          <w:rFonts w:asciiTheme="minorHAnsi" w:hAnsiTheme="minorHAnsi"/>
          <w:i w:val="0"/>
        </w:rPr>
        <w:t>000</w:t>
      </w:r>
      <w:r w:rsidR="002B098F" w:rsidRPr="009D4CD4">
        <w:rPr>
          <w:rStyle w:val="Accentuation"/>
          <w:rFonts w:asciiTheme="minorHAnsi" w:hAnsiTheme="minorHAnsi"/>
          <w:i w:val="0"/>
        </w:rPr>
        <w:t xml:space="preserve"> </w:t>
      </w:r>
      <w:r w:rsidRPr="009D4CD4">
        <w:rPr>
          <w:rStyle w:val="Accentuation"/>
          <w:rFonts w:asciiTheme="minorHAnsi" w:hAnsiTheme="minorHAnsi"/>
          <w:i w:val="0"/>
        </w:rPr>
        <w:t>€ par emprunteur, pour une durée de 2 à 10 ans, avec une possibilité de différé de remboursement à la fin des études jusqu’à 60 mois.</w:t>
      </w:r>
    </w:p>
    <w:p w14:paraId="5CF1F625" w14:textId="6A374769" w:rsidR="00224DD5" w:rsidRPr="009D4CD4" w:rsidRDefault="002B098F" w:rsidP="00422270">
      <w:pPr>
        <w:spacing w:after="0" w:line="240" w:lineRule="auto"/>
        <w:jc w:val="left"/>
        <w:rPr>
          <w:rStyle w:val="Accentuation"/>
          <w:rFonts w:asciiTheme="minorHAnsi" w:hAnsiTheme="minorHAnsi"/>
          <w:i w:val="0"/>
        </w:rPr>
      </w:pPr>
      <w:r w:rsidRPr="009D4CD4">
        <w:rPr>
          <w:rStyle w:val="Accentuation"/>
          <w:rFonts w:asciiTheme="minorHAnsi" w:hAnsiTheme="minorHAnsi"/>
          <w:i w:val="0"/>
        </w:rPr>
        <w:t>En 2021, l</w:t>
      </w:r>
      <w:r w:rsidR="00422270" w:rsidRPr="009D4CD4">
        <w:rPr>
          <w:rStyle w:val="Accentuation"/>
          <w:rFonts w:asciiTheme="minorHAnsi" w:hAnsiTheme="minorHAnsi"/>
          <w:i w:val="0"/>
        </w:rPr>
        <w:t>e CANMP</w:t>
      </w:r>
      <w:r w:rsidR="00224DD5" w:rsidRPr="009D4CD4">
        <w:rPr>
          <w:rStyle w:val="Accentuation"/>
          <w:rFonts w:asciiTheme="minorHAnsi" w:hAnsiTheme="minorHAnsi"/>
          <w:i w:val="0"/>
        </w:rPr>
        <w:t xml:space="preserve"> </w:t>
      </w:r>
      <w:r w:rsidRPr="009D4CD4">
        <w:rPr>
          <w:rStyle w:val="Accentuation"/>
          <w:rFonts w:asciiTheme="minorHAnsi" w:hAnsiTheme="minorHAnsi"/>
          <w:i w:val="0"/>
        </w:rPr>
        <w:t xml:space="preserve">a proposé </w:t>
      </w:r>
      <w:r w:rsidR="00224DD5" w:rsidRPr="009D4CD4">
        <w:rPr>
          <w:rStyle w:val="Accentuation"/>
          <w:rFonts w:asciiTheme="minorHAnsi" w:hAnsiTheme="minorHAnsi"/>
          <w:i w:val="0"/>
        </w:rPr>
        <w:t>également aux étudiants ou apprentis, quel que soit leur niveau d’études, un prêt étudiant au taux de 0,75% sans frais de dossier jusqu’à 50 000 euros, pour des durées de 12 à 120 mois.</w:t>
      </w:r>
    </w:p>
    <w:p w14:paraId="548A19BD" w14:textId="77777777" w:rsidR="00224DD5" w:rsidRPr="009D4CD4" w:rsidRDefault="00224DD5" w:rsidP="00422270">
      <w:pPr>
        <w:spacing w:after="0" w:line="240" w:lineRule="auto"/>
        <w:jc w:val="left"/>
        <w:rPr>
          <w:rStyle w:val="Accentuation"/>
          <w:rFonts w:asciiTheme="minorHAnsi" w:hAnsiTheme="minorHAnsi" w:cs="Arial"/>
          <w:i w:val="0"/>
        </w:rPr>
      </w:pPr>
    </w:p>
    <w:p w14:paraId="510A4731" w14:textId="146F53FC" w:rsidR="00224DD5" w:rsidRPr="009D4CD4" w:rsidRDefault="00224DD5" w:rsidP="001800EB">
      <w:pPr>
        <w:pStyle w:val="Titre5"/>
      </w:pPr>
      <w:bookmarkStart w:id="82" w:name="_Toc96698007"/>
      <w:r w:rsidRPr="009D4CD4">
        <w:t xml:space="preserve">Le Fond’Action Jeunes du </w:t>
      </w:r>
      <w:r w:rsidR="006C0B77" w:rsidRPr="009D4CD4">
        <w:t>CANMP</w:t>
      </w:r>
      <w:bookmarkEnd w:id="82"/>
    </w:p>
    <w:p w14:paraId="4AB8BE6B" w14:textId="77777777" w:rsidR="00677357" w:rsidRDefault="00677357" w:rsidP="00896E76">
      <w:pPr>
        <w:spacing w:after="0" w:line="240" w:lineRule="auto"/>
        <w:jc w:val="left"/>
        <w:rPr>
          <w:rFonts w:cs="Arial"/>
          <w:color w:val="FF0000"/>
        </w:rPr>
      </w:pPr>
    </w:p>
    <w:p w14:paraId="6BE1AB82" w14:textId="0BE0D0D9" w:rsidR="00896E76" w:rsidRPr="009D4CD4" w:rsidRDefault="00896E76" w:rsidP="00896E76">
      <w:pPr>
        <w:spacing w:after="0" w:line="240" w:lineRule="auto"/>
        <w:jc w:val="left"/>
      </w:pPr>
      <w:r w:rsidRPr="009D4CD4">
        <w:rPr>
          <w:rStyle w:val="Accentuation"/>
          <w:i w:val="0"/>
          <w:iCs w:val="0"/>
        </w:rPr>
        <w:t>Crée en 2019, le Fonds de dotation « </w:t>
      </w:r>
      <w:r w:rsidRPr="009D4CD4">
        <w:t>Fond’Actions Jeunes du CA NMP » a pour objet d’engager toute action d’intérêt général et à but non lucratif, permettant de soutenir, développer et encourager les projets et initiatives de celles et ceux qui en ont le plus besoin :</w:t>
      </w:r>
    </w:p>
    <w:p w14:paraId="4B7D7DCE" w14:textId="77777777" w:rsidR="00896E76" w:rsidRPr="009D4CD4" w:rsidRDefault="00896E76" w:rsidP="00896E76">
      <w:pPr>
        <w:spacing w:after="0" w:line="240" w:lineRule="auto"/>
        <w:jc w:val="left"/>
      </w:pPr>
      <w:r w:rsidRPr="009D4CD4">
        <w:t>&gt; sur les territoires des départements de l’Aveyron, du Lot, du Tarn et du Tarn et Garonne ;</w:t>
      </w:r>
    </w:p>
    <w:p w14:paraId="2850311D" w14:textId="77777777" w:rsidR="00896E76" w:rsidRPr="009D4CD4" w:rsidRDefault="00896E76" w:rsidP="00896E76">
      <w:pPr>
        <w:spacing w:after="0" w:line="240" w:lineRule="auto"/>
        <w:jc w:val="left"/>
      </w:pPr>
      <w:r w:rsidRPr="009D4CD4">
        <w:t>&gt; en contribuant à la création d’un environnement durablement favorable au développement éducatif et humain ; notamment par le soutien aux projets ou initiatives contribuant à l’amélioration des conditions de vie, au développement de la formation et des compétences, à l’adaptation aux besoins futurs ou orientés vers des secteurs d’avenir, à la création ou l’émergence d’un écosystème attractif et porteur,</w:t>
      </w:r>
    </w:p>
    <w:p w14:paraId="2778E0E1" w14:textId="77777777" w:rsidR="00896E76" w:rsidRPr="009D4CD4" w:rsidRDefault="00896E76" w:rsidP="00896E76">
      <w:pPr>
        <w:spacing w:after="0" w:line="240" w:lineRule="auto"/>
        <w:jc w:val="left"/>
      </w:pPr>
      <w:r w:rsidRPr="009D4CD4">
        <w:t>&gt; au bénéfice de l’épanouissement des femmes et des hommes qui y vivent ou souhaitent y vivre, notamment les jeunes de moins de 30 ans,</w:t>
      </w:r>
    </w:p>
    <w:p w14:paraId="6357EC2E" w14:textId="77777777" w:rsidR="00896E76" w:rsidRPr="009D4CD4" w:rsidRDefault="00896E76" w:rsidP="00896E76">
      <w:pPr>
        <w:spacing w:after="0" w:line="240" w:lineRule="auto"/>
        <w:jc w:val="left"/>
      </w:pPr>
      <w:r w:rsidRPr="009D4CD4">
        <w:t>&gt; éventuellement en coopération avec des organismes ou institutions privées, associatives ou publiques.</w:t>
      </w:r>
    </w:p>
    <w:p w14:paraId="3F0C95C0" w14:textId="77777777" w:rsidR="00896E76" w:rsidRPr="009D4CD4" w:rsidRDefault="00896E76" w:rsidP="00896E76">
      <w:pPr>
        <w:spacing w:after="0" w:line="240" w:lineRule="auto"/>
        <w:jc w:val="left"/>
      </w:pPr>
      <w:r w:rsidRPr="009D4CD4">
        <w:t>La gouvernance du Fonds est composée de 6 administrateurs, dont deux Administrateurs de droit : le Président du CA NMP (Président du Fonds de dotation) et le Directeur Général. Le fonds se réunit quatre à cinq fois par an.</w:t>
      </w:r>
    </w:p>
    <w:p w14:paraId="60D9B5F3" w14:textId="77777777" w:rsidR="00896E76" w:rsidRPr="009D4CD4" w:rsidRDefault="00896E76" w:rsidP="00896E76">
      <w:pPr>
        <w:spacing w:after="0" w:line="240" w:lineRule="auto"/>
        <w:jc w:val="left"/>
      </w:pPr>
    </w:p>
    <w:p w14:paraId="1B2604E5" w14:textId="195E54A5" w:rsidR="00896E76" w:rsidRPr="009D4CD4" w:rsidRDefault="00896E76" w:rsidP="00896E76">
      <w:pPr>
        <w:spacing w:after="0" w:line="240" w:lineRule="auto"/>
        <w:jc w:val="left"/>
      </w:pPr>
      <w:r w:rsidRPr="009D4CD4">
        <w:t>Le Fonds a lancé en 2020 la création de la première Ecole Numérique du Territoire spécifiquement orientée vers les jeunes du territoire, en partenariat avec l’entreprise à mission Openclassrooms, leader de la formation à distance en Europe, dont la vocation est de rendre l’éducation accessible partout et pour tous, favorisant ainsi l’accès à l’emploi par la compétence.</w:t>
      </w:r>
    </w:p>
    <w:p w14:paraId="1C9681F6" w14:textId="398A304B" w:rsidR="00896E76" w:rsidRPr="009D4CD4" w:rsidRDefault="00896E76" w:rsidP="00896E76">
      <w:pPr>
        <w:spacing w:after="0" w:line="240" w:lineRule="auto"/>
        <w:jc w:val="left"/>
      </w:pPr>
      <w:r w:rsidRPr="009D4CD4">
        <w:t xml:space="preserve">Solidaire, intégralement financée par le Fond’Actions Jeunes, cette école est réservée aux jeunes de 18 à 30 ans résidant sur le territoire de la </w:t>
      </w:r>
      <w:r w:rsidR="00A7717F">
        <w:t>Caisse Régionale</w:t>
      </w:r>
      <w:r w:rsidRPr="009D4CD4">
        <w:t>, bacheliers, et répondant aux critères sociaux des bourses de l’Enseignement Supérieur. De plus, la sélection prend en compte la qualité du projet d’avenir personnel du jeune sur le territoire.</w:t>
      </w:r>
    </w:p>
    <w:p w14:paraId="550479C1" w14:textId="1466712D" w:rsidR="00896E76" w:rsidRPr="009D4CD4" w:rsidRDefault="00896E76" w:rsidP="00896E76">
      <w:pPr>
        <w:spacing w:after="0" w:line="240" w:lineRule="auto"/>
        <w:jc w:val="left"/>
      </w:pPr>
      <w:r w:rsidRPr="009D4CD4">
        <w:t>La formation de l’Ecole Numérique est orientée sur les métiers en tension (7 spécialités de développeur web, Data analyste, Technicien réseau…), au travers de formations structurée</w:t>
      </w:r>
      <w:r w:rsidR="0076237B">
        <w:t>s</w:t>
      </w:r>
      <w:r w:rsidRPr="009D4CD4">
        <w:t xml:space="preserve"> selon 2 cursus bénéficiant en outre de l’accompagnement d’un mentor personnel :</w:t>
      </w:r>
    </w:p>
    <w:p w14:paraId="27BFD494" w14:textId="77777777" w:rsidR="00896E76" w:rsidRPr="009D4CD4" w:rsidRDefault="00896E76" w:rsidP="00896E76">
      <w:pPr>
        <w:spacing w:after="0" w:line="240" w:lineRule="auto"/>
        <w:ind w:left="708"/>
        <w:jc w:val="left"/>
      </w:pPr>
      <w:r w:rsidRPr="009D4CD4">
        <w:t>&gt; 1 parcours diplômants accrédités RNCP de Développeur web et niveau Bac+2 en intensif sur 4 mois,</w:t>
      </w:r>
    </w:p>
    <w:p w14:paraId="054B0816" w14:textId="77777777" w:rsidR="00896E76" w:rsidRPr="009D4CD4" w:rsidRDefault="00896E76" w:rsidP="00896E76">
      <w:pPr>
        <w:spacing w:after="0" w:line="240" w:lineRule="auto"/>
        <w:ind w:left="708"/>
        <w:jc w:val="left"/>
      </w:pPr>
      <w:r w:rsidRPr="009D4CD4">
        <w:t>&gt; 1 parcours diplômants accrédités RNCP sur 10 métiers de niveau Bac+3, en 18 mois maximum.</w:t>
      </w:r>
    </w:p>
    <w:p w14:paraId="2A81F10F" w14:textId="77777777" w:rsidR="00896E76" w:rsidRPr="009D4CD4" w:rsidRDefault="00896E76" w:rsidP="00896E76">
      <w:pPr>
        <w:spacing w:after="0" w:line="240" w:lineRule="auto"/>
        <w:jc w:val="left"/>
      </w:pPr>
    </w:p>
    <w:p w14:paraId="5609A7B6" w14:textId="527F630F" w:rsidR="00896E76" w:rsidRPr="009D4CD4" w:rsidRDefault="00896E76" w:rsidP="00896E76">
      <w:pPr>
        <w:spacing w:after="0" w:line="240" w:lineRule="auto"/>
        <w:jc w:val="left"/>
      </w:pPr>
      <w:r w:rsidRPr="009D4CD4">
        <w:t xml:space="preserve">Depuis son lancement, le dispositif a accueilli et pris en charge les coûts de formation de </w:t>
      </w:r>
      <w:r w:rsidR="00F21E31" w:rsidRPr="009D4CD4">
        <w:t>26</w:t>
      </w:r>
      <w:r w:rsidRPr="009D4CD4">
        <w:t xml:space="preserve"> jeunes dont 8 nouveaux sur 2021. Le fonds a enregistré sa première</w:t>
      </w:r>
      <w:r w:rsidR="008179D2" w:rsidRPr="009D4CD4">
        <w:t xml:space="preserve"> diplômée en</w:t>
      </w:r>
      <w:r w:rsidR="0076237B">
        <w:t xml:space="preserve"> </w:t>
      </w:r>
      <w:r w:rsidR="008179D2" w:rsidRPr="009D4CD4">
        <w:t>2021 ; les autres s</w:t>
      </w:r>
      <w:r w:rsidRPr="009D4CD4">
        <w:t>ont encore en formation ou ayant décroché un emploi dans l’intervalle. Quelques abandons sont relevés, pour l’essentiel lié à des situations de difficultés personnelles ou d’accident de la vie.</w:t>
      </w:r>
    </w:p>
    <w:p w14:paraId="4B73D419" w14:textId="77777777" w:rsidR="00896E76" w:rsidRPr="009D4CD4" w:rsidRDefault="00896E76" w:rsidP="00896E76">
      <w:pPr>
        <w:spacing w:after="0" w:line="240" w:lineRule="auto"/>
        <w:jc w:val="left"/>
      </w:pPr>
    </w:p>
    <w:p w14:paraId="359C9AE6" w14:textId="16124BB2" w:rsidR="00896E76" w:rsidRPr="009D4CD4" w:rsidRDefault="00896E76" w:rsidP="00896E76">
      <w:pPr>
        <w:spacing w:after="0" w:line="240" w:lineRule="auto"/>
        <w:jc w:val="left"/>
      </w:pPr>
      <w:r w:rsidRPr="009D4CD4">
        <w:t>Toujours en 2021, le Fond’Actions a lancé l’appel à candidature « Prep’apprentissage ». Il s’agit d’un dispositif d’accompagnement vers l’apprentissage pour les jeunes ni en emploi, ni en formation, ni en stage ; peu ou pas qualifiés ayant au mieux atteint le niveau CAP ou le niveau Bac sans l'avoir validé ; et tout particulièrement résidents dans les quartiers de la Politique de la ville (QPV) ou les zones rurales à revitaliser (ZRR).</w:t>
      </w:r>
    </w:p>
    <w:p w14:paraId="53EF3EE6" w14:textId="77777777" w:rsidR="00896E76" w:rsidRPr="009D4CD4" w:rsidRDefault="00896E76" w:rsidP="00896E76">
      <w:pPr>
        <w:spacing w:after="0" w:line="240" w:lineRule="auto"/>
        <w:jc w:val="left"/>
      </w:pPr>
    </w:p>
    <w:p w14:paraId="3A499A98" w14:textId="77777777" w:rsidR="00896E76" w:rsidRPr="009D4CD4" w:rsidRDefault="00896E76" w:rsidP="00896E76">
      <w:pPr>
        <w:spacing w:after="0" w:line="240" w:lineRule="auto"/>
        <w:jc w:val="left"/>
      </w:pPr>
      <w:r w:rsidRPr="009D4CD4">
        <w:t xml:space="preserve">Les jeunes intégrant le programme Prép’Apprentissage suivent un parcours personnalisé. Ils sont accompagnés par des professionnels sur 4 mois pendant lesquels ils choisissent leur orientation et approfondissent l’un des 4 métiers proposés et en forte demande sur le territoire (Technicien informatique, Commercial – Chargé d’Affaires, Gestionnaire de paie, Développeur web junior). </w:t>
      </w:r>
    </w:p>
    <w:p w14:paraId="1C4CD320" w14:textId="1751CF95" w:rsidR="00896E76" w:rsidRPr="009D4CD4" w:rsidRDefault="00896E76" w:rsidP="00896E76">
      <w:pPr>
        <w:spacing w:after="0" w:line="240" w:lineRule="auto"/>
        <w:jc w:val="left"/>
      </w:pPr>
      <w:r w:rsidRPr="009D4CD4">
        <w:t>La préparation en 3 phases (orientation, découverte métier, insertion) vise à aider les bénéficiaires à décrocher un contrat d’apprentissage pour préparer le diplôme</w:t>
      </w:r>
      <w:r w:rsidR="0076237B">
        <w:t xml:space="preserve"> correspondant au métier choisi</w:t>
      </w:r>
      <w:r w:rsidRPr="009D4CD4">
        <w:t xml:space="preserve"> de niveau 5 (Bac+2). 8 jeunes ont bénéficié de cet accompagnement sur 2021.</w:t>
      </w:r>
    </w:p>
    <w:p w14:paraId="60E4D23D" w14:textId="12BF4E95" w:rsidR="007F65AD" w:rsidRPr="0076237B" w:rsidRDefault="00896E76" w:rsidP="007F65AD">
      <w:pPr>
        <w:spacing w:after="0" w:line="240" w:lineRule="auto"/>
        <w:jc w:val="left"/>
      </w:pPr>
      <w:r w:rsidRPr="009D4CD4">
        <w:t>Fort de l’ensemble de ces dispositifs, le fonds se constitue sa courbe d’expérience pour améliorer encore son dispositif au bénéfice des jeunes et entend élargir en 2022 son champ d’action par l’expérimentation de formations inclusives alliant accompagnement et soutien en présentiel, avec les capacités d’apprentissage asynch</w:t>
      </w:r>
      <w:r w:rsidR="0076237B">
        <w:t xml:space="preserve">rone de la formation en ligne. </w:t>
      </w:r>
    </w:p>
    <w:p w14:paraId="515E7167" w14:textId="77777777" w:rsidR="007F65AD" w:rsidRPr="009D4CD4" w:rsidRDefault="007F65AD" w:rsidP="007F65AD">
      <w:pPr>
        <w:spacing w:after="0" w:line="240" w:lineRule="auto"/>
        <w:jc w:val="left"/>
        <w:rPr>
          <w:rFonts w:cs="Arial"/>
          <w:color w:val="FF0000"/>
        </w:rPr>
      </w:pPr>
    </w:p>
    <w:p w14:paraId="29E14E10" w14:textId="41BF3F1B" w:rsidR="00224DD5" w:rsidRPr="009D4CD4" w:rsidRDefault="00224DD5" w:rsidP="009266BC">
      <w:pPr>
        <w:pStyle w:val="Titre5"/>
      </w:pPr>
      <w:bookmarkStart w:id="83" w:name="_Toc96698008"/>
      <w:r w:rsidRPr="009D4CD4">
        <w:t>Youzful</w:t>
      </w:r>
      <w:bookmarkEnd w:id="83"/>
    </w:p>
    <w:p w14:paraId="0EAC9F7D" w14:textId="77777777" w:rsidR="00677357" w:rsidRDefault="00677357" w:rsidP="00414A84">
      <w:pPr>
        <w:pStyle w:val="NormalWeb"/>
        <w:spacing w:before="0" w:beforeAutospacing="0" w:after="0" w:afterAutospacing="0"/>
        <w:rPr>
          <w:rFonts w:ascii="Calibri" w:hAnsi="Calibri" w:cs="Calibri"/>
          <w:sz w:val="22"/>
          <w:szCs w:val="22"/>
        </w:rPr>
      </w:pPr>
    </w:p>
    <w:p w14:paraId="1B95AEEE" w14:textId="2CFD5B84" w:rsidR="007F65AD" w:rsidRPr="009D4CD4" w:rsidRDefault="007F65AD" w:rsidP="00414A84">
      <w:pPr>
        <w:pStyle w:val="NormalWeb"/>
        <w:spacing w:before="0" w:beforeAutospacing="0" w:after="0" w:afterAutospacing="0"/>
        <w:rPr>
          <w:rFonts w:ascii="Calibri" w:hAnsi="Calibri" w:cs="Calibri"/>
          <w:sz w:val="22"/>
          <w:szCs w:val="22"/>
        </w:rPr>
      </w:pPr>
      <w:r w:rsidRPr="009D4CD4">
        <w:rPr>
          <w:rFonts w:ascii="Calibri" w:hAnsi="Calibri" w:cs="Calibri"/>
          <w:sz w:val="22"/>
          <w:szCs w:val="22"/>
        </w:rPr>
        <w:t xml:space="preserve">Lancée en 2021, la plateforme en ligne gratuite Youzful est dédiée à l'orientation et à l'emploi des jeunes, qui y trouvent des contenus leur permettant de : </w:t>
      </w:r>
    </w:p>
    <w:p w14:paraId="25303400" w14:textId="68137AF0" w:rsidR="007F65AD" w:rsidRPr="009D4CD4" w:rsidRDefault="007F65AD" w:rsidP="00402F2C">
      <w:pPr>
        <w:pStyle w:val="NormalWeb"/>
        <w:spacing w:before="0" w:beforeAutospacing="0" w:after="0" w:afterAutospacing="0"/>
        <w:rPr>
          <w:rFonts w:ascii="Calibri" w:hAnsi="Calibri" w:cs="Calibri"/>
          <w:sz w:val="22"/>
          <w:szCs w:val="22"/>
        </w:rPr>
      </w:pPr>
      <w:r w:rsidRPr="009D4CD4">
        <w:rPr>
          <w:rFonts w:ascii="Calibri" w:hAnsi="Calibri" w:cs="Calibri"/>
          <w:sz w:val="22"/>
          <w:szCs w:val="22"/>
        </w:rPr>
        <w:t>&gt;</w:t>
      </w:r>
      <w:r w:rsidRPr="009D4CD4">
        <w:rPr>
          <w:rFonts w:cs="Calibri"/>
        </w:rPr>
        <w:t xml:space="preserve"> </w:t>
      </w:r>
      <w:r w:rsidRPr="009D4CD4">
        <w:rPr>
          <w:rFonts w:ascii="Calibri" w:hAnsi="Calibri" w:cs="Calibri"/>
          <w:sz w:val="22"/>
          <w:szCs w:val="22"/>
        </w:rPr>
        <w:t>s’informer grâce à des articles ciblés (Tout savoir sur les études supérieures, Etudier à l’étranger, Choisir un métier, etc.) ;</w:t>
      </w:r>
      <w:r w:rsidRPr="009D4CD4">
        <w:rPr>
          <w:rFonts w:ascii="Calibri" w:hAnsi="Calibri" w:cs="Calibri"/>
          <w:sz w:val="22"/>
          <w:szCs w:val="22"/>
        </w:rPr>
        <w:br/>
        <w:t>&gt;  postuler à des offres de stage, d’alternance et d’emplois (saisonniers, CDD, CDI) ;</w:t>
      </w:r>
    </w:p>
    <w:p w14:paraId="2EAF75C8" w14:textId="77777777" w:rsidR="00D64AF5" w:rsidRPr="009D4CD4" w:rsidRDefault="007F65AD" w:rsidP="00402F2C">
      <w:pPr>
        <w:spacing w:after="0" w:line="240" w:lineRule="auto"/>
        <w:jc w:val="left"/>
        <w:rPr>
          <w:rFonts w:eastAsia="Times New Roman" w:cs="Calibri"/>
        </w:rPr>
      </w:pPr>
      <w:r w:rsidRPr="009D4CD4">
        <w:rPr>
          <w:rFonts w:eastAsia="Times New Roman" w:cs="Calibri"/>
        </w:rPr>
        <w:t>&gt; échanger avec des professionnels via une messagerie en ligne.</w:t>
      </w:r>
    </w:p>
    <w:p w14:paraId="68FD98CC" w14:textId="4EDDD133" w:rsidR="007F65AD" w:rsidRPr="009D4CD4" w:rsidRDefault="007F65AD" w:rsidP="00402F2C">
      <w:pPr>
        <w:spacing w:after="0" w:line="240" w:lineRule="auto"/>
        <w:jc w:val="left"/>
        <w:rPr>
          <w:rFonts w:eastAsia="Times New Roman" w:cs="Calibri"/>
        </w:rPr>
      </w:pPr>
      <w:r w:rsidRPr="009D4CD4">
        <w:rPr>
          <w:rFonts w:eastAsia="Times New Roman" w:cs="Calibri"/>
        </w:rPr>
        <w:t>&gt;prendre connaissance des dates et lieux de tous les évènements locaux concernant l’orientation et l’emploi (salons de l’emploi, rencontres pro/jeunes, job-dating, etc.)</w:t>
      </w:r>
    </w:p>
    <w:p w14:paraId="63DBB9D3" w14:textId="77777777" w:rsidR="007F65AD" w:rsidRPr="009D4CD4" w:rsidRDefault="007F65AD" w:rsidP="00402F2C">
      <w:pPr>
        <w:spacing w:after="0" w:line="240" w:lineRule="auto"/>
        <w:rPr>
          <w:rFonts w:eastAsiaTheme="minorHAnsi" w:cs="Calibri"/>
        </w:rPr>
      </w:pPr>
      <w:r w:rsidRPr="009D4CD4">
        <w:rPr>
          <w:rFonts w:cs="Calibri"/>
        </w:rPr>
        <w:t>Afin d’offrir des contenus de qualité, des conventions ont été passées avec de nombreux partenaires (1Jeune1solution, Pôle emploi, L’Etudiant…)</w:t>
      </w:r>
    </w:p>
    <w:p w14:paraId="1C948435" w14:textId="6FC93C7B" w:rsidR="00224DD5" w:rsidRPr="009D4CD4" w:rsidRDefault="00414A84" w:rsidP="00402F2C">
      <w:pPr>
        <w:spacing w:after="0" w:line="240" w:lineRule="auto"/>
        <w:jc w:val="left"/>
        <w:rPr>
          <w:rFonts w:eastAsia="Times New Roman"/>
          <w:lang w:eastAsia="fr-FR"/>
        </w:rPr>
      </w:pPr>
      <w:r w:rsidRPr="009D4CD4">
        <w:rPr>
          <w:rFonts w:eastAsia="Times New Roman"/>
          <w:lang w:eastAsia="fr-FR"/>
        </w:rPr>
        <w:t>Fin 2021, 1565 jeunes se sont inscrits sur la plateforme</w:t>
      </w:r>
      <w:r w:rsidR="00B36450">
        <w:rPr>
          <w:rFonts w:eastAsia="Times New Roman"/>
          <w:lang w:eastAsia="fr-FR"/>
        </w:rPr>
        <w:t>, sur le site du CANMP</w:t>
      </w:r>
    </w:p>
    <w:p w14:paraId="215DD5BB" w14:textId="77777777" w:rsidR="00414A84" w:rsidRPr="009D4CD4" w:rsidRDefault="00414A84" w:rsidP="00224DD5">
      <w:pPr>
        <w:spacing w:after="0" w:line="240" w:lineRule="auto"/>
        <w:jc w:val="left"/>
        <w:rPr>
          <w:rFonts w:eastAsia="Times New Roman"/>
          <w:lang w:eastAsia="fr-FR"/>
        </w:rPr>
      </w:pPr>
    </w:p>
    <w:p w14:paraId="1D0A935A" w14:textId="0DADA1D8" w:rsidR="002C6921" w:rsidRPr="009D4CD4" w:rsidRDefault="00224DD5" w:rsidP="002C6921">
      <w:pPr>
        <w:pStyle w:val="Titre5"/>
      </w:pPr>
      <w:bookmarkStart w:id="84" w:name="_Toc96698009"/>
      <w:r w:rsidRPr="009D4CD4">
        <w:t xml:space="preserve">Du </w:t>
      </w:r>
      <w:r w:rsidR="00EF7DD6" w:rsidRPr="009D4CD4">
        <w:t>Territoire</w:t>
      </w:r>
      <w:r w:rsidRPr="009D4CD4">
        <w:t xml:space="preserve"> au</w:t>
      </w:r>
      <w:r w:rsidR="002B4532">
        <w:t>x</w:t>
      </w:r>
      <w:r w:rsidRPr="009D4CD4">
        <w:t xml:space="preserve"> Grandes écoles</w:t>
      </w:r>
      <w:bookmarkEnd w:id="84"/>
      <w:r w:rsidR="002C6921" w:rsidRPr="009D4CD4">
        <w:br/>
      </w:r>
    </w:p>
    <w:p w14:paraId="5373AFD8" w14:textId="2E498BC7" w:rsidR="00224DD5" w:rsidRPr="009D4CD4" w:rsidRDefault="00EF7DD6" w:rsidP="00402F2C">
      <w:pPr>
        <w:pStyle w:val="NormalWeb"/>
        <w:shd w:val="clear" w:color="auto" w:fill="FFFFFF"/>
        <w:spacing w:before="0" w:beforeAutospacing="0" w:after="0" w:afterAutospacing="0"/>
        <w:rPr>
          <w:rFonts w:ascii="Calibri" w:eastAsia="Calibri" w:hAnsi="Calibri" w:cs="Arial"/>
          <w:sz w:val="22"/>
          <w:szCs w:val="22"/>
          <w:lang w:eastAsia="en-US"/>
        </w:rPr>
      </w:pPr>
      <w:r w:rsidRPr="009D4CD4">
        <w:rPr>
          <w:rFonts w:ascii="Calibri" w:eastAsia="Calibri" w:hAnsi="Calibri" w:cs="Arial"/>
          <w:sz w:val="22"/>
          <w:szCs w:val="22"/>
          <w:lang w:eastAsia="en-US"/>
        </w:rPr>
        <w:t xml:space="preserve">Sur le </w:t>
      </w:r>
      <w:r w:rsidR="00DF227C" w:rsidRPr="009D4CD4">
        <w:rPr>
          <w:rFonts w:ascii="Calibri" w:eastAsia="Calibri" w:hAnsi="Calibri" w:cs="Arial"/>
          <w:sz w:val="22"/>
          <w:szCs w:val="22"/>
          <w:lang w:eastAsia="en-US"/>
        </w:rPr>
        <w:t xml:space="preserve">département du </w:t>
      </w:r>
      <w:r w:rsidRPr="009D4CD4">
        <w:rPr>
          <w:rFonts w:ascii="Calibri" w:eastAsia="Calibri" w:hAnsi="Calibri" w:cs="Arial"/>
          <w:sz w:val="22"/>
          <w:szCs w:val="22"/>
          <w:lang w:eastAsia="en-US"/>
        </w:rPr>
        <w:t xml:space="preserve">Tarn, </w:t>
      </w:r>
      <w:r w:rsidR="00224DD5" w:rsidRPr="009D4CD4">
        <w:rPr>
          <w:rFonts w:ascii="Calibri" w:eastAsia="Calibri" w:hAnsi="Calibri" w:cs="Arial"/>
          <w:sz w:val="22"/>
          <w:szCs w:val="22"/>
          <w:lang w:eastAsia="en-US"/>
        </w:rPr>
        <w:t>"Du Tarn aux Grandes Écoles" est une association fondée en 2018 par des Tarnais</w:t>
      </w:r>
      <w:r w:rsidR="002C6921" w:rsidRPr="009D4CD4">
        <w:rPr>
          <w:rFonts w:ascii="Calibri" w:eastAsia="Calibri" w:hAnsi="Calibri" w:cs="Arial"/>
          <w:sz w:val="22"/>
          <w:szCs w:val="22"/>
          <w:lang w:eastAsia="en-US"/>
        </w:rPr>
        <w:t xml:space="preserve"> constatant que les jeunes n’accèdent pas aux Grandes Ecoles en raison principalement de l</w:t>
      </w:r>
      <w:r w:rsidR="00224DD5" w:rsidRPr="009D4CD4">
        <w:rPr>
          <w:rFonts w:ascii="Calibri" w:eastAsia="Calibri" w:hAnsi="Calibri" w:cs="Arial"/>
          <w:sz w:val="22"/>
          <w:szCs w:val="22"/>
          <w:lang w:eastAsia="en-US"/>
        </w:rPr>
        <w:t xml:space="preserve">'inégale connaissance de l'enseignement </w:t>
      </w:r>
      <w:r w:rsidR="005D582B" w:rsidRPr="009D4CD4">
        <w:rPr>
          <w:rFonts w:ascii="Calibri" w:eastAsia="Calibri" w:hAnsi="Calibri" w:cs="Arial"/>
          <w:sz w:val="22"/>
          <w:szCs w:val="22"/>
          <w:lang w:eastAsia="en-US"/>
        </w:rPr>
        <w:t>supérieur, d’une</w:t>
      </w:r>
      <w:r w:rsidR="002C6921" w:rsidRPr="009D4CD4">
        <w:rPr>
          <w:rFonts w:ascii="Calibri" w:eastAsia="Calibri" w:hAnsi="Calibri" w:cs="Arial"/>
          <w:sz w:val="22"/>
          <w:szCs w:val="22"/>
          <w:lang w:eastAsia="en-US"/>
        </w:rPr>
        <w:t xml:space="preserve"> forme d’autocensure</w:t>
      </w:r>
      <w:r w:rsidR="005D582B" w:rsidRPr="009D4CD4">
        <w:rPr>
          <w:rFonts w:ascii="Calibri" w:eastAsia="Calibri" w:hAnsi="Calibri" w:cs="Arial"/>
          <w:sz w:val="22"/>
          <w:szCs w:val="22"/>
          <w:lang w:eastAsia="en-US"/>
        </w:rPr>
        <w:t xml:space="preserve"> ou</w:t>
      </w:r>
      <w:r w:rsidR="002C6921" w:rsidRPr="009D4CD4">
        <w:rPr>
          <w:rFonts w:ascii="Calibri" w:eastAsia="Calibri" w:hAnsi="Calibri" w:cs="Arial"/>
          <w:sz w:val="22"/>
          <w:szCs w:val="22"/>
          <w:lang w:eastAsia="en-US"/>
        </w:rPr>
        <w:t xml:space="preserve"> du </w:t>
      </w:r>
      <w:r w:rsidR="00224DD5" w:rsidRPr="009D4CD4">
        <w:rPr>
          <w:rFonts w:ascii="Calibri" w:eastAsia="Calibri" w:hAnsi="Calibri" w:cs="Arial"/>
          <w:sz w:val="22"/>
          <w:szCs w:val="22"/>
          <w:lang w:eastAsia="en-US"/>
        </w:rPr>
        <w:t>manque de moyens financiers.</w:t>
      </w:r>
      <w:r w:rsidR="002C6921" w:rsidRPr="009D4CD4">
        <w:rPr>
          <w:rFonts w:ascii="Calibri" w:eastAsia="Calibri" w:hAnsi="Calibri" w:cs="Arial"/>
          <w:sz w:val="22"/>
          <w:szCs w:val="22"/>
          <w:lang w:eastAsia="en-US"/>
        </w:rPr>
        <w:t xml:space="preserve"> Pour pallier ces freins, l</w:t>
      </w:r>
      <w:r w:rsidR="00224DD5" w:rsidRPr="009D4CD4">
        <w:rPr>
          <w:rFonts w:ascii="Calibri" w:eastAsia="Calibri" w:hAnsi="Calibri" w:cs="Arial"/>
          <w:sz w:val="22"/>
          <w:szCs w:val="22"/>
          <w:lang w:eastAsia="en-US"/>
        </w:rPr>
        <w:t>'association mène différentes actions</w:t>
      </w:r>
      <w:r w:rsidR="005D582B" w:rsidRPr="009D4CD4">
        <w:rPr>
          <w:rFonts w:ascii="Calibri" w:eastAsia="Calibri" w:hAnsi="Calibri" w:cs="Arial"/>
          <w:sz w:val="22"/>
          <w:szCs w:val="22"/>
          <w:lang w:eastAsia="en-US"/>
        </w:rPr>
        <w:t> : i</w:t>
      </w:r>
      <w:r w:rsidR="00224DD5" w:rsidRPr="009D4CD4">
        <w:rPr>
          <w:rFonts w:ascii="Calibri" w:eastAsia="Calibri" w:hAnsi="Calibri" w:cs="Arial"/>
          <w:sz w:val="22"/>
          <w:szCs w:val="22"/>
          <w:lang w:eastAsia="en-US"/>
        </w:rPr>
        <w:t>nterventions dans les lycées</w:t>
      </w:r>
      <w:r w:rsidR="005D582B" w:rsidRPr="009D4CD4">
        <w:rPr>
          <w:rFonts w:ascii="Calibri" w:eastAsia="Calibri" w:hAnsi="Calibri" w:cs="Arial"/>
          <w:sz w:val="22"/>
          <w:szCs w:val="22"/>
          <w:lang w:eastAsia="en-US"/>
        </w:rPr>
        <w:t> ; financement de bourses ; accompagnement personnalisé ; mise à disposition d’une plateforme en ligne ; mise en relation avec les entreprises.</w:t>
      </w:r>
    </w:p>
    <w:p w14:paraId="45AAD34C" w14:textId="5267532C" w:rsidR="00224DD5" w:rsidRPr="009D4CD4" w:rsidRDefault="00F4368A" w:rsidP="00402F2C">
      <w:pPr>
        <w:pStyle w:val="CAA-N"/>
        <w:spacing w:after="0"/>
        <w:jc w:val="left"/>
        <w:rPr>
          <w:rFonts w:ascii="Calibri" w:hAnsi="Calibri" w:cs="Arial"/>
          <w:sz w:val="22"/>
          <w:szCs w:val="22"/>
        </w:rPr>
      </w:pPr>
      <w:r w:rsidRPr="009D4CD4">
        <w:rPr>
          <w:rFonts w:ascii="Calibri" w:hAnsi="Calibri" w:cs="Arial"/>
          <w:color w:val="auto"/>
          <w:sz w:val="22"/>
          <w:szCs w:val="22"/>
        </w:rPr>
        <w:t>En 2021, l</w:t>
      </w:r>
      <w:r w:rsidR="00224DD5" w:rsidRPr="009D4CD4">
        <w:rPr>
          <w:rFonts w:ascii="Calibri" w:hAnsi="Calibri" w:cs="Arial"/>
          <w:color w:val="auto"/>
          <w:sz w:val="22"/>
          <w:szCs w:val="22"/>
        </w:rPr>
        <w:t xml:space="preserve">e CA NMP </w:t>
      </w:r>
      <w:r w:rsidRPr="009D4CD4">
        <w:rPr>
          <w:rFonts w:ascii="Calibri" w:hAnsi="Calibri" w:cs="Arial"/>
          <w:color w:val="auto"/>
          <w:sz w:val="22"/>
          <w:szCs w:val="22"/>
        </w:rPr>
        <w:t>s’est associé</w:t>
      </w:r>
      <w:r w:rsidR="005D582B" w:rsidRPr="009D4CD4">
        <w:rPr>
          <w:rFonts w:ascii="Calibri" w:hAnsi="Calibri" w:cs="Arial"/>
          <w:color w:val="auto"/>
          <w:sz w:val="22"/>
          <w:szCs w:val="22"/>
        </w:rPr>
        <w:t xml:space="preserve"> à l’action de l’association en </w:t>
      </w:r>
      <w:r w:rsidR="00224DD5" w:rsidRPr="009D4CD4">
        <w:rPr>
          <w:rFonts w:ascii="Calibri" w:hAnsi="Calibri" w:cs="Arial"/>
          <w:sz w:val="22"/>
          <w:szCs w:val="22"/>
        </w:rPr>
        <w:t xml:space="preserve">finançant une bourse de 6 000 € </w:t>
      </w:r>
      <w:r w:rsidR="005D582B" w:rsidRPr="009D4CD4">
        <w:rPr>
          <w:rFonts w:ascii="Calibri" w:hAnsi="Calibri" w:cs="Arial"/>
          <w:sz w:val="22"/>
          <w:szCs w:val="22"/>
        </w:rPr>
        <w:t xml:space="preserve">destinée à </w:t>
      </w:r>
      <w:r w:rsidR="00224DD5" w:rsidRPr="009D4CD4">
        <w:rPr>
          <w:rFonts w:ascii="Calibri" w:hAnsi="Calibri" w:cs="Arial"/>
          <w:sz w:val="22"/>
          <w:szCs w:val="22"/>
        </w:rPr>
        <w:t xml:space="preserve">un jeune tarnais </w:t>
      </w:r>
      <w:r w:rsidR="00EF7DD6" w:rsidRPr="009D4CD4">
        <w:rPr>
          <w:rFonts w:ascii="Calibri" w:hAnsi="Calibri" w:cs="Arial"/>
          <w:sz w:val="22"/>
          <w:szCs w:val="22"/>
        </w:rPr>
        <w:t>pour</w:t>
      </w:r>
      <w:r w:rsidR="005D582B" w:rsidRPr="009D4CD4">
        <w:rPr>
          <w:rFonts w:ascii="Calibri" w:hAnsi="Calibri" w:cs="Arial"/>
          <w:sz w:val="22"/>
          <w:szCs w:val="22"/>
        </w:rPr>
        <w:t xml:space="preserve"> rentrer dans une Grande Ecole tout en étant parrainé par un diplômé de cette école.</w:t>
      </w:r>
    </w:p>
    <w:p w14:paraId="0D5FD1A2" w14:textId="77777777" w:rsidR="00DF227C" w:rsidRPr="009D4CD4" w:rsidRDefault="00DF227C" w:rsidP="00402F2C">
      <w:pPr>
        <w:pStyle w:val="CAA-N"/>
        <w:spacing w:after="0"/>
        <w:jc w:val="left"/>
        <w:rPr>
          <w:rFonts w:ascii="Calibri" w:hAnsi="Calibri" w:cs="Arial"/>
          <w:sz w:val="22"/>
          <w:szCs w:val="22"/>
        </w:rPr>
      </w:pPr>
    </w:p>
    <w:p w14:paraId="60EE8DBB" w14:textId="1A3F6704" w:rsidR="00EF7DD6" w:rsidRPr="009D4CD4" w:rsidRDefault="00EF7DD6" w:rsidP="00402F2C">
      <w:pPr>
        <w:pStyle w:val="CAA-N"/>
        <w:spacing w:after="0"/>
        <w:jc w:val="left"/>
        <w:rPr>
          <w:rFonts w:cs="Arial"/>
        </w:rPr>
      </w:pPr>
      <w:r w:rsidRPr="009D4CD4">
        <w:rPr>
          <w:rFonts w:ascii="Calibri" w:hAnsi="Calibri" w:cs="Arial"/>
          <w:sz w:val="22"/>
          <w:szCs w:val="22"/>
        </w:rPr>
        <w:t>Sur les autres départements, des réflexions sont lancées avec des partenaires locaux.</w:t>
      </w:r>
    </w:p>
    <w:p w14:paraId="4578E6EC" w14:textId="77777777" w:rsidR="00224DD5" w:rsidRPr="009D4CD4" w:rsidRDefault="00224DD5" w:rsidP="00402F2C">
      <w:pPr>
        <w:spacing w:after="0" w:line="240" w:lineRule="auto"/>
        <w:jc w:val="left"/>
        <w:rPr>
          <w:rFonts w:eastAsia="Times New Roman"/>
          <w:lang w:eastAsia="fr-FR"/>
        </w:rPr>
      </w:pPr>
    </w:p>
    <w:p w14:paraId="4A3FBD2E" w14:textId="77777777" w:rsidR="00224DD5" w:rsidRPr="009D4CD4" w:rsidRDefault="00224DD5" w:rsidP="00402F2C">
      <w:pPr>
        <w:pStyle w:val="Titre5"/>
      </w:pPr>
      <w:bookmarkStart w:id="85" w:name="_Toc96698010"/>
      <w:r w:rsidRPr="009D4CD4">
        <w:t>Passerelle Jeunes : une aide pour les jeunes en difficulté</w:t>
      </w:r>
      <w:bookmarkEnd w:id="85"/>
    </w:p>
    <w:p w14:paraId="016E45F5" w14:textId="77777777" w:rsidR="00677357" w:rsidRDefault="00677357" w:rsidP="00402F2C">
      <w:pPr>
        <w:spacing w:after="0" w:line="240" w:lineRule="auto"/>
        <w:jc w:val="left"/>
        <w:rPr>
          <w:rFonts w:cs="Arial"/>
          <w:color w:val="FF0000"/>
        </w:rPr>
      </w:pPr>
    </w:p>
    <w:p w14:paraId="4CD50A95" w14:textId="0084CB0C" w:rsidR="00D66B20" w:rsidRPr="009D4CD4" w:rsidRDefault="00D66B20" w:rsidP="00402F2C">
      <w:pPr>
        <w:spacing w:after="0" w:line="240" w:lineRule="auto"/>
        <w:jc w:val="left"/>
        <w:rPr>
          <w:rFonts w:cs="Arial"/>
        </w:rPr>
      </w:pPr>
      <w:r w:rsidRPr="009D4CD4">
        <w:rPr>
          <w:rFonts w:cs="Arial"/>
        </w:rPr>
        <w:t xml:space="preserve">En 2021, le Point Passerelle du CANMP a élargi son périmètre d’actions pour aider les jeunes de 18 à 30 ans en situation précaire : étudiant, apprenti ou jeunes en recherche d’emploi…) sans possibilité d’aide familiale hors logement, ni d’épargne de sécurité, avec des revenus sociaux uniquement ou revenus non significatifs pendant les 6 derniers mois glissants.  Le but est d’aider ces jeunes à financer les frais liés au logement (loyers, cautions…) ; à la scolarité (frais d’inscription, abonnement transport, livres, fournitures) ; à l’apprentissage/recherche emploi (équipements spécifiques, transport) ; permis de conduire ; équipement numérique. L’aide attribuée s’élèvent au maximum par personne à 500€. </w:t>
      </w:r>
      <w:r w:rsidR="00EF7DD6" w:rsidRPr="009D4CD4">
        <w:rPr>
          <w:rFonts w:cs="Arial"/>
        </w:rPr>
        <w:t xml:space="preserve">En 2021, </w:t>
      </w:r>
      <w:r w:rsidRPr="009D4CD4">
        <w:rPr>
          <w:rFonts w:cs="Arial"/>
        </w:rPr>
        <w:t>40 Jeune</w:t>
      </w:r>
      <w:r w:rsidR="00EF7DD6" w:rsidRPr="009D4CD4">
        <w:rPr>
          <w:rFonts w:cs="Arial"/>
        </w:rPr>
        <w:t>s ont été bénéficiaires de cet</w:t>
      </w:r>
      <w:r w:rsidRPr="009D4CD4">
        <w:rPr>
          <w:rFonts w:cs="Arial"/>
        </w:rPr>
        <w:t xml:space="preserve"> accompagnement.</w:t>
      </w:r>
    </w:p>
    <w:p w14:paraId="4ECC9A0C" w14:textId="2E4F8A8B" w:rsidR="00757CC8" w:rsidRPr="009D4CD4" w:rsidRDefault="00757CC8" w:rsidP="00D66B20">
      <w:pPr>
        <w:spacing w:after="0" w:line="240" w:lineRule="auto"/>
        <w:jc w:val="left"/>
        <w:rPr>
          <w:rFonts w:cs="Arial"/>
        </w:rPr>
      </w:pPr>
    </w:p>
    <w:p w14:paraId="174223FE" w14:textId="652BE445" w:rsidR="00224DD5" w:rsidRPr="009D4CD4" w:rsidRDefault="00224DD5" w:rsidP="009266BC">
      <w:pPr>
        <w:pStyle w:val="Titre5"/>
      </w:pPr>
      <w:bookmarkStart w:id="86" w:name="_Toc96698011"/>
      <w:r w:rsidRPr="009D4CD4">
        <w:t>L’appel à projets</w:t>
      </w:r>
      <w:r w:rsidR="008F224B" w:rsidRPr="009D4CD4">
        <w:t xml:space="preserve"> pour les j</w:t>
      </w:r>
      <w:r w:rsidRPr="009D4CD4">
        <w:t xml:space="preserve">eunes : </w:t>
      </w:r>
      <w:r w:rsidR="008F224B" w:rsidRPr="009D4CD4">
        <w:rPr>
          <w:i/>
        </w:rPr>
        <w:t>tout RE</w:t>
      </w:r>
      <w:r w:rsidRPr="009D4CD4">
        <w:rPr>
          <w:i/>
        </w:rPr>
        <w:t>commence ici</w:t>
      </w:r>
      <w:r w:rsidRPr="009D4CD4">
        <w:t> !</w:t>
      </w:r>
      <w:bookmarkEnd w:id="86"/>
    </w:p>
    <w:p w14:paraId="4B8E4517" w14:textId="77777777" w:rsidR="00677357" w:rsidRDefault="00677357" w:rsidP="00224DD5">
      <w:pPr>
        <w:spacing w:after="0" w:line="240" w:lineRule="auto"/>
        <w:jc w:val="left"/>
        <w:rPr>
          <w:rFonts w:cs="Arial"/>
          <w:color w:val="FF0000"/>
        </w:rPr>
      </w:pPr>
    </w:p>
    <w:p w14:paraId="622BDFA4" w14:textId="1ED77AC9" w:rsidR="00224DD5" w:rsidRPr="009D4CD4" w:rsidRDefault="000B12AE" w:rsidP="00224DD5">
      <w:pPr>
        <w:spacing w:after="0" w:line="240" w:lineRule="auto"/>
        <w:jc w:val="left"/>
        <w:rPr>
          <w:rFonts w:cs="Arial"/>
        </w:rPr>
      </w:pPr>
      <w:r w:rsidRPr="009D4CD4">
        <w:rPr>
          <w:rFonts w:cs="Arial"/>
        </w:rPr>
        <w:t xml:space="preserve">Lancé en </w:t>
      </w:r>
      <w:r w:rsidR="00757CC8" w:rsidRPr="009D4CD4">
        <w:rPr>
          <w:rFonts w:cs="Arial"/>
        </w:rPr>
        <w:t>2021</w:t>
      </w:r>
      <w:r w:rsidRPr="009D4CD4">
        <w:rPr>
          <w:rFonts w:cs="Arial"/>
        </w:rPr>
        <w:t xml:space="preserve">, l’appel à projet </w:t>
      </w:r>
      <w:r w:rsidR="00757CC8" w:rsidRPr="009D4CD4">
        <w:rPr>
          <w:rFonts w:cs="Arial"/>
        </w:rPr>
        <w:t xml:space="preserve">« Tout REcommence ici », </w:t>
      </w:r>
      <w:r w:rsidR="00224DD5" w:rsidRPr="009D4CD4">
        <w:rPr>
          <w:rFonts w:cs="Arial"/>
        </w:rPr>
        <w:t>vis</w:t>
      </w:r>
      <w:r w:rsidRPr="009D4CD4">
        <w:rPr>
          <w:rFonts w:cs="Arial"/>
        </w:rPr>
        <w:t>e</w:t>
      </w:r>
      <w:r w:rsidR="00224DD5" w:rsidRPr="009D4CD4">
        <w:rPr>
          <w:rFonts w:cs="Arial"/>
        </w:rPr>
        <w:t xml:space="preserve"> à accompagner les initiatives en faveur des jeunes </w:t>
      </w:r>
      <w:r w:rsidR="00757CC8" w:rsidRPr="009D4CD4">
        <w:rPr>
          <w:rFonts w:cs="Arial"/>
        </w:rPr>
        <w:t xml:space="preserve">dans les domaines </w:t>
      </w:r>
      <w:r w:rsidR="00224DD5" w:rsidRPr="009D4CD4">
        <w:rPr>
          <w:rFonts w:cs="Arial"/>
        </w:rPr>
        <w:t>de :</w:t>
      </w:r>
    </w:p>
    <w:p w14:paraId="482F8027" w14:textId="62DA1257" w:rsidR="00224DD5" w:rsidRPr="009D4CD4" w:rsidRDefault="00FE3EC1" w:rsidP="00224DD5">
      <w:pPr>
        <w:spacing w:after="0" w:line="240" w:lineRule="auto"/>
        <w:jc w:val="left"/>
        <w:rPr>
          <w:rFonts w:cs="Arial"/>
        </w:rPr>
      </w:pPr>
      <w:r w:rsidRPr="009D4CD4">
        <w:rPr>
          <w:rFonts w:cs="Arial"/>
        </w:rPr>
        <w:t>&gt; L’emploi</w:t>
      </w:r>
      <w:r w:rsidR="00224DD5" w:rsidRPr="009D4CD4">
        <w:rPr>
          <w:rFonts w:cs="Arial"/>
        </w:rPr>
        <w:t> : favoriser l’insertion professionnelle des jeunes (emplois, alternances, stag</w:t>
      </w:r>
      <w:r w:rsidR="00EF7DD6" w:rsidRPr="009D4CD4">
        <w:rPr>
          <w:rFonts w:cs="Arial"/>
        </w:rPr>
        <w:t>es, formations, entrepreneuriat</w:t>
      </w:r>
      <w:r w:rsidR="00224DD5" w:rsidRPr="009D4CD4">
        <w:rPr>
          <w:rFonts w:cs="Arial"/>
        </w:rPr>
        <w:t>, mobilité…)</w:t>
      </w:r>
    </w:p>
    <w:p w14:paraId="61542F62" w14:textId="3C30BFEC" w:rsidR="00224DD5" w:rsidRPr="009D4CD4" w:rsidRDefault="00757CC8" w:rsidP="00224DD5">
      <w:pPr>
        <w:spacing w:after="0" w:line="240" w:lineRule="auto"/>
        <w:jc w:val="left"/>
        <w:rPr>
          <w:rFonts w:cs="Arial"/>
        </w:rPr>
      </w:pPr>
      <w:r w:rsidRPr="009D4CD4">
        <w:rPr>
          <w:rFonts w:cs="Arial"/>
        </w:rPr>
        <w:t>&gt;</w:t>
      </w:r>
      <w:r w:rsidR="00FE3EC1" w:rsidRPr="009D4CD4">
        <w:rPr>
          <w:rFonts w:cs="Arial"/>
        </w:rPr>
        <w:t xml:space="preserve"> </w:t>
      </w:r>
      <w:r w:rsidR="00224DD5" w:rsidRPr="009D4CD4">
        <w:rPr>
          <w:rFonts w:cs="Arial"/>
        </w:rPr>
        <w:t>L’éducation : lutter contre les inégalités (soutien scolaire, orientation, inclusion numérique</w:t>
      </w:r>
      <w:r w:rsidR="00EF7DD6" w:rsidRPr="009D4CD4">
        <w:rPr>
          <w:rFonts w:cs="Arial"/>
        </w:rPr>
        <w:t>…</w:t>
      </w:r>
      <w:r w:rsidR="00224DD5" w:rsidRPr="009D4CD4">
        <w:rPr>
          <w:rFonts w:cs="Arial"/>
        </w:rPr>
        <w:t>) ; favoriser les projets éducatifs (art, culture, histoire…)</w:t>
      </w:r>
    </w:p>
    <w:p w14:paraId="75AAACEC" w14:textId="675C1166" w:rsidR="00224DD5" w:rsidRPr="009D4CD4" w:rsidRDefault="00757CC8" w:rsidP="00224DD5">
      <w:pPr>
        <w:spacing w:after="0" w:line="240" w:lineRule="auto"/>
        <w:jc w:val="left"/>
        <w:rPr>
          <w:rFonts w:cs="Arial"/>
        </w:rPr>
      </w:pPr>
      <w:r w:rsidRPr="009D4CD4">
        <w:rPr>
          <w:rFonts w:cs="Arial"/>
        </w:rPr>
        <w:t>&gt;</w:t>
      </w:r>
      <w:r w:rsidR="00FE3EC1" w:rsidRPr="009D4CD4">
        <w:rPr>
          <w:rFonts w:cs="Arial"/>
        </w:rPr>
        <w:t xml:space="preserve"> </w:t>
      </w:r>
      <w:r w:rsidR="00224DD5" w:rsidRPr="009D4CD4">
        <w:rPr>
          <w:rFonts w:cs="Arial"/>
        </w:rPr>
        <w:t>L’accompagnement social : préserver les jeunes dans leur environnement et leur bien-être (aide alimentaire, santé, activité physique, logement, lien social…)</w:t>
      </w:r>
    </w:p>
    <w:p w14:paraId="53BE8DCC" w14:textId="0449D0C9" w:rsidR="00224DD5" w:rsidRPr="009D4CD4" w:rsidRDefault="00546BB6" w:rsidP="00224DD5">
      <w:pPr>
        <w:spacing w:after="0" w:line="240" w:lineRule="auto"/>
        <w:jc w:val="left"/>
      </w:pPr>
      <w:r w:rsidRPr="009D4CD4">
        <w:t xml:space="preserve">Les projets sont sélectionnés par la Caisse locale concernée et peuvent </w:t>
      </w:r>
      <w:r w:rsidR="00224DD5" w:rsidRPr="009D4CD4">
        <w:t xml:space="preserve">être présentés à un jury </w:t>
      </w:r>
      <w:r w:rsidR="00EF7DD6" w:rsidRPr="009D4CD4">
        <w:t xml:space="preserve">de la </w:t>
      </w:r>
      <w:r w:rsidR="00A7717F">
        <w:t>Caisse Régionale</w:t>
      </w:r>
      <w:r w:rsidR="00EF7DD6" w:rsidRPr="009D4CD4">
        <w:t xml:space="preserve"> et national </w:t>
      </w:r>
      <w:r w:rsidR="00224DD5" w:rsidRPr="009D4CD4">
        <w:t>pour bénéficier d’une dotation complémentaire</w:t>
      </w:r>
      <w:r w:rsidR="000B12AE" w:rsidRPr="009D4CD4">
        <w:t>.</w:t>
      </w:r>
    </w:p>
    <w:p w14:paraId="5052B7AE" w14:textId="616BEEAA" w:rsidR="00224DD5" w:rsidRPr="009D4CD4" w:rsidRDefault="00546BB6" w:rsidP="00224DD5">
      <w:pPr>
        <w:spacing w:after="0" w:line="240" w:lineRule="auto"/>
        <w:jc w:val="left"/>
        <w:rPr>
          <w:rFonts w:cs="Arial"/>
        </w:rPr>
      </w:pPr>
      <w:r w:rsidRPr="009D4CD4">
        <w:rPr>
          <w:rFonts w:cs="Arial"/>
        </w:rPr>
        <w:t>Les bén</w:t>
      </w:r>
      <w:r w:rsidR="00224DD5" w:rsidRPr="009D4CD4">
        <w:rPr>
          <w:rFonts w:cs="Arial"/>
        </w:rPr>
        <w:t>éficiaires</w:t>
      </w:r>
      <w:r w:rsidRPr="009D4CD4">
        <w:rPr>
          <w:rFonts w:cs="Arial"/>
        </w:rPr>
        <w:t>, clients ou non du CANMP</w:t>
      </w:r>
      <w:r w:rsidR="0041783B" w:rsidRPr="009D4CD4">
        <w:rPr>
          <w:rFonts w:cs="Arial"/>
        </w:rPr>
        <w:t xml:space="preserve">, </w:t>
      </w:r>
      <w:r w:rsidR="0041783B" w:rsidRPr="009D4CD4">
        <w:t>domiciliés dans l’Aveyron, le Lot, le Tarn ou le Tarn et Garonne</w:t>
      </w:r>
      <w:r w:rsidRPr="009D4CD4">
        <w:rPr>
          <w:rFonts w:cs="Arial"/>
        </w:rPr>
        <w:t>, sont</w:t>
      </w:r>
      <w:r w:rsidR="0041783B" w:rsidRPr="009D4CD4">
        <w:rPr>
          <w:rFonts w:cs="Arial"/>
        </w:rPr>
        <w:t xml:space="preserve"> : </w:t>
      </w:r>
      <w:r w:rsidRPr="009D4CD4">
        <w:rPr>
          <w:rFonts w:cs="Arial"/>
        </w:rPr>
        <w:t>les a</w:t>
      </w:r>
      <w:r w:rsidRPr="009D4CD4">
        <w:t>ssociations loi 1901 ; l</w:t>
      </w:r>
      <w:r w:rsidR="00224DD5" w:rsidRPr="009D4CD4">
        <w:t>es F</w:t>
      </w:r>
      <w:r w:rsidRPr="009D4CD4">
        <w:t>ondations et Fonds de dotation ; l</w:t>
      </w:r>
      <w:r w:rsidR="00224DD5" w:rsidRPr="009D4CD4">
        <w:t>es Centre</w:t>
      </w:r>
      <w:r w:rsidRPr="009D4CD4">
        <w:t>s Communaux d’Actions Sociales ; l</w:t>
      </w:r>
      <w:r w:rsidR="00224DD5" w:rsidRPr="009D4CD4">
        <w:t>es jeunes majeurs capables jusqu’à l’âge de 30 ans révolus</w:t>
      </w:r>
      <w:r w:rsidRPr="009D4CD4">
        <w:t xml:space="preserve">. </w:t>
      </w:r>
    </w:p>
    <w:p w14:paraId="105D6F9F" w14:textId="2E438527" w:rsidR="00224DD5" w:rsidRPr="009D4CD4" w:rsidRDefault="0099309E" w:rsidP="00224DD5">
      <w:pPr>
        <w:pStyle w:val="NormalWeb"/>
        <w:shd w:val="clear" w:color="auto" w:fill="FFFFFF"/>
        <w:spacing w:before="150" w:beforeAutospacing="0" w:after="150" w:afterAutospacing="0"/>
        <w:jc w:val="both"/>
        <w:rPr>
          <w:rFonts w:ascii="Calibri" w:eastAsia="Calibri" w:hAnsi="Calibri" w:cs="Arial"/>
          <w:sz w:val="22"/>
          <w:szCs w:val="22"/>
          <w:lang w:eastAsia="en-US"/>
        </w:rPr>
      </w:pPr>
      <w:r w:rsidRPr="009D4CD4">
        <w:rPr>
          <w:rFonts w:ascii="Calibri" w:eastAsia="Calibri" w:hAnsi="Calibri" w:cs="Arial"/>
          <w:sz w:val="22"/>
          <w:szCs w:val="22"/>
          <w:lang w:eastAsia="en-US"/>
        </w:rPr>
        <w:t>Le projet doit cibler prioritairement les jeunes ; ê</w:t>
      </w:r>
      <w:r w:rsidR="00224DD5" w:rsidRPr="009D4CD4">
        <w:rPr>
          <w:rFonts w:ascii="Calibri" w:eastAsia="Calibri" w:hAnsi="Calibri" w:cs="Arial"/>
          <w:sz w:val="22"/>
          <w:szCs w:val="22"/>
          <w:lang w:eastAsia="en-US"/>
        </w:rPr>
        <w:t xml:space="preserve">tre </w:t>
      </w:r>
      <w:r w:rsidRPr="009D4CD4">
        <w:rPr>
          <w:rFonts w:ascii="Calibri" w:eastAsia="Calibri" w:hAnsi="Calibri" w:cs="Arial"/>
          <w:sz w:val="22"/>
          <w:szCs w:val="22"/>
          <w:lang w:eastAsia="en-US"/>
        </w:rPr>
        <w:t>à but non lucratif et</w:t>
      </w:r>
      <w:r w:rsidR="00224DD5" w:rsidRPr="009D4CD4">
        <w:rPr>
          <w:rFonts w:ascii="Calibri" w:eastAsia="Calibri" w:hAnsi="Calibri" w:cs="Arial"/>
          <w:sz w:val="22"/>
          <w:szCs w:val="22"/>
          <w:lang w:eastAsia="en-US"/>
        </w:rPr>
        <w:t xml:space="preserve"> réalisé </w:t>
      </w:r>
      <w:r w:rsidRPr="009D4CD4">
        <w:rPr>
          <w:rFonts w:ascii="Calibri" w:eastAsia="Calibri" w:hAnsi="Calibri" w:cs="Arial"/>
          <w:sz w:val="22"/>
          <w:szCs w:val="22"/>
          <w:lang w:eastAsia="en-US"/>
        </w:rPr>
        <w:t xml:space="preserve">sur les </w:t>
      </w:r>
      <w:r w:rsidR="00224DD5" w:rsidRPr="009D4CD4">
        <w:rPr>
          <w:rFonts w:ascii="Calibri" w:eastAsia="Calibri" w:hAnsi="Calibri" w:cs="Arial"/>
          <w:sz w:val="22"/>
          <w:szCs w:val="22"/>
          <w:lang w:eastAsia="en-US"/>
        </w:rPr>
        <w:t>départements de l’Aveyron, du Lot</w:t>
      </w:r>
      <w:r w:rsidRPr="009D4CD4">
        <w:rPr>
          <w:rFonts w:ascii="Calibri" w:eastAsia="Calibri" w:hAnsi="Calibri" w:cs="Arial"/>
          <w:sz w:val="22"/>
          <w:szCs w:val="22"/>
          <w:lang w:eastAsia="en-US"/>
        </w:rPr>
        <w:t xml:space="preserve">, du Tarn et du Tarn et Garonne ; ne </w:t>
      </w:r>
      <w:r w:rsidR="00224DD5" w:rsidRPr="009D4CD4">
        <w:rPr>
          <w:rFonts w:ascii="Calibri" w:eastAsia="Calibri" w:hAnsi="Calibri" w:cs="Arial"/>
          <w:sz w:val="22"/>
          <w:szCs w:val="22"/>
          <w:lang w:eastAsia="en-US"/>
        </w:rPr>
        <w:t>pas être conçu et réalisé au seul bénéfice du porteur de projet,</w:t>
      </w:r>
    </w:p>
    <w:p w14:paraId="6B8FDF55" w14:textId="2B7505E4" w:rsidR="00224DD5" w:rsidRPr="009D4CD4" w:rsidRDefault="00CB2771" w:rsidP="00224DD5">
      <w:pPr>
        <w:pStyle w:val="NormalWeb"/>
        <w:shd w:val="clear" w:color="auto" w:fill="FFFFFF"/>
        <w:spacing w:before="150" w:beforeAutospacing="0" w:after="150" w:afterAutospacing="0"/>
        <w:jc w:val="both"/>
        <w:rPr>
          <w:rFonts w:ascii="Calibri" w:eastAsia="Calibri" w:hAnsi="Calibri" w:cs="Arial"/>
          <w:sz w:val="22"/>
          <w:szCs w:val="22"/>
          <w:lang w:eastAsia="en-US"/>
        </w:rPr>
      </w:pPr>
      <w:r w:rsidRPr="009D4CD4">
        <w:rPr>
          <w:rFonts w:ascii="Calibri" w:eastAsia="Calibri" w:hAnsi="Calibri" w:cs="Arial"/>
          <w:sz w:val="22"/>
          <w:szCs w:val="22"/>
          <w:lang w:eastAsia="en-US"/>
        </w:rPr>
        <w:t>17 projets ont été aidés en 2021.</w:t>
      </w:r>
    </w:p>
    <w:p w14:paraId="777E67F8" w14:textId="77777777" w:rsidR="00CF7735" w:rsidRPr="009D4CD4" w:rsidRDefault="00CF7735" w:rsidP="00CF7735">
      <w:pPr>
        <w:shd w:val="clear" w:color="auto" w:fill="FFFFFF"/>
        <w:spacing w:after="0" w:line="240" w:lineRule="auto"/>
        <w:jc w:val="left"/>
        <w:rPr>
          <w:rFonts w:cs="Arial"/>
        </w:rPr>
      </w:pPr>
    </w:p>
    <w:p w14:paraId="12BE96D7" w14:textId="27390616" w:rsidR="00CF7735" w:rsidRPr="009D4CD4" w:rsidRDefault="00CF7735" w:rsidP="00CF7735">
      <w:pPr>
        <w:pStyle w:val="Titre5"/>
      </w:pPr>
      <w:bookmarkStart w:id="87" w:name="_Toc96698012"/>
      <w:r w:rsidRPr="009D4CD4">
        <w:t>Le partenariat avec l’association Entreprendre pour Apprendre Midi-Pyrénées (EPA MP)</w:t>
      </w:r>
      <w:bookmarkEnd w:id="87"/>
    </w:p>
    <w:p w14:paraId="2230A07D" w14:textId="77777777" w:rsidR="00CF7735" w:rsidRPr="009D4CD4" w:rsidRDefault="00CF7735" w:rsidP="00CF7735">
      <w:pPr>
        <w:shd w:val="clear" w:color="auto" w:fill="FFFFFF"/>
        <w:spacing w:after="0" w:line="240" w:lineRule="auto"/>
        <w:jc w:val="left"/>
        <w:rPr>
          <w:rFonts w:cs="Arial"/>
        </w:rPr>
      </w:pPr>
    </w:p>
    <w:p w14:paraId="25F0DE9D" w14:textId="180C128E" w:rsidR="00CF7735" w:rsidRPr="009D4CD4" w:rsidRDefault="00CF7735" w:rsidP="00CF7735">
      <w:pPr>
        <w:shd w:val="clear" w:color="auto" w:fill="FFFFFF"/>
        <w:spacing w:after="0" w:line="240" w:lineRule="auto"/>
        <w:jc w:val="left"/>
        <w:rPr>
          <w:rFonts w:cs="Arial"/>
        </w:rPr>
      </w:pPr>
      <w:r w:rsidRPr="009D4CD4">
        <w:rPr>
          <w:rFonts w:cs="Arial"/>
        </w:rPr>
        <w:t>EPA MP est une structure affiliée à un réseau d’une vingtaine d’associations en France dont le but est de développer les compétences entrepreneuriales des jeunes.  Le réseau EPA accompagne dans toute la France près de 20 000 élèves de 8 à 25 ans. Le concept de « mini-entreprise » est un programme d’EPA mis en œuvre dans les établissements d’enseignement, basé sur le constat que les collégiens et lycéens ont très peu d’occasions de découvrir l’entrepreneuriat. L’association propose donc aux jeunes de créer une entreprise en groupe, avec chacun un rôle et des responsabilités. Les jeunes conçoivent, produisent et commercialisent un produit ou un service et assument la gestion administrative et financière. Les administrateurs des Caisses locales sont invités à devenir parrains de mini-entreprises.</w:t>
      </w:r>
    </w:p>
    <w:p w14:paraId="45082D20" w14:textId="28F9CB7B" w:rsidR="0099309E" w:rsidRPr="009D4CD4" w:rsidRDefault="00CF7735" w:rsidP="00CF7735">
      <w:pPr>
        <w:spacing w:after="0" w:line="240" w:lineRule="auto"/>
        <w:jc w:val="left"/>
        <w:rPr>
          <w:rFonts w:cs="Calibri"/>
        </w:rPr>
      </w:pPr>
      <w:r w:rsidRPr="009D4CD4">
        <w:rPr>
          <w:rFonts w:cs="Calibri"/>
        </w:rPr>
        <w:t>En 2021, l’association EPA a été une nouvelle fois accompagnée dans le cadre d’un projet porté par l’ensemble des Caisses régionales d’Occitanie, visant à la mise en place d’ateliers collectifs sur l’entreprenariat en établissements scolaires.</w:t>
      </w:r>
    </w:p>
    <w:p w14:paraId="5B8A7F7B" w14:textId="1601D1FC" w:rsidR="00B72A61" w:rsidRPr="009D4CD4" w:rsidRDefault="00C05C3F" w:rsidP="00AE41C9">
      <w:pPr>
        <w:pStyle w:val="Titre4"/>
      </w:pPr>
      <w:bookmarkStart w:id="88" w:name="_Toc96095117"/>
      <w:bookmarkStart w:id="89" w:name="_Toc96095295"/>
      <w:bookmarkStart w:id="90" w:name="_Toc96698013"/>
      <w:bookmarkEnd w:id="88"/>
      <w:bookmarkEnd w:id="89"/>
      <w:r>
        <w:t>Le CANMP, soutien des acteurs du territoire</w:t>
      </w:r>
      <w:bookmarkEnd w:id="90"/>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0"/>
        <w:gridCol w:w="1232"/>
        <w:gridCol w:w="1148"/>
        <w:gridCol w:w="1246"/>
      </w:tblGrid>
      <w:tr w:rsidR="00422270" w:rsidRPr="009D4CD4" w14:paraId="693C98DF" w14:textId="77777777" w:rsidTr="00042119">
        <w:trPr>
          <w:trHeight w:hRule="exact" w:val="255"/>
        </w:trPr>
        <w:tc>
          <w:tcPr>
            <w:tcW w:w="5900" w:type="dxa"/>
            <w:tcBorders>
              <w:top w:val="nil"/>
              <w:left w:val="nil"/>
              <w:bottom w:val="single" w:sz="4" w:space="0" w:color="auto"/>
              <w:right w:val="single" w:sz="4" w:space="0" w:color="auto"/>
            </w:tcBorders>
            <w:shd w:val="clear" w:color="auto" w:fill="auto"/>
          </w:tcPr>
          <w:p w14:paraId="3B43A974" w14:textId="77777777" w:rsidR="00422270" w:rsidRPr="009D4CD4" w:rsidRDefault="00422270" w:rsidP="00422270">
            <w:pPr>
              <w:spacing w:after="0" w:line="240" w:lineRule="auto"/>
              <w:ind w:right="140"/>
              <w:jc w:val="left"/>
              <w:rPr>
                <w:rFonts w:eastAsia="Times New Roman" w:cs="Arial"/>
              </w:rPr>
            </w:pPr>
            <w:r w:rsidRPr="009D4CD4">
              <w:rPr>
                <w:rFonts w:eastAsia="Times New Roman" w:cs="Arial"/>
                <w:b/>
                <w:i/>
                <w:sz w:val="20"/>
                <w:szCs w:val="20"/>
              </w:rPr>
              <w:t>Les chiffres – clé</w:t>
            </w:r>
          </w:p>
        </w:tc>
        <w:tc>
          <w:tcPr>
            <w:tcW w:w="1232" w:type="dxa"/>
            <w:tcBorders>
              <w:left w:val="single" w:sz="4" w:space="0" w:color="auto"/>
              <w:right w:val="single" w:sz="4" w:space="0" w:color="auto"/>
            </w:tcBorders>
          </w:tcPr>
          <w:p w14:paraId="2DC8954B" w14:textId="723ED834" w:rsidR="00422270" w:rsidRPr="009D4CD4" w:rsidRDefault="00422270" w:rsidP="00422270">
            <w:pPr>
              <w:spacing w:after="0" w:line="240" w:lineRule="auto"/>
              <w:ind w:right="140"/>
              <w:jc w:val="left"/>
              <w:rPr>
                <w:rFonts w:eastAsia="Times New Roman" w:cs="Arial"/>
                <w:b/>
              </w:rPr>
            </w:pPr>
            <w:r w:rsidRPr="009D4CD4">
              <w:rPr>
                <w:rFonts w:eastAsia="Times New Roman" w:cs="Arial"/>
                <w:b/>
              </w:rPr>
              <w:t>2021</w:t>
            </w:r>
          </w:p>
        </w:tc>
        <w:tc>
          <w:tcPr>
            <w:tcW w:w="1148" w:type="dxa"/>
            <w:tcBorders>
              <w:left w:val="single" w:sz="4" w:space="0" w:color="auto"/>
            </w:tcBorders>
            <w:shd w:val="clear" w:color="auto" w:fill="auto"/>
          </w:tcPr>
          <w:p w14:paraId="03142309" w14:textId="5C76FD98" w:rsidR="00422270" w:rsidRPr="009D4CD4" w:rsidRDefault="00422270" w:rsidP="00422270">
            <w:pPr>
              <w:spacing w:after="0" w:line="240" w:lineRule="auto"/>
              <w:ind w:right="140"/>
              <w:jc w:val="left"/>
              <w:rPr>
                <w:rFonts w:eastAsia="Times New Roman" w:cs="Arial"/>
                <w:b/>
              </w:rPr>
            </w:pPr>
            <w:r w:rsidRPr="009D4CD4">
              <w:rPr>
                <w:rFonts w:eastAsia="Times New Roman" w:cs="Arial"/>
                <w:b/>
              </w:rPr>
              <w:t>2020</w:t>
            </w:r>
          </w:p>
        </w:tc>
        <w:tc>
          <w:tcPr>
            <w:tcW w:w="1246" w:type="dxa"/>
            <w:shd w:val="clear" w:color="auto" w:fill="auto"/>
          </w:tcPr>
          <w:p w14:paraId="3690BA01" w14:textId="77E53E8E" w:rsidR="00422270" w:rsidRPr="009D4CD4" w:rsidRDefault="00422270" w:rsidP="00422270">
            <w:pPr>
              <w:spacing w:after="0" w:line="240" w:lineRule="auto"/>
              <w:ind w:right="140"/>
              <w:jc w:val="left"/>
              <w:rPr>
                <w:rFonts w:eastAsia="Times New Roman" w:cs="Arial"/>
                <w:b/>
              </w:rPr>
            </w:pPr>
            <w:r w:rsidRPr="009D4CD4">
              <w:rPr>
                <w:rFonts w:eastAsia="Times New Roman" w:cs="Arial"/>
                <w:b/>
              </w:rPr>
              <w:t>2019</w:t>
            </w:r>
          </w:p>
        </w:tc>
      </w:tr>
      <w:tr w:rsidR="00422270" w:rsidRPr="009D4CD4" w14:paraId="77950819" w14:textId="77777777" w:rsidTr="00042119">
        <w:trPr>
          <w:trHeight w:val="516"/>
        </w:trPr>
        <w:tc>
          <w:tcPr>
            <w:tcW w:w="5900" w:type="dxa"/>
            <w:tcBorders>
              <w:top w:val="single" w:sz="4" w:space="0" w:color="auto"/>
            </w:tcBorders>
            <w:shd w:val="clear" w:color="auto" w:fill="auto"/>
            <w:vAlign w:val="center"/>
          </w:tcPr>
          <w:p w14:paraId="54C1920E" w14:textId="43EC62A3" w:rsidR="00422270" w:rsidRPr="009D4CD4" w:rsidRDefault="00422270" w:rsidP="00422270">
            <w:pPr>
              <w:spacing w:after="0" w:line="240" w:lineRule="auto"/>
              <w:ind w:right="140"/>
              <w:jc w:val="left"/>
              <w:rPr>
                <w:rFonts w:eastAsia="Times New Roman" w:cs="Arial"/>
              </w:rPr>
            </w:pPr>
            <w:r w:rsidRPr="009D4CD4">
              <w:rPr>
                <w:rFonts w:eastAsia="Times New Roman" w:cs="Arial"/>
                <w:bCs/>
                <w:sz w:val="20"/>
                <w:szCs w:val="20"/>
              </w:rPr>
              <w:t xml:space="preserve">Soutiens financiers totaux accordés par les Caisses locales et la </w:t>
            </w:r>
            <w:r w:rsidR="00A7717F">
              <w:rPr>
                <w:rFonts w:eastAsia="Times New Roman" w:cs="Arial"/>
                <w:bCs/>
                <w:sz w:val="20"/>
                <w:szCs w:val="20"/>
              </w:rPr>
              <w:t>Caisse Régionale</w:t>
            </w:r>
            <w:r w:rsidRPr="009D4CD4">
              <w:rPr>
                <w:rFonts w:eastAsia="Times New Roman" w:cs="Arial"/>
                <w:bCs/>
                <w:sz w:val="20"/>
                <w:szCs w:val="20"/>
              </w:rPr>
              <w:t xml:space="preserve"> (M€)</w:t>
            </w:r>
          </w:p>
        </w:tc>
        <w:tc>
          <w:tcPr>
            <w:tcW w:w="1232" w:type="dxa"/>
            <w:vAlign w:val="center"/>
          </w:tcPr>
          <w:p w14:paraId="210D0445" w14:textId="0B660828" w:rsidR="00422270" w:rsidRPr="009D4CD4" w:rsidRDefault="002A5DEE" w:rsidP="00422270">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2,24</w:t>
            </w:r>
          </w:p>
        </w:tc>
        <w:tc>
          <w:tcPr>
            <w:tcW w:w="1148" w:type="dxa"/>
            <w:shd w:val="clear" w:color="auto" w:fill="auto"/>
            <w:vAlign w:val="center"/>
          </w:tcPr>
          <w:p w14:paraId="0B699519" w14:textId="30657622" w:rsidR="00422270" w:rsidRPr="009D4CD4" w:rsidRDefault="00422270" w:rsidP="00422270">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2,32</w:t>
            </w:r>
          </w:p>
        </w:tc>
        <w:tc>
          <w:tcPr>
            <w:tcW w:w="1246" w:type="dxa"/>
            <w:shd w:val="clear" w:color="auto" w:fill="auto"/>
            <w:vAlign w:val="center"/>
          </w:tcPr>
          <w:p w14:paraId="6C89A53D" w14:textId="185CC102" w:rsidR="00422270" w:rsidRPr="009D4CD4" w:rsidRDefault="005D497C" w:rsidP="00422270">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2,38</w:t>
            </w:r>
          </w:p>
        </w:tc>
      </w:tr>
    </w:tbl>
    <w:p w14:paraId="08646AE3" w14:textId="77777777" w:rsidR="00677357" w:rsidRDefault="00677357" w:rsidP="009266BC">
      <w:pPr>
        <w:spacing w:after="0" w:line="240" w:lineRule="auto"/>
        <w:jc w:val="left"/>
        <w:rPr>
          <w:rFonts w:cs="Arial"/>
          <w:color w:val="FF0000"/>
        </w:rPr>
      </w:pPr>
    </w:p>
    <w:p w14:paraId="4D618510" w14:textId="5678ECCA" w:rsidR="009266BC" w:rsidRPr="009D4CD4" w:rsidRDefault="009266BC" w:rsidP="009266BC">
      <w:pPr>
        <w:spacing w:after="0" w:line="240" w:lineRule="auto"/>
        <w:jc w:val="left"/>
        <w:rPr>
          <w:rFonts w:cs="Arial"/>
        </w:rPr>
      </w:pPr>
      <w:r w:rsidRPr="009D4CD4">
        <w:rPr>
          <w:rFonts w:cs="Arial"/>
        </w:rPr>
        <w:t xml:space="preserve">Inscrites dans le projet mutualiste du Crédit Agricole Nord Midi-Pyrénées, les programmes de soutien financier accordé aux acteurs sociaux - économiques et culturels du territoire de la </w:t>
      </w:r>
      <w:r w:rsidR="00A7717F">
        <w:rPr>
          <w:rFonts w:cs="Arial"/>
        </w:rPr>
        <w:t>Caisse Régionale</w:t>
      </w:r>
      <w:r w:rsidRPr="009D4CD4">
        <w:rPr>
          <w:rFonts w:cs="Arial"/>
        </w:rPr>
        <w:t xml:space="preserve"> font chaque année l’objet de dotations budgétaires importantes. Les actions correspondantes sont la traduction concrète des valeurs de responsabilité, proximité et de solidarité portées par le Crédit Agricole Nord Midi-Pyrénées.</w:t>
      </w:r>
    </w:p>
    <w:p w14:paraId="313A8E2E" w14:textId="77777777" w:rsidR="009266BC" w:rsidRPr="009D4CD4" w:rsidRDefault="009266BC" w:rsidP="009266BC">
      <w:pPr>
        <w:spacing w:after="0" w:line="240" w:lineRule="auto"/>
        <w:jc w:val="left"/>
        <w:rPr>
          <w:rFonts w:cs="Arial"/>
          <w:strike/>
        </w:rPr>
      </w:pPr>
    </w:p>
    <w:p w14:paraId="2E6D4C9C" w14:textId="77777777" w:rsidR="009266BC" w:rsidRPr="009D4CD4" w:rsidRDefault="009266BC" w:rsidP="009266BC">
      <w:pPr>
        <w:spacing w:after="0" w:line="240" w:lineRule="auto"/>
        <w:jc w:val="left"/>
        <w:rPr>
          <w:rFonts w:cs="Arial"/>
        </w:rPr>
      </w:pPr>
      <w:r w:rsidRPr="009D4CD4">
        <w:rPr>
          <w:rFonts w:cs="Arial"/>
        </w:rPr>
        <w:t xml:space="preserve">Au niveau des Caisses locales, les administrateurs ont pour mission de soutenir financièrement les projets portés par les associations loi 1901 de leur secteur. Pour cela, ils bénéficient d’un budget d’intervention avec une délégation pour accompagner les initiatives d’intérêt général non commerciales, profitant au plus grand nombre. Sont éligibles aux aides des Caisses locales les dépenses d’investissement, dans les domaines de l’animation, l’action sociale, l’éducation, le sport, la culture, l’environnement, et le patrimoine. Les Caisses locales gèrent également un budget permettant de subventionner des actions complémentaires présentées par les associations locales. </w:t>
      </w:r>
    </w:p>
    <w:p w14:paraId="2E23302C" w14:textId="5D402F6C" w:rsidR="009266BC" w:rsidRPr="009D4CD4" w:rsidRDefault="005D497C" w:rsidP="009266BC">
      <w:pPr>
        <w:spacing w:after="0" w:line="240" w:lineRule="auto"/>
        <w:jc w:val="left"/>
        <w:rPr>
          <w:rFonts w:cs="Arial"/>
          <w:color w:val="FF0000"/>
        </w:rPr>
      </w:pPr>
      <w:r w:rsidRPr="009D4CD4">
        <w:rPr>
          <w:rFonts w:cs="Arial"/>
        </w:rPr>
        <w:t>En 2021, le cadre d’intervention a été adapté au contexte sanitaire. L’action menée en 2020 pour les projets en faveur du commerce de proximité s’est poursuivie. Et comme vu plus haut, un appel à projet spécifique « Tout REcommence ici » a été lancé auprès des jeunes. Dans ce cadre, les règles d’attribution ont été adaptées (dépenses de fonctionnement, nature juridique des bénéficiaires).</w:t>
      </w:r>
    </w:p>
    <w:p w14:paraId="3448C8EA" w14:textId="77777777" w:rsidR="008F224B" w:rsidRPr="009D4CD4" w:rsidRDefault="008F224B" w:rsidP="009266BC">
      <w:pPr>
        <w:spacing w:after="0" w:line="240" w:lineRule="auto"/>
        <w:jc w:val="left"/>
        <w:rPr>
          <w:rFonts w:cs="Arial"/>
        </w:rPr>
      </w:pPr>
    </w:p>
    <w:p w14:paraId="16FBD4DD" w14:textId="58A2EA36" w:rsidR="009266BC" w:rsidRPr="009D4CD4" w:rsidRDefault="009266BC" w:rsidP="009266BC">
      <w:pPr>
        <w:spacing w:after="0" w:line="240" w:lineRule="auto"/>
        <w:jc w:val="left"/>
        <w:rPr>
          <w:rFonts w:cs="Arial"/>
        </w:rPr>
      </w:pPr>
      <w:r w:rsidRPr="009D4CD4">
        <w:rPr>
          <w:rFonts w:cs="Arial"/>
        </w:rPr>
        <w:t xml:space="preserve">Par ailleurs, la </w:t>
      </w:r>
      <w:r w:rsidR="00A7717F">
        <w:rPr>
          <w:rFonts w:cs="Arial"/>
        </w:rPr>
        <w:t>Caisse Régionale</w:t>
      </w:r>
      <w:r w:rsidRPr="009D4CD4">
        <w:rPr>
          <w:rFonts w:cs="Arial"/>
        </w:rPr>
        <w:t xml:space="preserve"> soutient les initiatives des acteurs du monde culturel et sportif sur les quatre départements, comme par exemple : </w:t>
      </w:r>
    </w:p>
    <w:p w14:paraId="5621E3B2" w14:textId="48AF46AF" w:rsidR="009266BC" w:rsidRPr="009D4CD4" w:rsidRDefault="009266BC" w:rsidP="009266BC">
      <w:pPr>
        <w:spacing w:after="0" w:line="240" w:lineRule="auto"/>
        <w:jc w:val="left"/>
        <w:rPr>
          <w:rFonts w:cs="Arial"/>
        </w:rPr>
      </w:pPr>
      <w:r w:rsidRPr="009D4CD4">
        <w:rPr>
          <w:rFonts w:cs="Arial"/>
        </w:rPr>
        <w:t>&gt; Les évènements musicaux, tels le festival lyrique de Saint Céré et du Haut Quercy, Cahors blues, Montauban en Scène, Pause Guitare à Albi , les Natural Games à Millau,</w:t>
      </w:r>
      <w:r w:rsidRPr="009D4CD4">
        <w:rPr>
          <w:rFonts w:cs="Arial"/>
        </w:rPr>
        <w:br/>
        <w:t xml:space="preserve">&gt; les manifestations culturelles telles que Lettre d’automne à Montauban dans le domaine des œuvres littéraires; Les Œillades à Albi dans </w:t>
      </w:r>
      <w:r w:rsidR="005D497C" w:rsidRPr="009D4CD4">
        <w:rPr>
          <w:rFonts w:cs="Arial"/>
        </w:rPr>
        <w:t>celui du cinéma,</w:t>
      </w:r>
    </w:p>
    <w:p w14:paraId="6D291374" w14:textId="27A543D4" w:rsidR="009266BC" w:rsidRPr="009D4CD4" w:rsidRDefault="009266BC" w:rsidP="009266BC">
      <w:pPr>
        <w:spacing w:after="0" w:line="240" w:lineRule="auto"/>
        <w:jc w:val="left"/>
        <w:rPr>
          <w:rFonts w:cs="Arial"/>
        </w:rPr>
      </w:pPr>
      <w:r w:rsidRPr="009D4CD4">
        <w:rPr>
          <w:rFonts w:cs="Arial"/>
        </w:rPr>
        <w:t xml:space="preserve">&gt; Les programmes d’actions de la Scène nationale d’Albi, de la Maison des Jeunes et de la Culture ou de l’Association des Amis du Musée Soulages à Rodez. La </w:t>
      </w:r>
      <w:r w:rsidR="00A7717F">
        <w:rPr>
          <w:rFonts w:cs="Arial"/>
        </w:rPr>
        <w:t>Caisse Régionale</w:t>
      </w:r>
      <w:r w:rsidRPr="009D4CD4">
        <w:rPr>
          <w:rFonts w:cs="Arial"/>
        </w:rPr>
        <w:t xml:space="preserve"> appartient au Cercle des entreprises du Musées Soulages,</w:t>
      </w:r>
      <w:r w:rsidRPr="009D4CD4">
        <w:rPr>
          <w:rFonts w:cs="Arial"/>
        </w:rPr>
        <w:br/>
        <w:t>&gt; Les clubs de sport, comme par exemple Rodez Aveyron Football, Rugby Cahors, l'USM Montauban XV, ou Castres Olympique,</w:t>
      </w:r>
      <w:r w:rsidRPr="009D4CD4">
        <w:rPr>
          <w:rFonts w:cs="Arial"/>
        </w:rPr>
        <w:br/>
        <w:t>&gt; Les dispositifs Mozaïc pour les jeunes (foot, tennis, basket, rugby et judo).</w:t>
      </w:r>
    </w:p>
    <w:p w14:paraId="5BDC49A4" w14:textId="2A340B97" w:rsidR="009266BC" w:rsidRPr="009D4CD4" w:rsidRDefault="005D497C" w:rsidP="009266BC">
      <w:pPr>
        <w:spacing w:after="0" w:line="240" w:lineRule="auto"/>
        <w:jc w:val="left"/>
        <w:rPr>
          <w:rFonts w:cs="Arial"/>
        </w:rPr>
      </w:pPr>
      <w:r w:rsidRPr="009D4CD4">
        <w:rPr>
          <w:rFonts w:cs="Arial"/>
        </w:rPr>
        <w:t>En 2021</w:t>
      </w:r>
      <w:r w:rsidR="009266BC" w:rsidRPr="009D4CD4">
        <w:rPr>
          <w:rFonts w:cs="Arial"/>
        </w:rPr>
        <w:t xml:space="preserve"> toutefois, la crise sanitaire a</w:t>
      </w:r>
      <w:r w:rsidRPr="009D4CD4">
        <w:rPr>
          <w:rFonts w:cs="Arial"/>
        </w:rPr>
        <w:t xml:space="preserve"> une nouvelle fois</w:t>
      </w:r>
      <w:r w:rsidR="009266BC" w:rsidRPr="009D4CD4">
        <w:rPr>
          <w:rFonts w:cs="Arial"/>
        </w:rPr>
        <w:t xml:space="preserve"> empêché la tenue de nombreuses manifestations.</w:t>
      </w:r>
    </w:p>
    <w:p w14:paraId="2D020633" w14:textId="77777777" w:rsidR="009266BC" w:rsidRPr="009D4CD4" w:rsidRDefault="009266BC" w:rsidP="009266BC">
      <w:pPr>
        <w:spacing w:after="0" w:line="240" w:lineRule="auto"/>
        <w:jc w:val="left"/>
        <w:rPr>
          <w:rFonts w:cs="Arial"/>
        </w:rPr>
      </w:pPr>
    </w:p>
    <w:p w14:paraId="41B4A267" w14:textId="77777777" w:rsidR="009266BC" w:rsidRPr="009D4CD4" w:rsidRDefault="009266BC" w:rsidP="009266BC">
      <w:pPr>
        <w:spacing w:after="0" w:line="240" w:lineRule="auto"/>
        <w:jc w:val="left"/>
        <w:rPr>
          <w:rFonts w:ascii="Tahoma" w:hAnsi="Tahoma" w:cs="Tahoma"/>
          <w:sz w:val="20"/>
          <w:szCs w:val="20"/>
        </w:rPr>
      </w:pPr>
      <w:r w:rsidRPr="009D4CD4">
        <w:t>Le Crédit Agricole Nord Midi-Pyrénées soutient également les projets portés par les organismes d’intérêt général : Fédérations départementales des CUMA avec la participation aux programmes de valorisation des initiatives innovantes ; Chambres des métiers au titre des stages destinés aux créateurs d’entreprise ; Plateformes d’initiatives locales en faveur des artisans et commerçants.</w:t>
      </w:r>
    </w:p>
    <w:p w14:paraId="10969F45" w14:textId="4E5EDFA4" w:rsidR="009266BC" w:rsidRPr="009D4CD4" w:rsidRDefault="009266BC" w:rsidP="00B72A61">
      <w:pPr>
        <w:spacing w:after="0" w:line="240" w:lineRule="auto"/>
        <w:ind w:right="1"/>
        <w:jc w:val="left"/>
      </w:pPr>
    </w:p>
    <w:p w14:paraId="28B67F2E" w14:textId="19D6AF23" w:rsidR="009266BC" w:rsidRPr="009D4CD4" w:rsidRDefault="009266BC" w:rsidP="009266BC">
      <w:pPr>
        <w:pStyle w:val="Titre5"/>
      </w:pPr>
      <w:bookmarkStart w:id="91" w:name="_Toc96698014"/>
      <w:r w:rsidRPr="009D4CD4">
        <w:t>Illustrations d’actions mutualistes</w:t>
      </w:r>
      <w:bookmarkEnd w:id="91"/>
    </w:p>
    <w:p w14:paraId="5EC9591D" w14:textId="740A9DF4" w:rsidR="00892DED" w:rsidRPr="009D4CD4" w:rsidRDefault="00677357" w:rsidP="00B72A61">
      <w:pPr>
        <w:spacing w:after="0" w:line="240" w:lineRule="auto"/>
        <w:jc w:val="left"/>
      </w:pPr>
      <w:r>
        <w:br/>
      </w:r>
      <w:r w:rsidR="00B72A61" w:rsidRPr="009D4CD4">
        <w:t xml:space="preserve">&gt; Dans le Tarn, </w:t>
      </w:r>
    </w:p>
    <w:p w14:paraId="293068C2" w14:textId="177B5DDF" w:rsidR="007D40E2" w:rsidRPr="009D4CD4" w:rsidRDefault="007D40E2" w:rsidP="00892DED">
      <w:pPr>
        <w:spacing w:after="0" w:line="240" w:lineRule="auto"/>
        <w:jc w:val="left"/>
      </w:pPr>
    </w:p>
    <w:p w14:paraId="72CCF08D" w14:textId="788DE0E9" w:rsidR="00E94F0D" w:rsidRPr="009D4CD4" w:rsidRDefault="00E94F0D" w:rsidP="00892DED">
      <w:pPr>
        <w:spacing w:after="0" w:line="240" w:lineRule="auto"/>
        <w:jc w:val="left"/>
      </w:pPr>
      <w:r w:rsidRPr="009D4CD4">
        <w:t>La Banque Alimentaire du Tarn a été aidée par 12 Caisses locales tarnaises pour l’acquisition d’un véhicule.</w:t>
      </w:r>
    </w:p>
    <w:p w14:paraId="326F0D09" w14:textId="77777777" w:rsidR="00892DED" w:rsidRPr="009D4CD4" w:rsidRDefault="00892DED" w:rsidP="00B72A61">
      <w:pPr>
        <w:spacing w:after="0" w:line="240" w:lineRule="auto"/>
        <w:jc w:val="left"/>
      </w:pPr>
    </w:p>
    <w:p w14:paraId="6953E942" w14:textId="77777777" w:rsidR="00836DA6" w:rsidRPr="009D4CD4" w:rsidRDefault="00B72A61" w:rsidP="00B72A61">
      <w:pPr>
        <w:spacing w:after="0" w:line="240" w:lineRule="auto"/>
        <w:jc w:val="left"/>
      </w:pPr>
      <w:r w:rsidRPr="009D4CD4">
        <w:t>&gt; Dans le Lot,</w:t>
      </w:r>
    </w:p>
    <w:p w14:paraId="0852E64A" w14:textId="03E47EFA" w:rsidR="00E94F0D" w:rsidRPr="009D4CD4" w:rsidRDefault="00E94F0D" w:rsidP="00B72A61">
      <w:pPr>
        <w:spacing w:after="0" w:line="240" w:lineRule="auto"/>
        <w:jc w:val="left"/>
      </w:pPr>
    </w:p>
    <w:p w14:paraId="6FE7DEE9" w14:textId="16AA0B2D" w:rsidR="00A76E68" w:rsidRPr="009D4CD4" w:rsidRDefault="00A76E68" w:rsidP="00B72A61">
      <w:pPr>
        <w:spacing w:after="0" w:line="240" w:lineRule="auto"/>
        <w:jc w:val="left"/>
      </w:pPr>
      <w:r w:rsidRPr="009D4CD4">
        <w:t>5 Caisses locales lotoises ont accompagné l’Union Départementale des Sapeurs-Pompiers du Lot pour un programme d’échange international de jeunes pompiers entre le Lot et la Pologne.</w:t>
      </w:r>
    </w:p>
    <w:p w14:paraId="40C351FF" w14:textId="77777777" w:rsidR="00A76E68" w:rsidRPr="009D4CD4" w:rsidRDefault="00A76E68" w:rsidP="00B72A61">
      <w:pPr>
        <w:spacing w:after="0" w:line="240" w:lineRule="auto"/>
        <w:jc w:val="left"/>
      </w:pPr>
    </w:p>
    <w:p w14:paraId="6306D071" w14:textId="20C85721" w:rsidR="00760381" w:rsidRPr="009D4CD4" w:rsidRDefault="00B72A61" w:rsidP="00B72A61">
      <w:pPr>
        <w:spacing w:after="0" w:line="240" w:lineRule="auto"/>
        <w:jc w:val="left"/>
      </w:pPr>
      <w:r w:rsidRPr="009D4CD4">
        <w:t xml:space="preserve">&gt; En Aveyron, </w:t>
      </w:r>
    </w:p>
    <w:p w14:paraId="60C28073" w14:textId="77777777" w:rsidR="00A76E68" w:rsidRPr="009D4CD4" w:rsidRDefault="00A76E68" w:rsidP="00B72A61">
      <w:pPr>
        <w:spacing w:after="0" w:line="240" w:lineRule="auto"/>
        <w:jc w:val="left"/>
      </w:pPr>
    </w:p>
    <w:p w14:paraId="6F43050B" w14:textId="0DE88DE9" w:rsidR="00A76E68" w:rsidRPr="009D4CD4" w:rsidRDefault="00F827F2" w:rsidP="00B72A61">
      <w:pPr>
        <w:spacing w:after="0" w:line="240" w:lineRule="auto"/>
        <w:jc w:val="left"/>
      </w:pPr>
      <w:r w:rsidRPr="009D4CD4">
        <w:t xml:space="preserve">Toutes les Caisses locales ont répondu présentes à l’appel des bénévoles de l’association </w:t>
      </w:r>
      <w:r w:rsidR="00A76E68" w:rsidRPr="009D4CD4">
        <w:t xml:space="preserve">Institut occitan de l’Aveyron </w:t>
      </w:r>
      <w:r w:rsidRPr="009D4CD4">
        <w:t xml:space="preserve">pour </w:t>
      </w:r>
      <w:r w:rsidR="00A76E68" w:rsidRPr="009D4CD4">
        <w:t>l’édition d’ouvrages et la réalisation de documentaires valorisant la culture occitane.</w:t>
      </w:r>
    </w:p>
    <w:p w14:paraId="594C2C7B" w14:textId="2AFC86B8" w:rsidR="00892DED" w:rsidRPr="009D4CD4" w:rsidRDefault="00892DED" w:rsidP="00B72A61">
      <w:pPr>
        <w:spacing w:after="0" w:line="240" w:lineRule="auto"/>
        <w:jc w:val="left"/>
      </w:pPr>
    </w:p>
    <w:p w14:paraId="5A53511C" w14:textId="67FB74A7" w:rsidR="00F827F2" w:rsidRPr="009D4CD4" w:rsidRDefault="00F827F2" w:rsidP="00B72A61">
      <w:pPr>
        <w:spacing w:after="0" w:line="240" w:lineRule="auto"/>
        <w:jc w:val="left"/>
      </w:pPr>
      <w:r w:rsidRPr="009D4CD4">
        <w:t>&gt; Dans le Tarn-et-Garonne</w:t>
      </w:r>
    </w:p>
    <w:p w14:paraId="34B71D16" w14:textId="77777777" w:rsidR="00A76E68" w:rsidRPr="009D4CD4" w:rsidRDefault="00A76E68" w:rsidP="00B72A61">
      <w:pPr>
        <w:spacing w:after="0" w:line="240" w:lineRule="auto"/>
        <w:jc w:val="left"/>
      </w:pPr>
    </w:p>
    <w:p w14:paraId="39347632" w14:textId="405AA2DF" w:rsidR="006B7464" w:rsidRPr="009D4CD4" w:rsidRDefault="00F827F2" w:rsidP="00B72A61">
      <w:pPr>
        <w:spacing w:after="0" w:line="240" w:lineRule="auto"/>
        <w:jc w:val="left"/>
      </w:pPr>
      <w:r w:rsidRPr="009D4CD4">
        <w:t>L</w:t>
      </w:r>
      <w:r w:rsidR="006B7464" w:rsidRPr="009D4CD4">
        <w:t>es bénévoles de l’A</w:t>
      </w:r>
      <w:r w:rsidR="00B72A61" w:rsidRPr="009D4CD4">
        <w:t xml:space="preserve">ssociation </w:t>
      </w:r>
      <w:r w:rsidR="006B7464" w:rsidRPr="009D4CD4">
        <w:t xml:space="preserve">Familiale de l’Institut de Lestonac </w:t>
      </w:r>
      <w:r w:rsidR="00B72A61" w:rsidRPr="009D4CD4">
        <w:t xml:space="preserve">ont été aidés par la Caisse locale de </w:t>
      </w:r>
      <w:r w:rsidR="006B7464" w:rsidRPr="009D4CD4">
        <w:t xml:space="preserve">Beaumont de Lomagne </w:t>
      </w:r>
      <w:r w:rsidR="00F46BDA" w:rsidRPr="009D4CD4">
        <w:t xml:space="preserve">pour </w:t>
      </w:r>
      <w:r w:rsidR="006B7464" w:rsidRPr="009D4CD4">
        <w:t xml:space="preserve">la mise en place d’un projet pédagogique d’aquaponie. </w:t>
      </w:r>
    </w:p>
    <w:p w14:paraId="56FBC5B7" w14:textId="77777777" w:rsidR="00892DED" w:rsidRPr="009D4CD4" w:rsidRDefault="00892DED" w:rsidP="00B72A61">
      <w:pPr>
        <w:spacing w:after="0" w:line="240" w:lineRule="auto"/>
        <w:jc w:val="left"/>
      </w:pPr>
    </w:p>
    <w:p w14:paraId="13DCE449" w14:textId="6C246BB6" w:rsidR="00B72A61" w:rsidRPr="009D4CD4" w:rsidRDefault="0076237B" w:rsidP="009266BC">
      <w:pPr>
        <w:pStyle w:val="Titre5"/>
      </w:pPr>
      <w:bookmarkStart w:id="92" w:name="_Toc96698015"/>
      <w:r>
        <w:t>Les T</w:t>
      </w:r>
      <w:r w:rsidR="00B72A61" w:rsidRPr="009D4CD4">
        <w:t>remplins</w:t>
      </w:r>
      <w:bookmarkEnd w:id="92"/>
      <w:r w:rsidR="00B72A61" w:rsidRPr="009D4CD4">
        <w:t xml:space="preserve"> </w:t>
      </w:r>
    </w:p>
    <w:p w14:paraId="1C2E8017" w14:textId="77777777" w:rsidR="00B72A61" w:rsidRPr="009D4CD4" w:rsidRDefault="00B72A61" w:rsidP="00B72A61">
      <w:pPr>
        <w:spacing w:after="0" w:line="240" w:lineRule="auto"/>
        <w:jc w:val="left"/>
        <w:rPr>
          <w:u w:val="single"/>
        </w:rPr>
      </w:pPr>
    </w:p>
    <w:p w14:paraId="3EF4B557" w14:textId="2A3DE27B" w:rsidR="00B72A61" w:rsidRPr="009D4CD4" w:rsidRDefault="00B72A61" w:rsidP="00B72A61">
      <w:pPr>
        <w:spacing w:after="0" w:line="240" w:lineRule="auto"/>
        <w:jc w:val="left"/>
      </w:pPr>
      <w:r w:rsidRPr="009D4CD4">
        <w:t xml:space="preserve">Le dispositif des Tremplins met en valeur les projets innovants et porteurs de valeurs de solidarité, accompagnés par </w:t>
      </w:r>
      <w:r w:rsidR="0076237B">
        <w:t>les Caisses locales. E</w:t>
      </w:r>
      <w:r w:rsidRPr="009D4CD4">
        <w:t>n partenariat avec le quotidien La Dépêche du Midi, une soirée est organisée tous les ans de façon tournante dans deux départements. Préalablement sélectionnée par les Caisses locales, une trentaine d’opérations est examinée par un jury et 6 dossiers sont primés dans chaque département concerné. Dans chacune des catégories (Education Environnement ; Animation Actions solidaires ; Culture Patrimoine), les lauréats bénéficient d’une dotation de 1500 € et d’une vidéo sur leur projet. Les seconds prix sont dotés de 750 €. Sur chaque département, une initiative reçoit le prix Coup de cœur de la Dépêche. Les associations sont primées au cours d’une grande soirée destinée à remercier et fêter le dynamisme des bénévoles, leur sens de l’innovation, ainsi que leur engagement solidaire.</w:t>
      </w:r>
    </w:p>
    <w:p w14:paraId="4CDDB348" w14:textId="3806CF6C" w:rsidR="00E16137" w:rsidRPr="009D4CD4" w:rsidRDefault="006B7464" w:rsidP="00B72A61">
      <w:pPr>
        <w:spacing w:after="0" w:line="240" w:lineRule="auto"/>
        <w:jc w:val="left"/>
      </w:pPr>
      <w:r w:rsidRPr="009D4CD4">
        <w:t>En 2021</w:t>
      </w:r>
      <w:r w:rsidR="00E16137" w:rsidRPr="009D4CD4">
        <w:t xml:space="preserve">, la crise sanitaire n’a </w:t>
      </w:r>
      <w:r w:rsidRPr="009D4CD4">
        <w:t xml:space="preserve">une nouvelle fois </w:t>
      </w:r>
      <w:r w:rsidR="00E16137" w:rsidRPr="009D4CD4">
        <w:t>pas permis de réunir les soirées des Tremplins</w:t>
      </w:r>
      <w:r w:rsidR="0076237B">
        <w:t>.</w:t>
      </w:r>
    </w:p>
    <w:p w14:paraId="7033A17A" w14:textId="77777777" w:rsidR="00B72A61" w:rsidRPr="009D4CD4" w:rsidRDefault="00B72A61" w:rsidP="00B72A61">
      <w:pPr>
        <w:spacing w:after="0" w:line="240" w:lineRule="auto"/>
        <w:jc w:val="left"/>
      </w:pPr>
    </w:p>
    <w:p w14:paraId="07C6BABD" w14:textId="77777777" w:rsidR="00B72A61" w:rsidRPr="009D4CD4" w:rsidRDefault="00B72A61" w:rsidP="009266BC">
      <w:pPr>
        <w:pStyle w:val="Titre5"/>
      </w:pPr>
      <w:bookmarkStart w:id="93" w:name="_Toc96698016"/>
      <w:r w:rsidRPr="009D4CD4">
        <w:t>La valorisation du patrimoine avec la Fondation du Crédit Agricole-Pays de France</w:t>
      </w:r>
      <w:bookmarkEnd w:id="93"/>
    </w:p>
    <w:p w14:paraId="6DF68A0C" w14:textId="77777777" w:rsidR="00B72A61" w:rsidRPr="009D4CD4" w:rsidRDefault="00B72A61" w:rsidP="00B72A61">
      <w:pPr>
        <w:spacing w:after="0" w:line="240" w:lineRule="auto"/>
        <w:jc w:val="left"/>
        <w:rPr>
          <w:u w:val="single"/>
        </w:rPr>
      </w:pPr>
    </w:p>
    <w:p w14:paraId="261AE0B4" w14:textId="77777777" w:rsidR="00F46BDA" w:rsidRPr="009D4CD4" w:rsidRDefault="00B72A61" w:rsidP="00B72A61">
      <w:pPr>
        <w:spacing w:after="0" w:line="240" w:lineRule="auto"/>
        <w:jc w:val="left"/>
      </w:pPr>
      <w:r w:rsidRPr="009D4CD4">
        <w:t xml:space="preserve">Reconnue d’utilité publique, la Fondation du Crédit Agricole-Pays de France, de niveau national, s’engage avec les Caisses régionales auprès des acteurs portant un projet de préservation du patrimoine local (monument, site naturel, lieu de mémoire, métier…), contribuant à la vitalité du tissu économique et social. </w:t>
      </w:r>
    </w:p>
    <w:p w14:paraId="6223620E" w14:textId="1D8300C2" w:rsidR="007D40E2" w:rsidRPr="009D4CD4" w:rsidRDefault="007D40E2" w:rsidP="00B72A61">
      <w:pPr>
        <w:spacing w:after="0" w:line="240" w:lineRule="auto"/>
        <w:jc w:val="left"/>
      </w:pPr>
      <w:r w:rsidRPr="009D4CD4">
        <w:t xml:space="preserve">En 2021, le CANMP et la Fondation ont accompagné deux opérations : </w:t>
      </w:r>
      <w:r w:rsidRPr="009D4CD4">
        <w:br/>
        <w:t>&gt;L’association Visages du Segala pour son projet de réhabilitation de la M</w:t>
      </w:r>
      <w:r w:rsidR="0076237B">
        <w:t>aison Marot située à Sénaillac-L</w:t>
      </w:r>
      <w:r w:rsidRPr="009D4CD4">
        <w:t xml:space="preserve">atronquière, un corps de ferme de 1738 ; </w:t>
      </w:r>
      <w:r w:rsidRPr="009D4CD4">
        <w:br/>
        <w:t>&gt; Le Centre des Monuments Nationaux pour son projet à l’Abbaye de Beaulieu, musée d’Art Moderne.</w:t>
      </w:r>
    </w:p>
    <w:p w14:paraId="3FAD65E8" w14:textId="77777777" w:rsidR="00B72A61" w:rsidRPr="009D4CD4" w:rsidRDefault="00B72A61" w:rsidP="00B72A61">
      <w:pPr>
        <w:spacing w:after="0" w:line="240" w:lineRule="auto"/>
        <w:jc w:val="left"/>
      </w:pPr>
    </w:p>
    <w:p w14:paraId="7A2B42D4" w14:textId="77777777" w:rsidR="00B72A61" w:rsidRPr="009D4CD4" w:rsidRDefault="00B72A61" w:rsidP="009266BC">
      <w:pPr>
        <w:pStyle w:val="Titre5"/>
        <w:rPr>
          <w:rFonts w:cs="Arial"/>
        </w:rPr>
      </w:pPr>
      <w:bookmarkStart w:id="94" w:name="_Toc96698017"/>
      <w:r w:rsidRPr="009D4CD4">
        <w:t>Les actions conduites avec la Fondation Crédit Agricole Solidarité et Développ</w:t>
      </w:r>
      <w:r w:rsidRPr="009D4CD4">
        <w:rPr>
          <w:rFonts w:cs="Arial"/>
        </w:rPr>
        <w:t>ement</w:t>
      </w:r>
      <w:bookmarkEnd w:id="94"/>
    </w:p>
    <w:p w14:paraId="68AFBF24" w14:textId="77777777" w:rsidR="00B72A61" w:rsidRPr="009D4CD4" w:rsidRDefault="00B72A61" w:rsidP="00B72A61">
      <w:pPr>
        <w:spacing w:after="0" w:line="240" w:lineRule="auto"/>
        <w:jc w:val="left"/>
        <w:rPr>
          <w:u w:val="single"/>
        </w:rPr>
      </w:pPr>
    </w:p>
    <w:p w14:paraId="3944B94C" w14:textId="77777777" w:rsidR="00B72A61" w:rsidRPr="009D4CD4" w:rsidRDefault="00B72A61" w:rsidP="00B72A61">
      <w:pPr>
        <w:shd w:val="clear" w:color="auto" w:fill="FFFFFF"/>
        <w:spacing w:after="0" w:line="240" w:lineRule="auto"/>
        <w:jc w:val="left"/>
        <w:rPr>
          <w:rFonts w:cs="Arial"/>
        </w:rPr>
      </w:pPr>
      <w:r w:rsidRPr="009D4CD4">
        <w:rPr>
          <w:rFonts w:cs="Arial"/>
        </w:rPr>
        <w:t>Associé aux autres Caisses régionales, le Crédit Agricole Nord Midi-Pyrénées participe aux actions de solidarité mises en œuvre par la Fondation Crédit Agricole Solidarité et Développement. Cette fondation nationale, reconnue d’Utilité Publique, agit en faveur de l’autonomie socio-économique des personnes en France, pour que chacun ait les moyens d’agir, de penser et de décider par lui-même, tout au long de la vie. A travers 4 thématiques d’action (insertion sociale, insertion économique et professionnelle, logement, santé et bien vieillir), la F</w:t>
      </w:r>
      <w:r w:rsidR="00A07FEB" w:rsidRPr="009D4CD4">
        <w:rPr>
          <w:rFonts w:cs="Arial"/>
        </w:rPr>
        <w:t>ondation intervient dans le but</w:t>
      </w:r>
      <w:r w:rsidRPr="009D4CD4">
        <w:rPr>
          <w:rFonts w:cs="Arial"/>
        </w:rPr>
        <w:t xml:space="preserve"> de favoriser l’intégration durable de chacun dans la société, et de faciliter le vivre - ensemble et la réussite du plus grand nombre.</w:t>
      </w:r>
    </w:p>
    <w:p w14:paraId="2F7BD50F" w14:textId="72541BAC" w:rsidR="00CF7735" w:rsidRPr="009D4CD4" w:rsidRDefault="00B72A61" w:rsidP="00B72A61">
      <w:pPr>
        <w:shd w:val="clear" w:color="auto" w:fill="FFFFFF"/>
        <w:spacing w:after="0" w:line="240" w:lineRule="auto"/>
        <w:jc w:val="left"/>
        <w:rPr>
          <w:rFonts w:cs="Arial"/>
        </w:rPr>
      </w:pPr>
      <w:r w:rsidRPr="009D4CD4">
        <w:rPr>
          <w:rFonts w:cs="Arial"/>
        </w:rPr>
        <w:t xml:space="preserve">A titre d’exemple, </w:t>
      </w:r>
      <w:r w:rsidR="00CF7735" w:rsidRPr="009D4CD4">
        <w:rPr>
          <w:rFonts w:cs="Arial"/>
        </w:rPr>
        <w:t>le p</w:t>
      </w:r>
      <w:r w:rsidRPr="009D4CD4">
        <w:rPr>
          <w:rFonts w:cs="Arial"/>
        </w:rPr>
        <w:t xml:space="preserve">artenariat conclu avec l’association Entreprendre Pour Apprendre Midi-Pyrénées (EPA MP) </w:t>
      </w:r>
      <w:r w:rsidR="00CF7735" w:rsidRPr="009D4CD4">
        <w:rPr>
          <w:rFonts w:cs="Arial"/>
        </w:rPr>
        <w:t>mentionné au paragraphe « le CANMP solidaire des jeunes » a été renouvelé en 2021</w:t>
      </w:r>
      <w:r w:rsidR="00CF7735" w:rsidRPr="009D4CD4">
        <w:rPr>
          <w:rFonts w:cs="Calibri"/>
        </w:rPr>
        <w:t xml:space="preserve"> dans le cadre d’un projet porté par l’ensemble des Caisses régionales d’Occitanie, visant à la mise en place d’ateliers collectifs sur l’entreprenariat en établissements scolaires.</w:t>
      </w:r>
    </w:p>
    <w:p w14:paraId="7084579D" w14:textId="2CB4A787" w:rsidR="007D40E2" w:rsidRPr="009D4CD4" w:rsidRDefault="006B7464" w:rsidP="007D40E2">
      <w:pPr>
        <w:spacing w:after="0" w:line="240" w:lineRule="auto"/>
        <w:jc w:val="left"/>
      </w:pPr>
      <w:r w:rsidRPr="009D4CD4">
        <w:t>L’association Ote</w:t>
      </w:r>
      <w:r w:rsidR="007D40E2" w:rsidRPr="009D4CD4">
        <w:t xml:space="preserve">ma </w:t>
      </w:r>
      <w:r w:rsidRPr="009D4CD4">
        <w:t xml:space="preserve">(81) a été soutenue </w:t>
      </w:r>
      <w:r w:rsidR="00CF7735" w:rsidRPr="009D4CD4">
        <w:t xml:space="preserve">en 2021 </w:t>
      </w:r>
      <w:r w:rsidRPr="009D4CD4">
        <w:t xml:space="preserve">par l’ensemble des Caisses locales tarnaises pour la mise en place d’une plateforme de mobilité inclusive en faveur des </w:t>
      </w:r>
      <w:r w:rsidR="007D40E2" w:rsidRPr="009D4CD4">
        <w:t xml:space="preserve">personnes </w:t>
      </w:r>
      <w:r w:rsidRPr="009D4CD4">
        <w:t>présentant des troubles du spectre de l’autisme</w:t>
      </w:r>
      <w:r w:rsidR="007D40E2" w:rsidRPr="009D4CD4">
        <w:t>.</w:t>
      </w:r>
    </w:p>
    <w:p w14:paraId="670D6149" w14:textId="77777777" w:rsidR="00694BC3" w:rsidRPr="009D4CD4" w:rsidRDefault="00694BC3" w:rsidP="00B72A61">
      <w:pPr>
        <w:spacing w:after="0" w:line="240" w:lineRule="auto"/>
        <w:jc w:val="left"/>
        <w:rPr>
          <w:rFonts w:cs="Calibri"/>
        </w:rPr>
      </w:pPr>
    </w:p>
    <w:p w14:paraId="44F11ADA" w14:textId="7785E1A6" w:rsidR="00B72A61" w:rsidRPr="009D4CD4" w:rsidRDefault="00B72A61" w:rsidP="0015198F">
      <w:pPr>
        <w:numPr>
          <w:ilvl w:val="0"/>
          <w:numId w:val="4"/>
        </w:numPr>
        <w:spacing w:after="0" w:line="240" w:lineRule="auto"/>
        <w:jc w:val="left"/>
      </w:pPr>
      <w:r w:rsidRPr="009D4CD4">
        <w:rPr>
          <w:rFonts w:cs="Arial"/>
        </w:rPr>
        <w:t>Le</w:t>
      </w:r>
      <w:r w:rsidR="004D466B" w:rsidRPr="009D4CD4">
        <w:rPr>
          <w:rFonts w:cs="Arial"/>
        </w:rPr>
        <w:t>s filiales Edokial et Inforsud Technologies (IST)</w:t>
      </w:r>
    </w:p>
    <w:p w14:paraId="1B466CBC" w14:textId="77777777" w:rsidR="004D466B" w:rsidRPr="009D4CD4" w:rsidRDefault="004D466B" w:rsidP="004D466B">
      <w:pPr>
        <w:spacing w:after="0" w:line="240" w:lineRule="auto"/>
        <w:ind w:left="720"/>
        <w:jc w:val="left"/>
      </w:pPr>
    </w:p>
    <w:p w14:paraId="4E625724" w14:textId="06FB0F78" w:rsidR="001F1BBD" w:rsidRPr="009D4CD4" w:rsidRDefault="001F1BBD" w:rsidP="00046064">
      <w:pPr>
        <w:spacing w:after="0" w:line="240" w:lineRule="auto"/>
        <w:jc w:val="left"/>
      </w:pPr>
      <w:r w:rsidRPr="009D4CD4">
        <w:t>IST</w:t>
      </w:r>
      <w:r w:rsidR="004D466B" w:rsidRPr="009D4CD4">
        <w:t xml:space="preserve"> a participé bénévolement à 13 manifestations en 2021 au sein d’association</w:t>
      </w:r>
      <w:r w:rsidRPr="009D4CD4">
        <w:t>s</w:t>
      </w:r>
      <w:r w:rsidR="004D466B" w:rsidRPr="009D4CD4">
        <w:t xml:space="preserve"> locale</w:t>
      </w:r>
      <w:r w:rsidRPr="009D4CD4">
        <w:t>s</w:t>
      </w:r>
      <w:r w:rsidR="004D466B" w:rsidRPr="009D4CD4">
        <w:t xml:space="preserve"> (Face</w:t>
      </w:r>
      <w:r w:rsidRPr="009D4CD4">
        <w:t xml:space="preserve"> Aveyron, Leader Tarn…), de Pôle E</w:t>
      </w:r>
      <w:r w:rsidR="004D466B" w:rsidRPr="009D4CD4">
        <w:t>mploi Aveyron et différentes écoles pour prom</w:t>
      </w:r>
      <w:r w:rsidRPr="009D4CD4">
        <w:t>ouvoir les métiers du numérique</w:t>
      </w:r>
      <w:r w:rsidR="004D466B" w:rsidRPr="009D4CD4">
        <w:t>, sensibiliser les</w:t>
      </w:r>
      <w:r w:rsidRPr="009D4CD4">
        <w:t xml:space="preserve"> personnes à la cyber sécurité etc.</w:t>
      </w:r>
    </w:p>
    <w:p w14:paraId="4CDC5AB1" w14:textId="133D047B" w:rsidR="00773E2D" w:rsidRPr="009D4CD4" w:rsidRDefault="00046064" w:rsidP="00046064">
      <w:pPr>
        <w:spacing w:after="0" w:line="240" w:lineRule="auto"/>
        <w:jc w:val="left"/>
      </w:pPr>
      <w:r w:rsidRPr="009D4CD4">
        <w:t>IST</w:t>
      </w:r>
      <w:r w:rsidR="00773E2D" w:rsidRPr="009D4CD4">
        <w:t xml:space="preserve"> est intégré dans divers réseaux : le club Face Aveyron, membre de la Fondation Agir Contre l’Exclusion, regroupant une trentaine d’entreprises aveyronnaises engagées sur le territoire contre toutes les formes d’exclusion et contre la pauvreté ;  l’association Ecoter 81, dont la mission est de mettre en relation les entreprises autour du thème fédérateur de l’économie du Tarn, ainsi que l’association toulousaine Digital Place, dont l’objet est d’accompagner les entreprises dans leurs projets d’innovation et de transformation digitale</w:t>
      </w:r>
      <w:r w:rsidRPr="009D4CD4">
        <w:t> .</w:t>
      </w:r>
    </w:p>
    <w:p w14:paraId="3C90294B" w14:textId="77777777" w:rsidR="00B72A61" w:rsidRPr="009D4CD4" w:rsidRDefault="00B72A61" w:rsidP="00B72A61">
      <w:pPr>
        <w:spacing w:after="0" w:line="240" w:lineRule="auto"/>
        <w:jc w:val="left"/>
      </w:pPr>
    </w:p>
    <w:p w14:paraId="018CF8CB" w14:textId="77777777" w:rsidR="00B72A61" w:rsidRPr="009D4CD4" w:rsidRDefault="00B72A61" w:rsidP="00B72A61">
      <w:pPr>
        <w:spacing w:after="0" w:line="240" w:lineRule="auto"/>
        <w:jc w:val="left"/>
        <w:rPr>
          <w:rFonts w:asciiTheme="minorHAnsi" w:eastAsia="Times New Roman" w:hAnsiTheme="minorHAnsi"/>
          <w:lang w:eastAsia="fr-FR"/>
        </w:rPr>
      </w:pPr>
    </w:p>
    <w:p w14:paraId="18312F5B" w14:textId="0B86E48F" w:rsidR="00B72A61" w:rsidRPr="009D4CD4" w:rsidRDefault="00B72A61" w:rsidP="00326D6D">
      <w:pPr>
        <w:pStyle w:val="Titre2"/>
      </w:pPr>
      <w:bookmarkStart w:id="95" w:name="_Toc32416032"/>
      <w:bookmarkStart w:id="96" w:name="_Toc59444708"/>
      <w:bookmarkStart w:id="97" w:name="_Toc96698018"/>
      <w:r w:rsidRPr="009D4CD4">
        <w:t>Accompagner la montée en compétence des salariés</w:t>
      </w:r>
      <w:bookmarkEnd w:id="95"/>
      <w:bookmarkEnd w:id="96"/>
      <w:bookmarkEnd w:id="97"/>
    </w:p>
    <w:p w14:paraId="3FE39A9C" w14:textId="0692A60D" w:rsidR="00B72A61" w:rsidRPr="009D4CD4" w:rsidRDefault="00B72A61" w:rsidP="00B72A61">
      <w:pPr>
        <w:spacing w:after="0" w:line="240" w:lineRule="auto"/>
        <w:jc w:val="left"/>
      </w:pPr>
    </w:p>
    <w:tbl>
      <w:tblPr>
        <w:tblW w:w="9711" w:type="dxa"/>
        <w:tblInd w:w="212" w:type="dxa"/>
        <w:tblLayout w:type="fixed"/>
        <w:tblCellMar>
          <w:left w:w="70" w:type="dxa"/>
          <w:right w:w="70" w:type="dxa"/>
        </w:tblCellMar>
        <w:tblLook w:val="04A0" w:firstRow="1" w:lastRow="0" w:firstColumn="1" w:lastColumn="0" w:noHBand="0" w:noVBand="1"/>
      </w:tblPr>
      <w:tblGrid>
        <w:gridCol w:w="4041"/>
        <w:gridCol w:w="850"/>
        <w:gridCol w:w="709"/>
        <w:gridCol w:w="851"/>
        <w:gridCol w:w="708"/>
        <w:gridCol w:w="851"/>
        <w:gridCol w:w="851"/>
        <w:gridCol w:w="850"/>
      </w:tblGrid>
      <w:tr w:rsidR="00DE307E" w:rsidRPr="009D4CD4" w14:paraId="5831DC2F" w14:textId="77777777" w:rsidTr="00DE307E">
        <w:trPr>
          <w:trHeight w:val="255"/>
        </w:trPr>
        <w:tc>
          <w:tcPr>
            <w:tcW w:w="4041" w:type="dxa"/>
            <w:tcBorders>
              <w:top w:val="nil"/>
              <w:left w:val="nil"/>
              <w:bottom w:val="nil"/>
              <w:right w:val="nil"/>
            </w:tcBorders>
            <w:shd w:val="clear" w:color="auto" w:fill="auto"/>
            <w:vAlign w:val="center"/>
            <w:hideMark/>
          </w:tcPr>
          <w:p w14:paraId="19AF2E93" w14:textId="77777777" w:rsidR="00DE307E" w:rsidRPr="009D4CD4" w:rsidRDefault="00DE307E" w:rsidP="002D0015">
            <w:pPr>
              <w:spacing w:after="0" w:line="240" w:lineRule="auto"/>
              <w:ind w:firstLineChars="100" w:firstLine="220"/>
              <w:jc w:val="left"/>
              <w:rPr>
                <w:rFonts w:eastAsia="Times New Roman"/>
                <w:b/>
                <w:bCs/>
                <w:i/>
                <w:iCs/>
                <w:sz w:val="18"/>
                <w:szCs w:val="18"/>
                <w:lang w:eastAsia="fr-FR"/>
              </w:rPr>
            </w:pPr>
            <w:bookmarkStart w:id="98" w:name="RANGE!A1"/>
            <w:bookmarkEnd w:id="98"/>
            <w:r w:rsidRPr="009D4CD4">
              <w:rPr>
                <w:rFonts w:cs="Arial"/>
                <w:b/>
                <w:i/>
              </w:rPr>
              <w:t>Les chiffres - clé</w:t>
            </w:r>
          </w:p>
        </w:tc>
        <w:tc>
          <w:tcPr>
            <w:tcW w:w="850" w:type="dxa"/>
            <w:tcBorders>
              <w:top w:val="single" w:sz="4" w:space="0" w:color="auto"/>
              <w:left w:val="single" w:sz="4" w:space="0" w:color="auto"/>
              <w:bottom w:val="single" w:sz="4" w:space="0" w:color="auto"/>
              <w:right w:val="nil"/>
            </w:tcBorders>
            <w:shd w:val="clear" w:color="auto" w:fill="auto"/>
            <w:vAlign w:val="center"/>
            <w:hideMark/>
          </w:tcPr>
          <w:p w14:paraId="709A7BBD" w14:textId="77777777" w:rsidR="00DE307E" w:rsidRPr="009D4CD4" w:rsidRDefault="00DE307E" w:rsidP="00523615">
            <w:pPr>
              <w:spacing w:after="0" w:line="240" w:lineRule="auto"/>
              <w:jc w:val="left"/>
              <w:rPr>
                <w:rFonts w:eastAsia="Times New Roman"/>
                <w:b/>
                <w:bCs/>
                <w:sz w:val="18"/>
                <w:szCs w:val="18"/>
                <w:lang w:eastAsia="fr-FR"/>
              </w:rPr>
            </w:pPr>
            <w:r w:rsidRPr="009D4CD4">
              <w:rPr>
                <w:rFonts w:eastAsia="Times New Roman"/>
                <w:b/>
                <w:bCs/>
                <w:sz w:val="18"/>
                <w:szCs w:val="18"/>
                <w:lang w:eastAsia="fr-FR"/>
              </w:rPr>
              <w:t>NMP</w:t>
            </w:r>
          </w:p>
        </w:tc>
        <w:tc>
          <w:tcPr>
            <w:tcW w:w="709" w:type="dxa"/>
            <w:tcBorders>
              <w:top w:val="single" w:sz="4" w:space="0" w:color="auto"/>
              <w:left w:val="nil"/>
              <w:bottom w:val="single" w:sz="4" w:space="0" w:color="auto"/>
              <w:right w:val="nil"/>
            </w:tcBorders>
            <w:shd w:val="clear" w:color="auto" w:fill="auto"/>
            <w:vAlign w:val="center"/>
            <w:hideMark/>
          </w:tcPr>
          <w:p w14:paraId="718A06A8" w14:textId="77777777" w:rsidR="00DE307E" w:rsidRPr="009D4CD4" w:rsidRDefault="00DE307E" w:rsidP="00523615">
            <w:pPr>
              <w:spacing w:after="0" w:line="240" w:lineRule="auto"/>
              <w:jc w:val="left"/>
              <w:rPr>
                <w:rFonts w:eastAsia="Times New Roman"/>
                <w:b/>
                <w:bCs/>
                <w:sz w:val="18"/>
                <w:szCs w:val="18"/>
                <w:lang w:eastAsia="fr-FR"/>
              </w:rPr>
            </w:pPr>
            <w:r w:rsidRPr="009D4CD4">
              <w:rPr>
                <w:rFonts w:eastAsia="Times New Roman"/>
                <w:b/>
                <w:bCs/>
                <w:sz w:val="18"/>
                <w:szCs w:val="18"/>
                <w:lang w:eastAsia="fr-FR"/>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572E44C1" w14:textId="77777777" w:rsidR="00DE307E" w:rsidRPr="009D4CD4" w:rsidRDefault="00DE307E" w:rsidP="00523615">
            <w:pPr>
              <w:spacing w:after="0" w:line="240" w:lineRule="auto"/>
              <w:jc w:val="left"/>
              <w:rPr>
                <w:rFonts w:eastAsia="Times New Roman"/>
                <w:b/>
                <w:bCs/>
                <w:sz w:val="18"/>
                <w:szCs w:val="18"/>
                <w:lang w:eastAsia="fr-FR"/>
              </w:rPr>
            </w:pPr>
            <w:r w:rsidRPr="009D4CD4">
              <w:rPr>
                <w:rFonts w:eastAsia="Times New Roman"/>
                <w:b/>
                <w:bCs/>
                <w:sz w:val="18"/>
                <w:szCs w:val="18"/>
                <w:lang w:eastAsia="fr-FR"/>
              </w:rPr>
              <w:t> </w:t>
            </w:r>
          </w:p>
        </w:tc>
        <w:tc>
          <w:tcPr>
            <w:tcW w:w="708" w:type="dxa"/>
            <w:tcBorders>
              <w:top w:val="single" w:sz="4" w:space="0" w:color="auto"/>
              <w:left w:val="single" w:sz="4" w:space="0" w:color="auto"/>
              <w:bottom w:val="single" w:sz="4" w:space="0" w:color="auto"/>
              <w:right w:val="nil"/>
            </w:tcBorders>
            <w:shd w:val="clear" w:color="auto" w:fill="auto"/>
            <w:vAlign w:val="center"/>
            <w:hideMark/>
          </w:tcPr>
          <w:p w14:paraId="25108558" w14:textId="2677801A" w:rsidR="00DE307E" w:rsidRPr="009D4CD4" w:rsidRDefault="00DE307E" w:rsidP="00523615">
            <w:pPr>
              <w:spacing w:after="0" w:line="240" w:lineRule="auto"/>
              <w:jc w:val="left"/>
              <w:rPr>
                <w:rFonts w:eastAsia="Times New Roman"/>
                <w:b/>
                <w:bCs/>
                <w:sz w:val="18"/>
                <w:szCs w:val="18"/>
                <w:lang w:eastAsia="fr-FR"/>
              </w:rPr>
            </w:pPr>
            <w:r w:rsidRPr="009D4CD4">
              <w:rPr>
                <w:rFonts w:eastAsia="Times New Roman"/>
                <w:b/>
                <w:bCs/>
                <w:sz w:val="18"/>
                <w:szCs w:val="18"/>
                <w:lang w:eastAsia="fr-FR"/>
              </w:rPr>
              <w:t>IST</w:t>
            </w:r>
          </w:p>
        </w:tc>
        <w:tc>
          <w:tcPr>
            <w:tcW w:w="851" w:type="dxa"/>
            <w:tcBorders>
              <w:top w:val="single" w:sz="4" w:space="0" w:color="auto"/>
              <w:left w:val="nil"/>
              <w:bottom w:val="single" w:sz="4" w:space="0" w:color="auto"/>
              <w:right w:val="nil"/>
            </w:tcBorders>
          </w:tcPr>
          <w:p w14:paraId="4662EFAD" w14:textId="77777777" w:rsidR="00DE307E" w:rsidRPr="009D4CD4" w:rsidRDefault="00DE307E" w:rsidP="00523615">
            <w:pPr>
              <w:spacing w:after="0" w:line="240" w:lineRule="auto"/>
              <w:jc w:val="left"/>
              <w:rPr>
                <w:rFonts w:eastAsia="Times New Roman"/>
                <w:b/>
                <w:bCs/>
                <w:sz w:val="18"/>
                <w:szCs w:val="18"/>
                <w:lang w:eastAsia="fr-FR"/>
              </w:rPr>
            </w:pPr>
          </w:p>
        </w:tc>
        <w:tc>
          <w:tcPr>
            <w:tcW w:w="851" w:type="dxa"/>
            <w:tcBorders>
              <w:top w:val="single" w:sz="4" w:space="0" w:color="auto"/>
              <w:left w:val="nil"/>
              <w:bottom w:val="single" w:sz="4" w:space="0" w:color="auto"/>
              <w:right w:val="nil"/>
            </w:tcBorders>
            <w:shd w:val="clear" w:color="auto" w:fill="auto"/>
            <w:vAlign w:val="center"/>
            <w:hideMark/>
          </w:tcPr>
          <w:p w14:paraId="05D843A9" w14:textId="64770E0D" w:rsidR="00DE307E" w:rsidRPr="009D4CD4" w:rsidRDefault="00DE307E" w:rsidP="00523615">
            <w:pPr>
              <w:spacing w:after="0" w:line="240" w:lineRule="auto"/>
              <w:jc w:val="left"/>
              <w:rPr>
                <w:rFonts w:eastAsia="Times New Roman"/>
                <w:b/>
                <w:bCs/>
                <w:sz w:val="18"/>
                <w:szCs w:val="18"/>
                <w:lang w:eastAsia="fr-FR"/>
              </w:rPr>
            </w:pPr>
            <w:r w:rsidRPr="009D4CD4">
              <w:rPr>
                <w:rFonts w:eastAsia="Times New Roman"/>
                <w:b/>
                <w:bCs/>
                <w:sz w:val="18"/>
                <w:szCs w:val="18"/>
                <w:lang w:eastAsia="fr-FR"/>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4A850D5" w14:textId="77777777" w:rsidR="00DE307E" w:rsidRPr="009D4CD4" w:rsidRDefault="00DE307E" w:rsidP="00523615">
            <w:pPr>
              <w:spacing w:after="0" w:line="240" w:lineRule="auto"/>
              <w:jc w:val="left"/>
              <w:rPr>
                <w:rFonts w:eastAsia="Times New Roman"/>
                <w:b/>
                <w:bCs/>
                <w:sz w:val="18"/>
                <w:szCs w:val="18"/>
                <w:lang w:eastAsia="fr-FR"/>
              </w:rPr>
            </w:pPr>
            <w:r w:rsidRPr="009D4CD4">
              <w:rPr>
                <w:rFonts w:eastAsia="Times New Roman"/>
                <w:b/>
                <w:bCs/>
                <w:sz w:val="18"/>
                <w:szCs w:val="18"/>
                <w:lang w:eastAsia="fr-FR"/>
              </w:rPr>
              <w:t> </w:t>
            </w:r>
          </w:p>
        </w:tc>
      </w:tr>
      <w:tr w:rsidR="00DE307E" w:rsidRPr="009D4CD4" w14:paraId="338097D8" w14:textId="77777777" w:rsidTr="00DE307E">
        <w:trPr>
          <w:trHeight w:val="255"/>
        </w:trPr>
        <w:tc>
          <w:tcPr>
            <w:tcW w:w="4041" w:type="dxa"/>
            <w:tcBorders>
              <w:top w:val="nil"/>
              <w:left w:val="nil"/>
              <w:bottom w:val="nil"/>
              <w:right w:val="nil"/>
            </w:tcBorders>
            <w:shd w:val="clear" w:color="auto" w:fill="auto"/>
            <w:vAlign w:val="center"/>
            <w:hideMark/>
          </w:tcPr>
          <w:p w14:paraId="0BD8EAFE" w14:textId="77777777" w:rsidR="00DE307E" w:rsidRPr="009D4CD4" w:rsidRDefault="00DE307E" w:rsidP="00897012">
            <w:pPr>
              <w:spacing w:after="0" w:line="240" w:lineRule="auto"/>
              <w:jc w:val="left"/>
              <w:rPr>
                <w:rFonts w:eastAsia="Times New Roman"/>
                <w:sz w:val="18"/>
                <w:szCs w:val="18"/>
                <w:lang w:eastAsia="fr-FR"/>
              </w:rPr>
            </w:pPr>
          </w:p>
        </w:tc>
        <w:tc>
          <w:tcPr>
            <w:tcW w:w="850" w:type="dxa"/>
            <w:tcBorders>
              <w:top w:val="nil"/>
              <w:left w:val="single" w:sz="4" w:space="0" w:color="auto"/>
              <w:bottom w:val="single" w:sz="4" w:space="0" w:color="auto"/>
              <w:right w:val="single" w:sz="4" w:space="0" w:color="auto"/>
            </w:tcBorders>
            <w:shd w:val="clear" w:color="auto" w:fill="auto"/>
            <w:vAlign w:val="center"/>
          </w:tcPr>
          <w:p w14:paraId="1BBBC5AD" w14:textId="30FA24D1" w:rsidR="00DE307E" w:rsidRPr="009D4CD4" w:rsidRDefault="00DE307E" w:rsidP="00897012">
            <w:pPr>
              <w:spacing w:after="0" w:line="240" w:lineRule="auto"/>
              <w:jc w:val="left"/>
              <w:rPr>
                <w:rFonts w:eastAsia="Times New Roman"/>
                <w:b/>
                <w:bCs/>
                <w:sz w:val="18"/>
                <w:szCs w:val="18"/>
                <w:lang w:eastAsia="fr-FR"/>
              </w:rPr>
            </w:pPr>
            <w:r w:rsidRPr="009D4CD4">
              <w:rPr>
                <w:rFonts w:eastAsia="Times New Roman"/>
                <w:b/>
                <w:bCs/>
                <w:sz w:val="18"/>
                <w:szCs w:val="18"/>
                <w:lang w:eastAsia="fr-FR"/>
              </w:rPr>
              <w:t>2021</w:t>
            </w:r>
          </w:p>
        </w:tc>
        <w:tc>
          <w:tcPr>
            <w:tcW w:w="709" w:type="dxa"/>
            <w:tcBorders>
              <w:top w:val="nil"/>
              <w:left w:val="nil"/>
              <w:bottom w:val="single" w:sz="4" w:space="0" w:color="auto"/>
              <w:right w:val="single" w:sz="4" w:space="0" w:color="auto"/>
            </w:tcBorders>
            <w:shd w:val="clear" w:color="auto" w:fill="auto"/>
            <w:vAlign w:val="center"/>
          </w:tcPr>
          <w:p w14:paraId="0D9B488E" w14:textId="1E79E4D6" w:rsidR="00DE307E" w:rsidRPr="009D4CD4" w:rsidRDefault="00DE307E" w:rsidP="00897012">
            <w:pPr>
              <w:spacing w:after="0" w:line="240" w:lineRule="auto"/>
              <w:jc w:val="left"/>
              <w:rPr>
                <w:rFonts w:eastAsia="Times New Roman"/>
                <w:b/>
                <w:bCs/>
                <w:sz w:val="18"/>
                <w:szCs w:val="18"/>
                <w:lang w:eastAsia="fr-FR"/>
              </w:rPr>
            </w:pPr>
            <w:r w:rsidRPr="009D4CD4">
              <w:rPr>
                <w:rFonts w:eastAsia="Times New Roman"/>
                <w:b/>
                <w:bCs/>
                <w:sz w:val="18"/>
                <w:szCs w:val="18"/>
                <w:lang w:eastAsia="fr-FR"/>
              </w:rPr>
              <w:t>2020</w:t>
            </w:r>
          </w:p>
        </w:tc>
        <w:tc>
          <w:tcPr>
            <w:tcW w:w="851" w:type="dxa"/>
            <w:tcBorders>
              <w:top w:val="nil"/>
              <w:left w:val="nil"/>
              <w:bottom w:val="single" w:sz="4" w:space="0" w:color="auto"/>
              <w:right w:val="single" w:sz="4" w:space="0" w:color="auto"/>
            </w:tcBorders>
            <w:shd w:val="clear" w:color="auto" w:fill="auto"/>
            <w:vAlign w:val="center"/>
            <w:hideMark/>
          </w:tcPr>
          <w:p w14:paraId="193B26BC" w14:textId="2BBAB02D" w:rsidR="00DE307E" w:rsidRPr="009D4CD4" w:rsidRDefault="00DE307E" w:rsidP="00897012">
            <w:pPr>
              <w:spacing w:after="0" w:line="240" w:lineRule="auto"/>
              <w:jc w:val="left"/>
              <w:rPr>
                <w:rFonts w:eastAsia="Times New Roman"/>
                <w:b/>
                <w:bCs/>
                <w:sz w:val="18"/>
                <w:szCs w:val="18"/>
                <w:lang w:eastAsia="fr-FR"/>
              </w:rPr>
            </w:pPr>
            <w:r w:rsidRPr="009D4CD4">
              <w:rPr>
                <w:rFonts w:eastAsia="Times New Roman"/>
                <w:b/>
                <w:bCs/>
                <w:sz w:val="18"/>
                <w:szCs w:val="18"/>
                <w:lang w:eastAsia="fr-FR"/>
              </w:rPr>
              <w:t>2019</w:t>
            </w:r>
          </w:p>
        </w:tc>
        <w:tc>
          <w:tcPr>
            <w:tcW w:w="708" w:type="dxa"/>
            <w:tcBorders>
              <w:top w:val="nil"/>
              <w:left w:val="single" w:sz="4" w:space="0" w:color="auto"/>
              <w:bottom w:val="single" w:sz="4" w:space="0" w:color="auto"/>
              <w:right w:val="single" w:sz="4" w:space="0" w:color="auto"/>
            </w:tcBorders>
            <w:shd w:val="clear" w:color="auto" w:fill="auto"/>
            <w:vAlign w:val="center"/>
          </w:tcPr>
          <w:p w14:paraId="0D49C827" w14:textId="1A038FB0" w:rsidR="00DE307E" w:rsidRPr="009D4CD4" w:rsidRDefault="00DE307E" w:rsidP="00897012">
            <w:pPr>
              <w:spacing w:after="0" w:line="240" w:lineRule="auto"/>
              <w:jc w:val="left"/>
              <w:rPr>
                <w:rFonts w:eastAsia="Times New Roman"/>
                <w:b/>
                <w:bCs/>
                <w:sz w:val="18"/>
                <w:szCs w:val="18"/>
                <w:lang w:eastAsia="fr-FR"/>
              </w:rPr>
            </w:pPr>
            <w:r w:rsidRPr="009D4CD4">
              <w:rPr>
                <w:rFonts w:eastAsia="Times New Roman"/>
                <w:b/>
                <w:bCs/>
                <w:sz w:val="18"/>
                <w:szCs w:val="18"/>
                <w:lang w:eastAsia="fr-FR"/>
              </w:rPr>
              <w:t>21 IST</w:t>
            </w:r>
          </w:p>
        </w:tc>
        <w:tc>
          <w:tcPr>
            <w:tcW w:w="851" w:type="dxa"/>
            <w:tcBorders>
              <w:top w:val="nil"/>
              <w:left w:val="nil"/>
              <w:bottom w:val="single" w:sz="4" w:space="0" w:color="auto"/>
              <w:right w:val="nil"/>
            </w:tcBorders>
          </w:tcPr>
          <w:p w14:paraId="564F22CD" w14:textId="299498BE" w:rsidR="00DE307E" w:rsidRPr="009D4CD4" w:rsidRDefault="00DE307E" w:rsidP="00897012">
            <w:pPr>
              <w:spacing w:after="0" w:line="240" w:lineRule="auto"/>
              <w:jc w:val="left"/>
              <w:rPr>
                <w:rFonts w:eastAsia="Times New Roman"/>
                <w:b/>
                <w:bCs/>
                <w:sz w:val="18"/>
                <w:szCs w:val="18"/>
                <w:lang w:eastAsia="fr-FR"/>
              </w:rPr>
            </w:pPr>
            <w:r w:rsidRPr="009D4CD4">
              <w:rPr>
                <w:rFonts w:eastAsia="Times New Roman"/>
                <w:b/>
                <w:bCs/>
                <w:sz w:val="18"/>
                <w:szCs w:val="18"/>
                <w:lang w:eastAsia="fr-FR"/>
              </w:rPr>
              <w:t>21 EDK</w:t>
            </w:r>
          </w:p>
        </w:tc>
        <w:tc>
          <w:tcPr>
            <w:tcW w:w="851" w:type="dxa"/>
            <w:tcBorders>
              <w:top w:val="nil"/>
              <w:left w:val="nil"/>
              <w:bottom w:val="single" w:sz="4" w:space="0" w:color="auto"/>
              <w:right w:val="single" w:sz="4" w:space="0" w:color="auto"/>
            </w:tcBorders>
            <w:shd w:val="clear" w:color="auto" w:fill="auto"/>
            <w:vAlign w:val="center"/>
          </w:tcPr>
          <w:p w14:paraId="62902914" w14:textId="5C91895A" w:rsidR="00DE307E" w:rsidRPr="009D4CD4" w:rsidRDefault="00DE307E" w:rsidP="00897012">
            <w:pPr>
              <w:spacing w:after="0" w:line="240" w:lineRule="auto"/>
              <w:jc w:val="left"/>
              <w:rPr>
                <w:rFonts w:eastAsia="Times New Roman"/>
                <w:b/>
                <w:bCs/>
                <w:sz w:val="18"/>
                <w:szCs w:val="18"/>
                <w:lang w:eastAsia="fr-FR"/>
              </w:rPr>
            </w:pPr>
            <w:r w:rsidRPr="009D4CD4">
              <w:rPr>
                <w:rFonts w:eastAsia="Times New Roman"/>
                <w:b/>
                <w:bCs/>
                <w:sz w:val="18"/>
                <w:szCs w:val="18"/>
                <w:lang w:eastAsia="fr-FR"/>
              </w:rPr>
              <w:t>2020</w:t>
            </w:r>
          </w:p>
        </w:tc>
        <w:tc>
          <w:tcPr>
            <w:tcW w:w="850" w:type="dxa"/>
            <w:tcBorders>
              <w:top w:val="nil"/>
              <w:left w:val="nil"/>
              <w:bottom w:val="single" w:sz="4" w:space="0" w:color="auto"/>
              <w:right w:val="single" w:sz="4" w:space="0" w:color="auto"/>
            </w:tcBorders>
            <w:shd w:val="clear" w:color="auto" w:fill="auto"/>
            <w:vAlign w:val="center"/>
            <w:hideMark/>
          </w:tcPr>
          <w:p w14:paraId="4F84C4D9" w14:textId="64225F65" w:rsidR="00DE307E" w:rsidRPr="009D4CD4" w:rsidRDefault="00DE307E" w:rsidP="00897012">
            <w:pPr>
              <w:spacing w:after="0" w:line="240" w:lineRule="auto"/>
              <w:jc w:val="left"/>
              <w:rPr>
                <w:rFonts w:eastAsia="Times New Roman"/>
                <w:b/>
                <w:bCs/>
                <w:sz w:val="18"/>
                <w:szCs w:val="18"/>
                <w:lang w:eastAsia="fr-FR"/>
              </w:rPr>
            </w:pPr>
            <w:r w:rsidRPr="009D4CD4">
              <w:rPr>
                <w:rFonts w:eastAsia="Times New Roman"/>
                <w:b/>
                <w:bCs/>
                <w:sz w:val="18"/>
                <w:szCs w:val="18"/>
                <w:lang w:eastAsia="fr-FR"/>
              </w:rPr>
              <w:t>2019</w:t>
            </w:r>
          </w:p>
        </w:tc>
      </w:tr>
      <w:tr w:rsidR="00DE307E" w:rsidRPr="009D4CD4" w14:paraId="1EC47C8A" w14:textId="77777777" w:rsidTr="00DE307E">
        <w:trPr>
          <w:trHeight w:hRule="exact" w:val="284"/>
        </w:trPr>
        <w:tc>
          <w:tcPr>
            <w:tcW w:w="4041" w:type="dxa"/>
            <w:tcBorders>
              <w:top w:val="single" w:sz="4" w:space="0" w:color="auto"/>
              <w:left w:val="single" w:sz="4" w:space="0" w:color="auto"/>
              <w:bottom w:val="single" w:sz="4" w:space="0" w:color="auto"/>
              <w:right w:val="single" w:sz="4" w:space="0" w:color="auto"/>
            </w:tcBorders>
            <w:shd w:val="clear" w:color="auto" w:fill="auto"/>
            <w:vAlign w:val="center"/>
          </w:tcPr>
          <w:p w14:paraId="674DF93B" w14:textId="247CD2B0" w:rsidR="00DE307E" w:rsidRPr="009D4CD4" w:rsidRDefault="00DE307E" w:rsidP="001C6873">
            <w:pPr>
              <w:spacing w:after="0" w:line="240" w:lineRule="auto"/>
              <w:jc w:val="left"/>
              <w:rPr>
                <w:rFonts w:eastAsia="Times New Roman"/>
                <w:sz w:val="20"/>
                <w:szCs w:val="20"/>
                <w:lang w:eastAsia="fr-FR"/>
              </w:rPr>
            </w:pPr>
            <w:r w:rsidRPr="009D4CD4">
              <w:rPr>
                <w:rFonts w:eastAsia="Times New Roman"/>
                <w:sz w:val="20"/>
                <w:szCs w:val="20"/>
                <w:lang w:eastAsia="fr-FR"/>
              </w:rPr>
              <w:t>Nombre de jours de formation par ETP</w:t>
            </w:r>
          </w:p>
        </w:tc>
        <w:tc>
          <w:tcPr>
            <w:tcW w:w="850" w:type="dxa"/>
            <w:tcBorders>
              <w:top w:val="nil"/>
              <w:left w:val="single" w:sz="4" w:space="0" w:color="auto"/>
              <w:bottom w:val="single" w:sz="4" w:space="0" w:color="auto"/>
              <w:right w:val="single" w:sz="4" w:space="0" w:color="auto"/>
            </w:tcBorders>
            <w:shd w:val="clear" w:color="auto" w:fill="auto"/>
            <w:vAlign w:val="center"/>
          </w:tcPr>
          <w:p w14:paraId="355F3C61" w14:textId="6CC3F07A" w:rsidR="00DE307E" w:rsidRPr="009D4CD4" w:rsidRDefault="00DE307E" w:rsidP="00897012">
            <w:pPr>
              <w:spacing w:after="0" w:line="240" w:lineRule="auto"/>
              <w:jc w:val="left"/>
              <w:rPr>
                <w:rFonts w:eastAsia="Times New Roman"/>
                <w:sz w:val="18"/>
                <w:szCs w:val="18"/>
                <w:lang w:eastAsia="fr-FR"/>
              </w:rPr>
            </w:pPr>
            <w:r w:rsidRPr="009D4CD4">
              <w:rPr>
                <w:rFonts w:eastAsia="Times New Roman"/>
                <w:sz w:val="18"/>
                <w:szCs w:val="18"/>
                <w:lang w:eastAsia="fr-FR"/>
              </w:rPr>
              <w:t>5,2</w:t>
            </w:r>
          </w:p>
        </w:tc>
        <w:tc>
          <w:tcPr>
            <w:tcW w:w="709" w:type="dxa"/>
            <w:tcBorders>
              <w:top w:val="nil"/>
              <w:left w:val="nil"/>
              <w:bottom w:val="single" w:sz="4" w:space="0" w:color="auto"/>
              <w:right w:val="single" w:sz="4" w:space="0" w:color="auto"/>
            </w:tcBorders>
            <w:shd w:val="clear" w:color="auto" w:fill="auto"/>
            <w:vAlign w:val="center"/>
          </w:tcPr>
          <w:p w14:paraId="219C16F4" w14:textId="34056618" w:rsidR="00DE307E" w:rsidRPr="009D4CD4" w:rsidRDefault="00DE307E" w:rsidP="00897012">
            <w:pPr>
              <w:spacing w:after="0" w:line="240" w:lineRule="auto"/>
              <w:jc w:val="left"/>
              <w:rPr>
                <w:rFonts w:eastAsia="Times New Roman"/>
                <w:sz w:val="18"/>
                <w:szCs w:val="18"/>
                <w:lang w:eastAsia="fr-FR"/>
              </w:rPr>
            </w:pPr>
            <w:r w:rsidRPr="009D4CD4">
              <w:rPr>
                <w:rFonts w:eastAsia="Times New Roman"/>
                <w:sz w:val="18"/>
                <w:szCs w:val="18"/>
                <w:lang w:eastAsia="fr-FR"/>
              </w:rPr>
              <w:t>4,7</w:t>
            </w:r>
          </w:p>
        </w:tc>
        <w:tc>
          <w:tcPr>
            <w:tcW w:w="851" w:type="dxa"/>
            <w:tcBorders>
              <w:top w:val="nil"/>
              <w:left w:val="nil"/>
              <w:bottom w:val="single" w:sz="4" w:space="0" w:color="auto"/>
              <w:right w:val="single" w:sz="4" w:space="0" w:color="auto"/>
            </w:tcBorders>
            <w:shd w:val="clear" w:color="auto" w:fill="auto"/>
            <w:vAlign w:val="center"/>
          </w:tcPr>
          <w:p w14:paraId="7C294D94" w14:textId="5061B64F" w:rsidR="00DE307E" w:rsidRPr="009D4CD4" w:rsidRDefault="00DE307E" w:rsidP="00897012">
            <w:pPr>
              <w:spacing w:after="0" w:line="240" w:lineRule="auto"/>
              <w:jc w:val="left"/>
              <w:rPr>
                <w:rFonts w:eastAsia="Times New Roman"/>
                <w:sz w:val="18"/>
                <w:szCs w:val="18"/>
                <w:lang w:eastAsia="fr-FR"/>
              </w:rPr>
            </w:pPr>
            <w:r w:rsidRPr="009D4CD4">
              <w:rPr>
                <w:rFonts w:eastAsia="Times New Roman"/>
                <w:sz w:val="18"/>
                <w:szCs w:val="18"/>
                <w:lang w:eastAsia="fr-FR"/>
              </w:rPr>
              <w:t>5,7</w:t>
            </w:r>
          </w:p>
        </w:tc>
        <w:tc>
          <w:tcPr>
            <w:tcW w:w="708" w:type="dxa"/>
            <w:tcBorders>
              <w:top w:val="nil"/>
              <w:left w:val="single" w:sz="4" w:space="0" w:color="auto"/>
              <w:bottom w:val="single" w:sz="4" w:space="0" w:color="auto"/>
              <w:right w:val="single" w:sz="4" w:space="0" w:color="auto"/>
            </w:tcBorders>
            <w:shd w:val="clear" w:color="auto" w:fill="auto"/>
            <w:vAlign w:val="center"/>
          </w:tcPr>
          <w:p w14:paraId="579216C8" w14:textId="148F00B7" w:rsidR="00DE307E" w:rsidRPr="009D4CD4" w:rsidRDefault="00DE307E" w:rsidP="00897012">
            <w:pPr>
              <w:spacing w:after="0" w:line="240" w:lineRule="auto"/>
              <w:jc w:val="left"/>
              <w:rPr>
                <w:rFonts w:eastAsia="Times New Roman"/>
                <w:sz w:val="18"/>
                <w:szCs w:val="18"/>
                <w:lang w:eastAsia="fr-FR"/>
              </w:rPr>
            </w:pPr>
            <w:r w:rsidRPr="009D4CD4">
              <w:rPr>
                <w:rFonts w:eastAsia="Times New Roman"/>
                <w:sz w:val="18"/>
                <w:szCs w:val="18"/>
                <w:lang w:eastAsia="fr-FR"/>
              </w:rPr>
              <w:t>1.9</w:t>
            </w:r>
          </w:p>
        </w:tc>
        <w:tc>
          <w:tcPr>
            <w:tcW w:w="851" w:type="dxa"/>
            <w:tcBorders>
              <w:top w:val="nil"/>
              <w:left w:val="nil"/>
              <w:bottom w:val="single" w:sz="4" w:space="0" w:color="auto"/>
              <w:right w:val="nil"/>
            </w:tcBorders>
          </w:tcPr>
          <w:p w14:paraId="022A6FD7" w14:textId="3CB53443" w:rsidR="00DE307E" w:rsidRPr="009D4CD4" w:rsidRDefault="00CD622E" w:rsidP="00897012">
            <w:pPr>
              <w:spacing w:after="0" w:line="240" w:lineRule="auto"/>
              <w:jc w:val="left"/>
              <w:rPr>
                <w:rFonts w:eastAsia="Times New Roman"/>
                <w:sz w:val="18"/>
                <w:szCs w:val="18"/>
                <w:lang w:eastAsia="fr-FR"/>
              </w:rPr>
            </w:pPr>
            <w:r w:rsidRPr="009D4CD4">
              <w:rPr>
                <w:rFonts w:eastAsia="Times New Roman"/>
                <w:sz w:val="18"/>
                <w:szCs w:val="18"/>
                <w:lang w:eastAsia="fr-FR"/>
              </w:rPr>
              <w:t>1,6</w:t>
            </w:r>
          </w:p>
        </w:tc>
        <w:tc>
          <w:tcPr>
            <w:tcW w:w="851" w:type="dxa"/>
            <w:tcBorders>
              <w:top w:val="nil"/>
              <w:left w:val="nil"/>
              <w:bottom w:val="single" w:sz="4" w:space="0" w:color="auto"/>
              <w:right w:val="single" w:sz="4" w:space="0" w:color="auto"/>
            </w:tcBorders>
            <w:shd w:val="clear" w:color="auto" w:fill="auto"/>
            <w:vAlign w:val="center"/>
          </w:tcPr>
          <w:p w14:paraId="1A80E5C7" w14:textId="34F6FBE6" w:rsidR="00DE307E" w:rsidRPr="009D4CD4" w:rsidRDefault="00DE307E" w:rsidP="00897012">
            <w:pPr>
              <w:spacing w:after="0" w:line="240" w:lineRule="auto"/>
              <w:jc w:val="left"/>
              <w:rPr>
                <w:rFonts w:eastAsia="Times New Roman"/>
                <w:sz w:val="18"/>
                <w:szCs w:val="18"/>
                <w:lang w:eastAsia="fr-FR"/>
              </w:rPr>
            </w:pPr>
            <w:r w:rsidRPr="009D4CD4">
              <w:rPr>
                <w:rFonts w:eastAsia="Times New Roman"/>
                <w:sz w:val="18"/>
                <w:szCs w:val="18"/>
                <w:lang w:eastAsia="fr-FR"/>
              </w:rPr>
              <w:t>1,6</w:t>
            </w:r>
          </w:p>
        </w:tc>
        <w:tc>
          <w:tcPr>
            <w:tcW w:w="850" w:type="dxa"/>
            <w:tcBorders>
              <w:top w:val="nil"/>
              <w:left w:val="nil"/>
              <w:bottom w:val="single" w:sz="4" w:space="0" w:color="auto"/>
              <w:right w:val="single" w:sz="4" w:space="0" w:color="auto"/>
            </w:tcBorders>
            <w:shd w:val="clear" w:color="auto" w:fill="auto"/>
            <w:vAlign w:val="center"/>
          </w:tcPr>
          <w:p w14:paraId="5DFBC514" w14:textId="202C5EB4" w:rsidR="00DE307E" w:rsidRPr="009D4CD4" w:rsidRDefault="00DE307E" w:rsidP="00897012">
            <w:pPr>
              <w:spacing w:after="0" w:line="240" w:lineRule="auto"/>
              <w:jc w:val="left"/>
              <w:rPr>
                <w:rFonts w:eastAsia="Times New Roman"/>
                <w:sz w:val="18"/>
                <w:szCs w:val="18"/>
                <w:lang w:eastAsia="fr-FR"/>
              </w:rPr>
            </w:pPr>
            <w:r w:rsidRPr="009D4CD4">
              <w:rPr>
                <w:rFonts w:eastAsia="Times New Roman"/>
                <w:sz w:val="18"/>
                <w:szCs w:val="18"/>
                <w:lang w:eastAsia="fr-FR"/>
              </w:rPr>
              <w:t>1</w:t>
            </w:r>
          </w:p>
        </w:tc>
      </w:tr>
      <w:tr w:rsidR="00DE307E" w:rsidRPr="009D4CD4" w14:paraId="496CC678" w14:textId="77777777" w:rsidTr="00DE307E">
        <w:trPr>
          <w:trHeight w:hRule="exact" w:val="284"/>
        </w:trPr>
        <w:tc>
          <w:tcPr>
            <w:tcW w:w="4041" w:type="dxa"/>
            <w:tcBorders>
              <w:top w:val="nil"/>
              <w:left w:val="single" w:sz="4" w:space="0" w:color="auto"/>
              <w:bottom w:val="single" w:sz="4" w:space="0" w:color="auto"/>
              <w:right w:val="single" w:sz="4" w:space="0" w:color="auto"/>
            </w:tcBorders>
            <w:shd w:val="clear" w:color="auto" w:fill="auto"/>
            <w:vAlign w:val="center"/>
            <w:hideMark/>
          </w:tcPr>
          <w:p w14:paraId="72EA7FAA" w14:textId="77777777" w:rsidR="00DE307E" w:rsidRPr="009D4CD4" w:rsidRDefault="00DE307E" w:rsidP="004F0A20">
            <w:pPr>
              <w:spacing w:after="0" w:line="240" w:lineRule="auto"/>
              <w:jc w:val="left"/>
              <w:rPr>
                <w:rFonts w:eastAsia="Times New Roman"/>
                <w:sz w:val="20"/>
                <w:szCs w:val="20"/>
                <w:lang w:eastAsia="fr-FR"/>
              </w:rPr>
            </w:pPr>
            <w:r w:rsidRPr="009D4CD4">
              <w:rPr>
                <w:rFonts w:eastAsia="Times New Roman"/>
                <w:sz w:val="20"/>
                <w:szCs w:val="20"/>
                <w:lang w:eastAsia="fr-FR"/>
              </w:rPr>
              <w:t>% masse salariale (année n-1)</w:t>
            </w:r>
          </w:p>
        </w:tc>
        <w:tc>
          <w:tcPr>
            <w:tcW w:w="850" w:type="dxa"/>
            <w:tcBorders>
              <w:top w:val="nil"/>
              <w:left w:val="single" w:sz="4" w:space="0" w:color="auto"/>
              <w:bottom w:val="single" w:sz="4" w:space="0" w:color="auto"/>
              <w:right w:val="single" w:sz="4" w:space="0" w:color="auto"/>
            </w:tcBorders>
            <w:shd w:val="clear" w:color="auto" w:fill="auto"/>
            <w:vAlign w:val="center"/>
          </w:tcPr>
          <w:p w14:paraId="29308C2E" w14:textId="251D7CA4" w:rsidR="00DE307E" w:rsidRPr="009D4CD4" w:rsidRDefault="00DE307E" w:rsidP="004F0A20">
            <w:pPr>
              <w:jc w:val="left"/>
              <w:rPr>
                <w:sz w:val="18"/>
                <w:szCs w:val="18"/>
              </w:rPr>
            </w:pPr>
            <w:r w:rsidRPr="009D4CD4">
              <w:rPr>
                <w:rFonts w:eastAsia="Times New Roman"/>
                <w:sz w:val="18"/>
                <w:szCs w:val="18"/>
                <w:lang w:eastAsia="fr-FR"/>
              </w:rPr>
              <w:t>-</w:t>
            </w:r>
          </w:p>
        </w:tc>
        <w:tc>
          <w:tcPr>
            <w:tcW w:w="709" w:type="dxa"/>
            <w:tcBorders>
              <w:top w:val="nil"/>
              <w:left w:val="nil"/>
              <w:bottom w:val="single" w:sz="4" w:space="0" w:color="auto"/>
              <w:right w:val="single" w:sz="4" w:space="0" w:color="auto"/>
            </w:tcBorders>
            <w:shd w:val="clear" w:color="auto" w:fill="auto"/>
            <w:vAlign w:val="center"/>
          </w:tcPr>
          <w:p w14:paraId="467E7815" w14:textId="7432445B" w:rsidR="00DE307E" w:rsidRPr="009D4CD4" w:rsidRDefault="00DE307E" w:rsidP="004F0A20">
            <w:pPr>
              <w:spacing w:after="0" w:line="240" w:lineRule="auto"/>
              <w:jc w:val="left"/>
              <w:rPr>
                <w:rFonts w:eastAsia="Times New Roman"/>
                <w:sz w:val="18"/>
                <w:szCs w:val="18"/>
                <w:lang w:eastAsia="fr-FR"/>
              </w:rPr>
            </w:pPr>
            <w:r w:rsidRPr="009D4CD4">
              <w:rPr>
                <w:rFonts w:eastAsia="Times New Roman"/>
                <w:sz w:val="18"/>
                <w:szCs w:val="18"/>
                <w:lang w:eastAsia="fr-FR"/>
              </w:rPr>
              <w:t>6,9 %</w:t>
            </w:r>
          </w:p>
        </w:tc>
        <w:tc>
          <w:tcPr>
            <w:tcW w:w="851" w:type="dxa"/>
            <w:tcBorders>
              <w:top w:val="nil"/>
              <w:left w:val="nil"/>
              <w:bottom w:val="single" w:sz="4" w:space="0" w:color="auto"/>
              <w:right w:val="single" w:sz="4" w:space="0" w:color="auto"/>
            </w:tcBorders>
            <w:shd w:val="clear" w:color="auto" w:fill="auto"/>
            <w:vAlign w:val="center"/>
            <w:hideMark/>
          </w:tcPr>
          <w:p w14:paraId="7CD1A062" w14:textId="295D5F03" w:rsidR="00DE307E" w:rsidRPr="009D4CD4" w:rsidRDefault="00DE307E" w:rsidP="004F0A20">
            <w:pPr>
              <w:spacing w:after="0" w:line="240" w:lineRule="auto"/>
              <w:jc w:val="left"/>
              <w:rPr>
                <w:rFonts w:eastAsia="Times New Roman"/>
                <w:sz w:val="18"/>
                <w:szCs w:val="18"/>
                <w:lang w:eastAsia="fr-FR"/>
              </w:rPr>
            </w:pPr>
            <w:r w:rsidRPr="009D4CD4">
              <w:rPr>
                <w:rFonts w:eastAsia="Times New Roman"/>
                <w:sz w:val="18"/>
                <w:szCs w:val="18"/>
                <w:lang w:eastAsia="fr-FR"/>
              </w:rPr>
              <w:t>8,1 %</w:t>
            </w:r>
          </w:p>
        </w:tc>
        <w:tc>
          <w:tcPr>
            <w:tcW w:w="708" w:type="dxa"/>
            <w:tcBorders>
              <w:top w:val="nil"/>
              <w:left w:val="single" w:sz="4" w:space="0" w:color="auto"/>
              <w:bottom w:val="single" w:sz="4" w:space="0" w:color="auto"/>
              <w:right w:val="single" w:sz="4" w:space="0" w:color="auto"/>
            </w:tcBorders>
            <w:shd w:val="clear" w:color="auto" w:fill="auto"/>
            <w:vAlign w:val="center"/>
          </w:tcPr>
          <w:p w14:paraId="1102B8E1" w14:textId="52250377" w:rsidR="00DE307E" w:rsidRPr="009D4CD4" w:rsidRDefault="00DE307E" w:rsidP="004F0A20">
            <w:pPr>
              <w:ind w:left="360"/>
              <w:rPr>
                <w:sz w:val="18"/>
                <w:szCs w:val="18"/>
              </w:rPr>
            </w:pPr>
            <w:r w:rsidRPr="009D4CD4">
              <w:rPr>
                <w:sz w:val="18"/>
                <w:szCs w:val="18"/>
              </w:rPr>
              <w:t>-</w:t>
            </w:r>
          </w:p>
        </w:tc>
        <w:tc>
          <w:tcPr>
            <w:tcW w:w="851" w:type="dxa"/>
            <w:tcBorders>
              <w:top w:val="nil"/>
              <w:left w:val="nil"/>
              <w:bottom w:val="single" w:sz="4" w:space="0" w:color="auto"/>
              <w:right w:val="nil"/>
            </w:tcBorders>
          </w:tcPr>
          <w:p w14:paraId="7B8F8356" w14:textId="1ACFC76E" w:rsidR="00DE307E" w:rsidRPr="009D4CD4" w:rsidRDefault="00046064" w:rsidP="009455F4">
            <w:pPr>
              <w:spacing w:after="0" w:line="240" w:lineRule="auto"/>
              <w:rPr>
                <w:sz w:val="18"/>
                <w:szCs w:val="18"/>
              </w:rPr>
            </w:pPr>
            <w:r w:rsidRPr="009D4CD4">
              <w:rPr>
                <w:sz w:val="18"/>
                <w:szCs w:val="18"/>
              </w:rPr>
              <w:t xml:space="preserve"> - </w:t>
            </w:r>
          </w:p>
        </w:tc>
        <w:tc>
          <w:tcPr>
            <w:tcW w:w="851" w:type="dxa"/>
            <w:tcBorders>
              <w:top w:val="nil"/>
              <w:left w:val="nil"/>
              <w:bottom w:val="single" w:sz="4" w:space="0" w:color="auto"/>
              <w:right w:val="single" w:sz="4" w:space="0" w:color="auto"/>
            </w:tcBorders>
            <w:shd w:val="clear" w:color="auto" w:fill="auto"/>
            <w:vAlign w:val="center"/>
          </w:tcPr>
          <w:p w14:paraId="307B4B28" w14:textId="311130F2" w:rsidR="00DE307E" w:rsidRPr="009D4CD4" w:rsidRDefault="00DE307E" w:rsidP="009455F4">
            <w:pPr>
              <w:spacing w:after="0" w:line="240" w:lineRule="auto"/>
              <w:rPr>
                <w:rFonts w:eastAsia="Times New Roman"/>
                <w:sz w:val="18"/>
                <w:szCs w:val="18"/>
                <w:lang w:eastAsia="fr-FR"/>
              </w:rPr>
            </w:pPr>
            <w:r w:rsidRPr="009D4CD4">
              <w:rPr>
                <w:sz w:val="18"/>
                <w:szCs w:val="18"/>
              </w:rPr>
              <w:t xml:space="preserve"> 3.14 %</w:t>
            </w:r>
          </w:p>
        </w:tc>
        <w:tc>
          <w:tcPr>
            <w:tcW w:w="850" w:type="dxa"/>
            <w:tcBorders>
              <w:top w:val="nil"/>
              <w:left w:val="nil"/>
              <w:bottom w:val="single" w:sz="4" w:space="0" w:color="auto"/>
              <w:right w:val="single" w:sz="4" w:space="0" w:color="auto"/>
            </w:tcBorders>
            <w:shd w:val="clear" w:color="auto" w:fill="auto"/>
            <w:vAlign w:val="center"/>
            <w:hideMark/>
          </w:tcPr>
          <w:p w14:paraId="04FF18F3" w14:textId="7270DD77" w:rsidR="00DE307E" w:rsidRPr="009D4CD4" w:rsidRDefault="00DE307E" w:rsidP="004F0A20">
            <w:pPr>
              <w:spacing w:after="0" w:line="240" w:lineRule="auto"/>
              <w:jc w:val="left"/>
              <w:rPr>
                <w:rFonts w:eastAsia="Times New Roman"/>
                <w:sz w:val="18"/>
                <w:szCs w:val="18"/>
                <w:lang w:eastAsia="fr-FR"/>
              </w:rPr>
            </w:pPr>
            <w:r w:rsidRPr="009D4CD4">
              <w:rPr>
                <w:rFonts w:eastAsia="Times New Roman"/>
                <w:sz w:val="18"/>
                <w:szCs w:val="18"/>
                <w:lang w:eastAsia="fr-FR"/>
              </w:rPr>
              <w:t>0,86 %</w:t>
            </w:r>
          </w:p>
        </w:tc>
      </w:tr>
    </w:tbl>
    <w:p w14:paraId="6D06B92A" w14:textId="78FE0F29" w:rsidR="00B72A61" w:rsidRPr="009D4CD4" w:rsidRDefault="00B72A61" w:rsidP="001C6873">
      <w:pPr>
        <w:rPr>
          <w:sz w:val="16"/>
          <w:szCs w:val="16"/>
        </w:rPr>
      </w:pPr>
    </w:p>
    <w:p w14:paraId="35FA7CB7" w14:textId="58C54031" w:rsidR="00B72A61" w:rsidRPr="009D4CD4" w:rsidRDefault="00B72A61" w:rsidP="00B72A61">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717044E2" w14:textId="485C2A67" w:rsidR="00C15EB0" w:rsidRPr="009D4CD4" w:rsidRDefault="00C15EB0" w:rsidP="00B72A61">
      <w:pPr>
        <w:spacing w:after="0" w:line="240" w:lineRule="auto"/>
        <w:jc w:val="left"/>
        <w:rPr>
          <w:rFonts w:cs="Arial"/>
        </w:rPr>
      </w:pPr>
    </w:p>
    <w:p w14:paraId="6AE41931" w14:textId="77777777" w:rsidR="00A14F6E" w:rsidRPr="009D4CD4" w:rsidRDefault="00A14F6E" w:rsidP="00A14F6E">
      <w:pPr>
        <w:spacing w:after="0" w:line="240" w:lineRule="auto"/>
        <w:jc w:val="left"/>
      </w:pPr>
      <w:r w:rsidRPr="009D4CD4">
        <w:t>Le Crédit Agricole Nord Midi-Pyrénées poursuit une politique de formation visant à renforcer le développement des compétences et l’expertise, à soutenir la dynamique commerciale et à préparer le renouvellement des effectifs. D’importants moyens sont alloués à la formation comme le montrent le nombre de jours dispensés ou le budget affecté, en valeur absolue comme en pourcentage de la masse salariale. De ce point de vue, le Crédit Agricole Nord Midi-Pyrénées se situe très en dessus des obligations règlementaires qui sont de 1,6% de la masse salariale.</w:t>
      </w:r>
    </w:p>
    <w:p w14:paraId="4BA7686F" w14:textId="77777777" w:rsidR="00A14F6E" w:rsidRPr="009D4CD4" w:rsidRDefault="00A14F6E" w:rsidP="00A14F6E">
      <w:pPr>
        <w:spacing w:after="0" w:line="240" w:lineRule="auto"/>
        <w:jc w:val="left"/>
      </w:pPr>
    </w:p>
    <w:p w14:paraId="705E5000" w14:textId="77777777" w:rsidR="00A14F6E" w:rsidRPr="009D4CD4" w:rsidRDefault="00A14F6E" w:rsidP="00A14F6E">
      <w:pPr>
        <w:spacing w:after="0" w:line="240" w:lineRule="auto"/>
        <w:jc w:val="left"/>
      </w:pPr>
      <w:r w:rsidRPr="009D4CD4">
        <w:t xml:space="preserve">En 2021, 10 596 jours ont été consacrés à la formation :  </w:t>
      </w:r>
    </w:p>
    <w:p w14:paraId="6D2FFC7E" w14:textId="77777777" w:rsidR="00A14F6E" w:rsidRPr="009D4CD4" w:rsidRDefault="00A14F6E" w:rsidP="00A14F6E">
      <w:pPr>
        <w:spacing w:after="0" w:line="240" w:lineRule="auto"/>
        <w:jc w:val="left"/>
      </w:pPr>
      <w:r w:rsidRPr="009D4CD4">
        <w:t>&gt; Développer les compétences dans le métier et à la prise de nouvelles fonctions, maintenir et accroître l’expertise (2 551 jours),</w:t>
      </w:r>
    </w:p>
    <w:p w14:paraId="64F66E93" w14:textId="77777777" w:rsidR="00A14F6E" w:rsidRPr="009D4CD4" w:rsidRDefault="00A14F6E" w:rsidP="00A14F6E">
      <w:pPr>
        <w:spacing w:after="0" w:line="240" w:lineRule="auto"/>
        <w:jc w:val="left"/>
      </w:pPr>
      <w:r w:rsidRPr="009D4CD4">
        <w:t>&gt; Former les collaborateurs en lien avec la dynamique commerciale et les nouveaux outils (621 jours),</w:t>
      </w:r>
    </w:p>
    <w:p w14:paraId="5CFCE088" w14:textId="77777777" w:rsidR="00A14F6E" w:rsidRPr="009D4CD4" w:rsidRDefault="00A14F6E" w:rsidP="00A14F6E">
      <w:pPr>
        <w:spacing w:after="0" w:line="240" w:lineRule="auto"/>
        <w:jc w:val="left"/>
      </w:pPr>
      <w:r w:rsidRPr="009D4CD4">
        <w:t>&gt; Assurer l’intégration des nouveaux collaborateurs (3 009 jours),</w:t>
      </w:r>
    </w:p>
    <w:p w14:paraId="6C3EA728" w14:textId="77777777" w:rsidR="00A14F6E" w:rsidRPr="009D4CD4" w:rsidRDefault="00A14F6E" w:rsidP="00A14F6E">
      <w:pPr>
        <w:spacing w:after="0" w:line="240" w:lineRule="auto"/>
        <w:jc w:val="left"/>
      </w:pPr>
      <w:r w:rsidRPr="009D4CD4">
        <w:t>&gt; Intégrer les exigences des réglementations et de prévention des risques et sécurité (4 415 jours).</w:t>
      </w:r>
    </w:p>
    <w:p w14:paraId="3A9F9CFF" w14:textId="77777777" w:rsidR="00A14F6E" w:rsidRPr="009D4CD4" w:rsidRDefault="00A14F6E" w:rsidP="00A14F6E">
      <w:pPr>
        <w:spacing w:after="0" w:line="240" w:lineRule="auto"/>
        <w:jc w:val="left"/>
      </w:pPr>
    </w:p>
    <w:p w14:paraId="1856B908" w14:textId="77777777" w:rsidR="00A14F6E" w:rsidRPr="009D4CD4" w:rsidRDefault="00A14F6E" w:rsidP="00A14F6E">
      <w:pPr>
        <w:spacing w:after="0" w:line="240" w:lineRule="auto"/>
        <w:jc w:val="left"/>
      </w:pPr>
      <w:r w:rsidRPr="009D4CD4">
        <w:t>Le dispositif de formation a poursuivi son adaptation en 2021 au contexte de la crise sanitaire :</w:t>
      </w:r>
      <w:r w:rsidRPr="009D4CD4">
        <w:rPr>
          <w:rFonts w:ascii="Times New Roman" w:eastAsia="Times New Roman" w:hAnsi="Times New Roman"/>
          <w:sz w:val="24"/>
          <w:szCs w:val="24"/>
          <w:lang w:eastAsia="fr-FR"/>
        </w:rPr>
        <w:t xml:space="preserve"> </w:t>
      </w:r>
    </w:p>
    <w:p w14:paraId="52052BF1" w14:textId="77777777" w:rsidR="00A14F6E" w:rsidRPr="009D4CD4" w:rsidRDefault="00A14F6E" w:rsidP="00A14F6E">
      <w:pPr>
        <w:spacing w:after="0" w:line="240" w:lineRule="auto"/>
        <w:jc w:val="left"/>
      </w:pPr>
      <w:r w:rsidRPr="009D4CD4">
        <w:t>&gt; Recours accru au distanciel (e-formation, classes virtuelles, webinaires)</w:t>
      </w:r>
    </w:p>
    <w:p w14:paraId="2B7393B2" w14:textId="77777777" w:rsidR="00A14F6E" w:rsidRPr="009D4CD4" w:rsidRDefault="00A14F6E" w:rsidP="00A14F6E">
      <w:pPr>
        <w:spacing w:after="0" w:line="240" w:lineRule="auto"/>
        <w:jc w:val="left"/>
      </w:pPr>
      <w:r w:rsidRPr="009D4CD4">
        <w:t xml:space="preserve">&gt; Accompagnement des apprenants et des animateurs internes pour l’utilisation des nouvelles modalités pédagogiques (outils et moyens logistiques adaptés) </w:t>
      </w:r>
    </w:p>
    <w:p w14:paraId="0BF5D0A9" w14:textId="77777777" w:rsidR="00A14F6E" w:rsidRPr="009D4CD4" w:rsidRDefault="00A14F6E" w:rsidP="00A14F6E">
      <w:pPr>
        <w:spacing w:after="0" w:line="240" w:lineRule="auto"/>
        <w:jc w:val="left"/>
      </w:pPr>
      <w:r w:rsidRPr="009D4CD4">
        <w:t>&gt; Appui de l’Institut de Formation du groupe Crédit Agricole (IFCAM) par des formations en ligne.</w:t>
      </w:r>
    </w:p>
    <w:p w14:paraId="70529153" w14:textId="77777777" w:rsidR="00A14F6E" w:rsidRPr="009D4CD4" w:rsidRDefault="00A14F6E" w:rsidP="00A14F6E">
      <w:pPr>
        <w:spacing w:after="0" w:line="240" w:lineRule="auto"/>
        <w:jc w:val="left"/>
      </w:pPr>
    </w:p>
    <w:p w14:paraId="2A9E0441" w14:textId="77777777" w:rsidR="00A14F6E" w:rsidRPr="009D4CD4" w:rsidRDefault="00A14F6E" w:rsidP="00A14F6E">
      <w:pPr>
        <w:spacing w:after="0" w:line="240" w:lineRule="auto"/>
        <w:jc w:val="left"/>
      </w:pPr>
      <w:r w:rsidRPr="009D4CD4">
        <w:t xml:space="preserve">Pour augmenter l’individualisation et l’adéquation des réponses de formation aux besoins, le Portail de Développement des Compétences est mis à la disposition, dans l’intranet, de chaque collaborateur. Cette plateforme offre une vision globale du dispositif de formation. L’offre de formation y est organisée par famille de métiers et par niveau de compétence visé : </w:t>
      </w:r>
      <w:r w:rsidRPr="009D4CD4">
        <w:rPr>
          <w:i/>
          <w:iCs/>
        </w:rPr>
        <w:t>je me prépare, je démarre, je me perfectionne</w:t>
      </w:r>
      <w:r w:rsidRPr="009D4CD4">
        <w:t xml:space="preserve">. Pour chaque action de formation sont présentés : les modalités ; les objectifs pédagogiques ; les prérequis pour favoriser, entre-autres, l’auto-formation. Le Portail permet aux collaborateurs qui le souhaitent de suivre une formation en toute autonomie. </w:t>
      </w:r>
    </w:p>
    <w:p w14:paraId="0B16090F" w14:textId="77777777" w:rsidR="00A14F6E" w:rsidRPr="009D4CD4" w:rsidRDefault="00A14F6E" w:rsidP="00A14F6E">
      <w:pPr>
        <w:spacing w:after="0" w:line="240" w:lineRule="auto"/>
      </w:pPr>
    </w:p>
    <w:p w14:paraId="676636F3" w14:textId="77777777" w:rsidR="00A14F6E" w:rsidRPr="009D4CD4" w:rsidRDefault="00A14F6E" w:rsidP="00A14F6E">
      <w:pPr>
        <w:spacing w:after="0" w:line="240" w:lineRule="auto"/>
        <w:jc w:val="left"/>
      </w:pPr>
      <w:r w:rsidRPr="009D4CD4">
        <w:t>Un Parcours d’intégration est suivi par les nouveaux embauchés sur une durée de 10 semaines, permettant de s’approprier diverses thématiques : l’entreprise ; les produits ; les outils et les canaux digitaux ; la maitrise du risque etc. En 2021, le parcours a été réalisé en grande partie en distanciel.</w:t>
      </w:r>
    </w:p>
    <w:p w14:paraId="5756F273" w14:textId="77777777" w:rsidR="00A14F6E" w:rsidRPr="009D4CD4" w:rsidRDefault="00A14F6E" w:rsidP="00A14F6E">
      <w:pPr>
        <w:spacing w:after="0" w:line="240" w:lineRule="auto"/>
        <w:jc w:val="left"/>
      </w:pPr>
    </w:p>
    <w:p w14:paraId="40546898" w14:textId="7BB07853" w:rsidR="00A14F6E" w:rsidRPr="009D4CD4" w:rsidRDefault="00A14F6E" w:rsidP="00A14F6E">
      <w:pPr>
        <w:autoSpaceDE w:val="0"/>
        <w:autoSpaceDN w:val="0"/>
        <w:spacing w:after="0" w:line="240" w:lineRule="auto"/>
        <w:jc w:val="left"/>
      </w:pPr>
      <w:r w:rsidRPr="009D4CD4">
        <w:t xml:space="preserve">La </w:t>
      </w:r>
      <w:r w:rsidR="00A7717F">
        <w:t>Caisse Régionale</w:t>
      </w:r>
      <w:r w:rsidRPr="009D4CD4">
        <w:t xml:space="preserve"> accueille dans ses agences et dans les services des étudiants en alternance. Les cursus vont de la licence – licence banque et assurances au master (ex : master conseiller de clientèle professionnel ; master gestion de patrimoine et autres masters spécialisés RH, Informat</w:t>
      </w:r>
      <w:r w:rsidR="004E78A7" w:rsidRPr="009D4CD4">
        <w:t>ique, marketing). A fin 2021, 90</w:t>
      </w:r>
      <w:r w:rsidRPr="009D4CD4">
        <w:t xml:space="preserve"> alternants sont accompagnés dans leur cursus. Les étudiants non alternants ont la possibilité d’accomplir des stages du BTS/DUT au niveau master. En 2021, 123 stagiaires ont été accueillis.</w:t>
      </w:r>
    </w:p>
    <w:p w14:paraId="013D6265" w14:textId="6B29C115" w:rsidR="00A14F6E" w:rsidRPr="009D4CD4" w:rsidRDefault="00A14F6E" w:rsidP="00A14F6E">
      <w:pPr>
        <w:autoSpaceDE w:val="0"/>
        <w:autoSpaceDN w:val="0"/>
        <w:spacing w:after="0" w:line="240" w:lineRule="auto"/>
        <w:jc w:val="left"/>
      </w:pPr>
      <w:r w:rsidRPr="009D4CD4">
        <w:t xml:space="preserve">La </w:t>
      </w:r>
      <w:r w:rsidR="00A7717F">
        <w:t>Caisse Régionale</w:t>
      </w:r>
      <w:r w:rsidRPr="009D4CD4">
        <w:t xml:space="preserve"> est, depuis 2019, engagée dans l’accueil de jeunes de 3</w:t>
      </w:r>
      <w:r w:rsidRPr="009D4CD4">
        <w:rPr>
          <w:vertAlign w:val="superscript"/>
        </w:rPr>
        <w:t>ème</w:t>
      </w:r>
      <w:r w:rsidR="004F0A20" w:rsidRPr="009D4CD4">
        <w:t xml:space="preserve"> des zones REP : en 2021</w:t>
      </w:r>
      <w:r w:rsidRPr="009D4CD4">
        <w:t xml:space="preserve">, 7 collégiens ont été accompagnés durant leur stage d’observation. </w:t>
      </w:r>
    </w:p>
    <w:p w14:paraId="2AF461A2" w14:textId="77777777" w:rsidR="00A14F6E" w:rsidRPr="009D4CD4" w:rsidRDefault="00A14F6E" w:rsidP="00A14F6E">
      <w:pPr>
        <w:spacing w:after="0" w:line="240" w:lineRule="auto"/>
        <w:jc w:val="left"/>
        <w:rPr>
          <w:rFonts w:cs="Arial"/>
        </w:rPr>
      </w:pPr>
    </w:p>
    <w:p w14:paraId="7C524C61" w14:textId="77777777" w:rsidR="00A14F6E" w:rsidRPr="009D4CD4" w:rsidRDefault="00A14F6E" w:rsidP="00A14F6E">
      <w:pPr>
        <w:spacing w:after="0" w:line="240" w:lineRule="auto"/>
        <w:jc w:val="left"/>
        <w:rPr>
          <w:rFonts w:cs="Arial"/>
        </w:rPr>
      </w:pPr>
      <w:r w:rsidRPr="009D4CD4">
        <w:rPr>
          <w:rFonts w:cs="Arial"/>
        </w:rPr>
        <w:t xml:space="preserve">Le programme CHANGE a été lancé en 2020, avec pour objectif : </w:t>
      </w:r>
    </w:p>
    <w:p w14:paraId="7C492A58" w14:textId="77777777" w:rsidR="00A14F6E" w:rsidRPr="009D4CD4" w:rsidRDefault="00A14F6E" w:rsidP="00A14F6E">
      <w:pPr>
        <w:spacing w:after="0" w:line="240" w:lineRule="auto"/>
        <w:jc w:val="left"/>
      </w:pPr>
      <w:r w:rsidRPr="009D4CD4">
        <w:t>&gt; Permettre à tous de pouvoir postuler sur des métiers spécialisés grâce à une formation digitale de qualité</w:t>
      </w:r>
    </w:p>
    <w:p w14:paraId="1DEA795E" w14:textId="77777777" w:rsidR="00A14F6E" w:rsidRPr="009D4CD4" w:rsidRDefault="00A14F6E" w:rsidP="00A14F6E">
      <w:pPr>
        <w:spacing w:after="0" w:line="240" w:lineRule="auto"/>
        <w:jc w:val="left"/>
      </w:pPr>
      <w:r w:rsidRPr="009D4CD4">
        <w:t>&gt; Offrir à tous l’opportunité de développer ses connaissances ou de changer de métier</w:t>
      </w:r>
    </w:p>
    <w:p w14:paraId="473EC751" w14:textId="77777777" w:rsidR="00A14F6E" w:rsidRPr="009D4CD4" w:rsidRDefault="00A14F6E" w:rsidP="00A14F6E">
      <w:pPr>
        <w:spacing w:after="0" w:line="240" w:lineRule="auto"/>
        <w:jc w:val="left"/>
      </w:pPr>
      <w:r w:rsidRPr="009D4CD4">
        <w:t>&gt; Proposer des formations certifiantes et booster les carrières</w:t>
      </w:r>
    </w:p>
    <w:p w14:paraId="4E7142CB" w14:textId="77777777" w:rsidR="00A14F6E" w:rsidRPr="009D4CD4" w:rsidRDefault="00A14F6E" w:rsidP="00A14F6E">
      <w:pPr>
        <w:spacing w:after="0" w:line="240" w:lineRule="auto"/>
        <w:jc w:val="left"/>
      </w:pPr>
      <w:r w:rsidRPr="009D4CD4">
        <w:t>&gt; Faciliter la reconversion interne.</w:t>
      </w:r>
    </w:p>
    <w:p w14:paraId="6A1C53D0" w14:textId="77777777" w:rsidR="00A14F6E" w:rsidRPr="009D4CD4" w:rsidRDefault="00A14F6E" w:rsidP="00A14F6E">
      <w:pPr>
        <w:spacing w:after="0" w:line="240" w:lineRule="auto"/>
        <w:jc w:val="left"/>
      </w:pPr>
    </w:p>
    <w:p w14:paraId="6A3684EB" w14:textId="7EA6A929" w:rsidR="00297C8C" w:rsidRPr="009D4CD4" w:rsidRDefault="00297C8C" w:rsidP="00A14F6E">
      <w:pPr>
        <w:spacing w:after="0" w:line="240" w:lineRule="auto"/>
        <w:jc w:val="left"/>
      </w:pPr>
      <w:r w:rsidRPr="009D4CD4">
        <w:t>L</w:t>
      </w:r>
      <w:r w:rsidR="00A14F6E" w:rsidRPr="009D4CD4">
        <w:t>e programme CHANGE a démarré en 2021 sur</w:t>
      </w:r>
      <w:r w:rsidRPr="009D4CD4">
        <w:t xml:space="preserve"> deux métiers : </w:t>
      </w:r>
    </w:p>
    <w:p w14:paraId="1042D747" w14:textId="59B113C9" w:rsidR="00A14F6E" w:rsidRPr="009D4CD4" w:rsidRDefault="00297C8C" w:rsidP="00B72A61">
      <w:pPr>
        <w:spacing w:after="0" w:line="240" w:lineRule="auto"/>
        <w:jc w:val="left"/>
        <w:rPr>
          <w:rFonts w:cs="Arial"/>
        </w:rPr>
      </w:pPr>
      <w:r w:rsidRPr="009D4CD4">
        <w:t>&gt;</w:t>
      </w:r>
      <w:r w:rsidR="00A14F6E" w:rsidRPr="009D4CD4">
        <w:t xml:space="preserve"> le métier de Développeur WEB en partenariat avec OpenClassrooms, école en ligne offrant des parcours diplômants et </w:t>
      </w:r>
      <w:r w:rsidR="00584369" w:rsidRPr="009D4CD4">
        <w:t>professionnalisants ;</w:t>
      </w:r>
      <w:r w:rsidRPr="009D4CD4">
        <w:br/>
        <w:t>&gt;</w:t>
      </w:r>
      <w:r w:rsidR="00A14F6E" w:rsidRPr="009D4CD4">
        <w:t xml:space="preserve"> le métier de chargé d’activités Relations sociales et juridique RH en partenariat avec des organismes de formations spécialisés.</w:t>
      </w:r>
    </w:p>
    <w:p w14:paraId="513DD7B2" w14:textId="77777777" w:rsidR="009455F4" w:rsidRPr="009D4CD4" w:rsidRDefault="009455F4" w:rsidP="009455F4">
      <w:pPr>
        <w:spacing w:after="0" w:line="240" w:lineRule="auto"/>
        <w:jc w:val="left"/>
        <w:rPr>
          <w:rFonts w:cs="Arial"/>
        </w:rPr>
      </w:pPr>
    </w:p>
    <w:p w14:paraId="4C88A6AC" w14:textId="489360D2" w:rsidR="009455F4" w:rsidRPr="009D4CD4" w:rsidRDefault="009455F4" w:rsidP="009455F4">
      <w:pPr>
        <w:pStyle w:val="Paragraphedeliste"/>
        <w:numPr>
          <w:ilvl w:val="0"/>
          <w:numId w:val="8"/>
        </w:numPr>
        <w:rPr>
          <w:rFonts w:asciiTheme="minorHAnsi" w:hAnsiTheme="minorHAnsi"/>
        </w:rPr>
      </w:pPr>
      <w:r w:rsidRPr="009D4CD4">
        <w:rPr>
          <w:rFonts w:asciiTheme="minorHAnsi" w:hAnsiTheme="minorHAnsi"/>
        </w:rPr>
        <w:t>Les filiales Edokial et Inforsud Technologie</w:t>
      </w:r>
      <w:r w:rsidR="0076237B">
        <w:rPr>
          <w:rFonts w:asciiTheme="minorHAnsi" w:hAnsiTheme="minorHAnsi"/>
        </w:rPr>
        <w:t>s</w:t>
      </w:r>
    </w:p>
    <w:p w14:paraId="316EFA9D" w14:textId="518B9DE7" w:rsidR="009455F4" w:rsidRPr="009D4CD4" w:rsidRDefault="009455F4" w:rsidP="009455F4">
      <w:pPr>
        <w:spacing w:after="0" w:line="240" w:lineRule="auto"/>
        <w:jc w:val="left"/>
        <w:rPr>
          <w:rFonts w:cs="Arial"/>
        </w:rPr>
      </w:pPr>
    </w:p>
    <w:p w14:paraId="22976B82" w14:textId="602861F9" w:rsidR="00FD3BB7" w:rsidRPr="009D4CD4" w:rsidRDefault="00FD3BB7" w:rsidP="00FD3BB7">
      <w:pPr>
        <w:spacing w:after="0" w:line="240" w:lineRule="auto"/>
        <w:jc w:val="left"/>
      </w:pPr>
      <w:r w:rsidRPr="009D4CD4">
        <w:t xml:space="preserve">La politique de </w:t>
      </w:r>
      <w:r w:rsidR="00A35391" w:rsidRPr="009D4CD4">
        <w:t>formation privilégie</w:t>
      </w:r>
      <w:r w:rsidRPr="009D4CD4">
        <w:t xml:space="preserve"> l’accompagnement et le développement de la sécurité dans l’ensemble de ses activités ; le recueil et le développement des compétences ; la découverte et le développement des nouveaux talents. EDOKIAL met en œuvre un plan de développement des compétences annuel adapté à la taille et aux besoins de son activité et de sa stratégie. Ce plan permet à chaque collaborateur de développer ses compétences, son savoir-faire et d'évoluer professionnellement. </w:t>
      </w:r>
    </w:p>
    <w:p w14:paraId="2604157F" w14:textId="77777777" w:rsidR="00FD3BB7" w:rsidRPr="009D4CD4" w:rsidRDefault="00FD3BB7" w:rsidP="00FD3BB7">
      <w:pPr>
        <w:spacing w:after="0" w:line="240" w:lineRule="auto"/>
        <w:jc w:val="left"/>
      </w:pPr>
    </w:p>
    <w:p w14:paraId="05B9769E" w14:textId="67A4D52E" w:rsidR="00FD3BB7" w:rsidRPr="009D4CD4" w:rsidRDefault="00FD3BB7" w:rsidP="00FD3BB7">
      <w:pPr>
        <w:spacing w:after="0" w:line="240" w:lineRule="auto"/>
        <w:jc w:val="left"/>
      </w:pPr>
      <w:r w:rsidRPr="009D4CD4">
        <w:t>Les différentes formations se déclinent autour de 5 axes :</w:t>
      </w:r>
    </w:p>
    <w:p w14:paraId="370837D5" w14:textId="77777777" w:rsidR="00FD3BB7" w:rsidRPr="009D4CD4" w:rsidRDefault="00FD3BB7" w:rsidP="00FD3BB7">
      <w:pPr>
        <w:spacing w:after="0" w:line="240" w:lineRule="auto"/>
        <w:jc w:val="left"/>
      </w:pPr>
    </w:p>
    <w:p w14:paraId="5152B534" w14:textId="77777777" w:rsidR="00FD3BB7" w:rsidRPr="009D4CD4" w:rsidRDefault="00FD3BB7" w:rsidP="00FD3BB7">
      <w:pPr>
        <w:spacing w:after="0" w:line="240" w:lineRule="auto"/>
        <w:jc w:val="left"/>
      </w:pPr>
      <w:r w:rsidRPr="009D4CD4">
        <w:t xml:space="preserve">&gt; Formation métier. Ex : système d’information, transition numérique </w:t>
      </w:r>
    </w:p>
    <w:p w14:paraId="6CFE6906" w14:textId="77777777" w:rsidR="00FD3BB7" w:rsidRPr="009D4CD4" w:rsidRDefault="00FD3BB7" w:rsidP="00FD3BB7">
      <w:pPr>
        <w:spacing w:after="0" w:line="240" w:lineRule="auto"/>
        <w:jc w:val="left"/>
      </w:pPr>
      <w:r w:rsidRPr="009D4CD4">
        <w:t>&gt; Sécurité informatique. Ex : principes généraux, méthodes et organisation, mise en place d’une plateforme e-learning, RGPD</w:t>
      </w:r>
    </w:p>
    <w:p w14:paraId="771002E9" w14:textId="77777777" w:rsidR="00FD3BB7" w:rsidRPr="009D4CD4" w:rsidRDefault="00FD3BB7" w:rsidP="00FD3BB7">
      <w:pPr>
        <w:spacing w:after="0" w:line="240" w:lineRule="auto"/>
        <w:jc w:val="left"/>
      </w:pPr>
      <w:r w:rsidRPr="009D4CD4">
        <w:t xml:space="preserve">&gt; Management-communication. Ex : leader d’une équipe, gestion clients, </w:t>
      </w:r>
    </w:p>
    <w:p w14:paraId="3C4CAF0A" w14:textId="77777777" w:rsidR="00FD3BB7" w:rsidRPr="009D4CD4" w:rsidRDefault="00FD3BB7" w:rsidP="00FD3BB7">
      <w:pPr>
        <w:spacing w:after="0" w:line="240" w:lineRule="auto"/>
        <w:jc w:val="left"/>
      </w:pPr>
      <w:r w:rsidRPr="009D4CD4">
        <w:t>&gt; Développement personnel. Ex : anglais, gestion du temps, gestion des conflits, bureautique</w:t>
      </w:r>
    </w:p>
    <w:p w14:paraId="64E3D8FD" w14:textId="6B372D9D" w:rsidR="00FD3BB7" w:rsidRPr="009D4CD4" w:rsidRDefault="00FD3BB7" w:rsidP="00FD3BB7">
      <w:pPr>
        <w:spacing w:after="0" w:line="240" w:lineRule="auto"/>
        <w:jc w:val="left"/>
      </w:pPr>
      <w:r w:rsidRPr="009D4CD4">
        <w:t>&gt; Sécurité à la personne (ex : SST, habilitation électrique, CACES</w:t>
      </w:r>
      <w:r w:rsidR="00582840" w:rsidRPr="009D4CD4">
        <w:rPr>
          <w:rFonts w:cs="Arial"/>
        </w:rPr>
        <w:t xml:space="preserve"> incendie/manipulation extincteur</w:t>
      </w:r>
      <w:r w:rsidRPr="009D4CD4">
        <w:t>).</w:t>
      </w:r>
    </w:p>
    <w:p w14:paraId="3EDDD66C" w14:textId="77777777" w:rsidR="00A35391" w:rsidRPr="009D4CD4" w:rsidRDefault="00A35391" w:rsidP="00FD3BB7">
      <w:pPr>
        <w:spacing w:after="0" w:line="240" w:lineRule="auto"/>
        <w:jc w:val="left"/>
      </w:pPr>
    </w:p>
    <w:p w14:paraId="5A910D28" w14:textId="139D6907" w:rsidR="001E457F" w:rsidRPr="009D4CD4" w:rsidRDefault="001E457F" w:rsidP="00B72A61">
      <w:pPr>
        <w:spacing w:after="0" w:line="240" w:lineRule="auto"/>
        <w:jc w:val="left"/>
        <w:rPr>
          <w:rFonts w:eastAsia="Times New Roman"/>
          <w:lang w:eastAsia="fr-FR"/>
        </w:rPr>
      </w:pPr>
    </w:p>
    <w:p w14:paraId="09B29D40" w14:textId="053E4D24" w:rsidR="00B72A61" w:rsidRPr="009D4CD4" w:rsidRDefault="00B72A61" w:rsidP="00326D6D">
      <w:pPr>
        <w:pStyle w:val="Titre2"/>
      </w:pPr>
      <w:bookmarkStart w:id="99" w:name="_Toc32416033"/>
      <w:bookmarkStart w:id="100" w:name="_Toc59444709"/>
      <w:bookmarkStart w:id="101" w:name="_Toc96698019"/>
      <w:r w:rsidRPr="009D4CD4">
        <w:t>Favoriser l'épanouissement des salariés au travail</w:t>
      </w:r>
      <w:bookmarkEnd w:id="99"/>
      <w:bookmarkEnd w:id="100"/>
      <w:bookmarkEnd w:id="101"/>
    </w:p>
    <w:p w14:paraId="244756A6" w14:textId="77777777" w:rsidR="00B72A61" w:rsidRPr="009D4CD4" w:rsidRDefault="00B72A61" w:rsidP="00B72A61">
      <w:pPr>
        <w:spacing w:after="0" w:line="240" w:lineRule="auto"/>
        <w:jc w:val="left"/>
      </w:pPr>
    </w:p>
    <w:p w14:paraId="5FD3F332" w14:textId="0D6DE36B" w:rsidR="00B72A61" w:rsidRPr="009D4CD4" w:rsidRDefault="00B72A61" w:rsidP="00F41917">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6125BDA6" w14:textId="77777777" w:rsidR="00B72A61" w:rsidRPr="009D4CD4" w:rsidRDefault="00B72A61" w:rsidP="00B72A61">
      <w:pPr>
        <w:spacing w:after="0" w:line="240" w:lineRule="auto"/>
        <w:jc w:val="left"/>
      </w:pPr>
    </w:p>
    <w:p w14:paraId="7FE96623" w14:textId="77777777" w:rsidR="00B72A61" w:rsidRPr="009D4CD4" w:rsidRDefault="00B72A61" w:rsidP="00B72A61">
      <w:pPr>
        <w:spacing w:after="0" w:line="240" w:lineRule="auto"/>
        <w:jc w:val="left"/>
        <w:rPr>
          <w:rFonts w:cs="Arial"/>
        </w:rPr>
      </w:pPr>
      <w:r w:rsidRPr="009D4CD4">
        <w:rPr>
          <w:rFonts w:cs="Arial"/>
        </w:rPr>
        <w:t>Le modèle social du Crédit Agricole Nord Midi-Pyrénées repose sur un développement géographique équilibré, marqué par le maintien des 4 sites administratifs et par l’implantation dense du réseau d’agences. Le Crédit Agricole compte parmi les premiers employeurs privés de son territoire.</w:t>
      </w:r>
    </w:p>
    <w:p w14:paraId="38004EF1" w14:textId="77777777" w:rsidR="00B72A61" w:rsidRPr="009D4CD4" w:rsidRDefault="00B72A61" w:rsidP="00B72A61">
      <w:pPr>
        <w:spacing w:after="0" w:line="240" w:lineRule="auto"/>
        <w:jc w:val="left"/>
        <w:rPr>
          <w:rFonts w:cs="Arial"/>
        </w:rPr>
      </w:pPr>
    </w:p>
    <w:p w14:paraId="7EE141B3" w14:textId="48C6F2CB" w:rsidR="00B72A61" w:rsidRPr="009D4CD4" w:rsidRDefault="00B72A61" w:rsidP="00B72A61">
      <w:pPr>
        <w:spacing w:after="0" w:line="240" w:lineRule="auto"/>
        <w:jc w:val="left"/>
        <w:rPr>
          <w:rFonts w:cs="Arial"/>
        </w:rPr>
      </w:pPr>
      <w:r w:rsidRPr="009D4CD4">
        <w:rPr>
          <w:rFonts w:cs="Arial"/>
        </w:rPr>
        <w:t>L’engagement relatif à l’épanouissement des salariés au travail est décliné autour de plusieurs axes :</w:t>
      </w:r>
      <w:r w:rsidRPr="009D4CD4">
        <w:rPr>
          <w:rFonts w:cs="Arial"/>
        </w:rPr>
        <w:br/>
      </w:r>
      <w:r w:rsidR="00F84F50" w:rsidRPr="009D4CD4">
        <w:rPr>
          <w:rFonts w:cs="Arial"/>
        </w:rPr>
        <w:t>&gt;</w:t>
      </w:r>
      <w:r w:rsidRPr="009D4CD4">
        <w:rPr>
          <w:rFonts w:cs="Arial"/>
        </w:rPr>
        <w:t xml:space="preserve"> Favoriser des conditions d’emploi attractives et une organisation du temps de travail adaptée,</w:t>
      </w:r>
      <w:r w:rsidRPr="009D4CD4">
        <w:rPr>
          <w:rFonts w:cs="Arial"/>
        </w:rPr>
        <w:br/>
      </w:r>
      <w:r w:rsidR="00F84F50" w:rsidRPr="009D4CD4">
        <w:rPr>
          <w:rFonts w:cs="Arial"/>
        </w:rPr>
        <w:t>&gt;</w:t>
      </w:r>
      <w:r w:rsidRPr="009D4CD4">
        <w:rPr>
          <w:rFonts w:cs="Arial"/>
        </w:rPr>
        <w:t xml:space="preserve"> Entretenir le dialogue social,</w:t>
      </w:r>
      <w:r w:rsidRPr="009D4CD4">
        <w:rPr>
          <w:rFonts w:cs="Arial"/>
        </w:rPr>
        <w:br/>
      </w:r>
      <w:r w:rsidR="00F84F50" w:rsidRPr="009D4CD4">
        <w:rPr>
          <w:rFonts w:cs="Arial"/>
        </w:rPr>
        <w:t>&gt;</w:t>
      </w:r>
      <w:r w:rsidRPr="009D4CD4">
        <w:rPr>
          <w:rFonts w:cs="Arial"/>
        </w:rPr>
        <w:t xml:space="preserve"> Garantir les conditions de santé et de sécurité au travail</w:t>
      </w:r>
    </w:p>
    <w:p w14:paraId="22A25B2D" w14:textId="08D2791F" w:rsidR="00B72A61" w:rsidRPr="009D4CD4" w:rsidRDefault="00F84F50" w:rsidP="00B72A61">
      <w:pPr>
        <w:spacing w:after="0" w:line="240" w:lineRule="auto"/>
        <w:jc w:val="left"/>
        <w:rPr>
          <w:rFonts w:cs="Arial"/>
        </w:rPr>
      </w:pPr>
      <w:r w:rsidRPr="009D4CD4">
        <w:rPr>
          <w:rFonts w:cs="Arial"/>
        </w:rPr>
        <w:t>&gt;</w:t>
      </w:r>
      <w:r w:rsidR="00B72A61" w:rsidRPr="009D4CD4">
        <w:rPr>
          <w:rFonts w:cs="Arial"/>
        </w:rPr>
        <w:t xml:space="preserve"> Favoriser la qualité de vie au travail</w:t>
      </w:r>
    </w:p>
    <w:p w14:paraId="49909D98" w14:textId="26D1C834" w:rsidR="00B72A61" w:rsidRPr="009D4CD4" w:rsidRDefault="00F84F50" w:rsidP="00B72A61">
      <w:pPr>
        <w:spacing w:after="0" w:line="240" w:lineRule="auto"/>
        <w:jc w:val="left"/>
        <w:rPr>
          <w:rFonts w:cs="Arial"/>
        </w:rPr>
      </w:pPr>
      <w:r w:rsidRPr="009D4CD4">
        <w:rPr>
          <w:rFonts w:cs="Arial"/>
        </w:rPr>
        <w:t>&gt;</w:t>
      </w:r>
      <w:r w:rsidR="00B72A61" w:rsidRPr="009D4CD4">
        <w:rPr>
          <w:rFonts w:cs="Arial"/>
        </w:rPr>
        <w:t xml:space="preserve"> Impulser une démarche d’innovation participative,</w:t>
      </w:r>
      <w:r w:rsidR="00B72A61" w:rsidRPr="009D4CD4">
        <w:rPr>
          <w:rFonts w:cs="Arial"/>
        </w:rPr>
        <w:br/>
      </w:r>
      <w:r w:rsidRPr="009D4CD4">
        <w:rPr>
          <w:rFonts w:cs="Arial"/>
        </w:rPr>
        <w:t>&gt;</w:t>
      </w:r>
      <w:r w:rsidR="00B72A61" w:rsidRPr="009D4CD4">
        <w:rPr>
          <w:rFonts w:cs="Arial"/>
        </w:rPr>
        <w:t xml:space="preserve"> Accompagner les </w:t>
      </w:r>
      <w:r w:rsidR="006D04CC" w:rsidRPr="009D4CD4">
        <w:rPr>
          <w:rFonts w:cs="Arial"/>
        </w:rPr>
        <w:t>initiatives</w:t>
      </w:r>
      <w:r w:rsidR="00B72A61" w:rsidRPr="009D4CD4">
        <w:rPr>
          <w:rFonts w:cs="Arial"/>
        </w:rPr>
        <w:t xml:space="preserve"> de solidarité.</w:t>
      </w:r>
    </w:p>
    <w:p w14:paraId="6D714F8E" w14:textId="33CC279F" w:rsidR="00B72A61" w:rsidRPr="009D4CD4" w:rsidRDefault="00B72A61" w:rsidP="00326D6D">
      <w:pPr>
        <w:pStyle w:val="Titre3"/>
      </w:pPr>
      <w:bookmarkStart w:id="102" w:name="_Toc32416034"/>
      <w:bookmarkStart w:id="103" w:name="_Toc59444710"/>
      <w:bookmarkStart w:id="104" w:name="_Toc96698020"/>
      <w:r w:rsidRPr="009D4CD4">
        <w:t>Favoriser des conditions d’emploi attractives et une organisation du temps de travail</w:t>
      </w:r>
      <w:r w:rsidRPr="009D4CD4">
        <w:rPr>
          <w:rFonts w:cs="Arial"/>
        </w:rPr>
        <w:t xml:space="preserve"> adaptée</w:t>
      </w:r>
      <w:bookmarkEnd w:id="102"/>
      <w:bookmarkEnd w:id="103"/>
      <w:bookmarkEnd w:id="104"/>
      <w:r w:rsidRPr="009D4CD4">
        <w:br/>
      </w:r>
    </w:p>
    <w:tbl>
      <w:tblPr>
        <w:tblStyle w:val="Grilledutableau"/>
        <w:tblW w:w="0" w:type="auto"/>
        <w:tblLook w:val="04A0" w:firstRow="1" w:lastRow="0" w:firstColumn="1" w:lastColumn="0" w:noHBand="0" w:noVBand="1"/>
      </w:tblPr>
      <w:tblGrid>
        <w:gridCol w:w="2863"/>
        <w:gridCol w:w="920"/>
        <w:gridCol w:w="866"/>
        <w:gridCol w:w="1183"/>
        <w:gridCol w:w="999"/>
        <w:gridCol w:w="1134"/>
        <w:gridCol w:w="1134"/>
        <w:gridCol w:w="1134"/>
      </w:tblGrid>
      <w:tr w:rsidR="001F1BBD" w:rsidRPr="009D4CD4" w14:paraId="527DECBD" w14:textId="77777777" w:rsidTr="00CD622E">
        <w:trPr>
          <w:trHeight w:val="300"/>
        </w:trPr>
        <w:tc>
          <w:tcPr>
            <w:tcW w:w="2863" w:type="dxa"/>
            <w:tcBorders>
              <w:top w:val="nil"/>
              <w:left w:val="nil"/>
              <w:bottom w:val="nil"/>
              <w:right w:val="single" w:sz="4" w:space="0" w:color="auto"/>
            </w:tcBorders>
            <w:hideMark/>
          </w:tcPr>
          <w:p w14:paraId="2F05E596" w14:textId="77777777" w:rsidR="001F1BBD" w:rsidRPr="009D4CD4" w:rsidRDefault="001F1BBD" w:rsidP="00523615">
            <w:pPr>
              <w:spacing w:after="0" w:line="240" w:lineRule="auto"/>
              <w:ind w:left="360"/>
              <w:jc w:val="left"/>
              <w:rPr>
                <w:rFonts w:asciiTheme="minorHAnsi" w:hAnsiTheme="minorHAnsi" w:cs="Arial"/>
                <w:b/>
                <w:bCs/>
                <w:i/>
                <w:iCs/>
                <w:sz w:val="18"/>
                <w:szCs w:val="18"/>
              </w:rPr>
            </w:pPr>
            <w:r w:rsidRPr="009D4CD4">
              <w:rPr>
                <w:rFonts w:asciiTheme="minorHAnsi" w:hAnsiTheme="minorHAnsi" w:cs="Arial"/>
                <w:b/>
                <w:i/>
              </w:rPr>
              <w:t>Les chiffres - clé</w:t>
            </w:r>
          </w:p>
        </w:tc>
        <w:tc>
          <w:tcPr>
            <w:tcW w:w="920" w:type="dxa"/>
            <w:tcBorders>
              <w:top w:val="single" w:sz="4" w:space="0" w:color="auto"/>
              <w:left w:val="single" w:sz="4" w:space="0" w:color="auto"/>
              <w:bottom w:val="single" w:sz="4" w:space="0" w:color="auto"/>
              <w:right w:val="nil"/>
            </w:tcBorders>
            <w:hideMark/>
          </w:tcPr>
          <w:p w14:paraId="10456DA8" w14:textId="77777777" w:rsidR="001F1BBD" w:rsidRPr="009D4CD4" w:rsidRDefault="001F1BBD" w:rsidP="00523615">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NMP</w:t>
            </w:r>
          </w:p>
        </w:tc>
        <w:tc>
          <w:tcPr>
            <w:tcW w:w="866" w:type="dxa"/>
            <w:tcBorders>
              <w:top w:val="single" w:sz="4" w:space="0" w:color="auto"/>
              <w:left w:val="nil"/>
              <w:bottom w:val="single" w:sz="4" w:space="0" w:color="auto"/>
              <w:right w:val="nil"/>
            </w:tcBorders>
            <w:hideMark/>
          </w:tcPr>
          <w:p w14:paraId="528C886B" w14:textId="77777777" w:rsidR="001F1BBD" w:rsidRPr="009D4CD4" w:rsidRDefault="001F1BBD" w:rsidP="00523615">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 </w:t>
            </w:r>
          </w:p>
        </w:tc>
        <w:tc>
          <w:tcPr>
            <w:tcW w:w="1183" w:type="dxa"/>
            <w:tcBorders>
              <w:top w:val="single" w:sz="4" w:space="0" w:color="auto"/>
              <w:left w:val="nil"/>
              <w:bottom w:val="single" w:sz="4" w:space="0" w:color="auto"/>
              <w:right w:val="single" w:sz="4" w:space="0" w:color="auto"/>
            </w:tcBorders>
            <w:hideMark/>
          </w:tcPr>
          <w:p w14:paraId="745A4829" w14:textId="77777777" w:rsidR="001F1BBD" w:rsidRPr="009D4CD4" w:rsidRDefault="001F1BBD" w:rsidP="00523615">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 </w:t>
            </w:r>
          </w:p>
        </w:tc>
        <w:tc>
          <w:tcPr>
            <w:tcW w:w="999" w:type="dxa"/>
            <w:tcBorders>
              <w:top w:val="single" w:sz="4" w:space="0" w:color="auto"/>
              <w:left w:val="single" w:sz="4" w:space="0" w:color="auto"/>
              <w:bottom w:val="single" w:sz="4" w:space="0" w:color="auto"/>
              <w:right w:val="nil"/>
            </w:tcBorders>
            <w:hideMark/>
          </w:tcPr>
          <w:p w14:paraId="468F3E30" w14:textId="5F17C229" w:rsidR="001F1BBD" w:rsidRPr="009D4CD4" w:rsidRDefault="001F1BBD" w:rsidP="00523615">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IS</w:t>
            </w:r>
          </w:p>
        </w:tc>
        <w:tc>
          <w:tcPr>
            <w:tcW w:w="1134" w:type="dxa"/>
            <w:tcBorders>
              <w:top w:val="single" w:sz="4" w:space="0" w:color="auto"/>
              <w:left w:val="nil"/>
              <w:bottom w:val="single" w:sz="4" w:space="0" w:color="auto"/>
              <w:right w:val="nil"/>
            </w:tcBorders>
          </w:tcPr>
          <w:p w14:paraId="7D655E83" w14:textId="77777777" w:rsidR="001F1BBD" w:rsidRPr="009D4CD4" w:rsidRDefault="001F1BBD" w:rsidP="00523615">
            <w:pPr>
              <w:spacing w:after="0" w:line="240" w:lineRule="auto"/>
              <w:jc w:val="left"/>
              <w:rPr>
                <w:rFonts w:asciiTheme="minorHAnsi" w:hAnsiTheme="minorHAnsi" w:cs="Arial"/>
                <w:b/>
                <w:bCs/>
                <w:sz w:val="18"/>
                <w:szCs w:val="18"/>
              </w:rPr>
            </w:pPr>
          </w:p>
        </w:tc>
        <w:tc>
          <w:tcPr>
            <w:tcW w:w="1134" w:type="dxa"/>
            <w:tcBorders>
              <w:top w:val="single" w:sz="4" w:space="0" w:color="auto"/>
              <w:left w:val="nil"/>
              <w:bottom w:val="single" w:sz="4" w:space="0" w:color="auto"/>
              <w:right w:val="nil"/>
            </w:tcBorders>
            <w:hideMark/>
          </w:tcPr>
          <w:p w14:paraId="0051837E" w14:textId="5DED8DCA" w:rsidR="001F1BBD" w:rsidRPr="009D4CD4" w:rsidRDefault="001F1BBD" w:rsidP="00523615">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 </w:t>
            </w:r>
          </w:p>
        </w:tc>
        <w:tc>
          <w:tcPr>
            <w:tcW w:w="1134" w:type="dxa"/>
            <w:tcBorders>
              <w:top w:val="single" w:sz="4" w:space="0" w:color="auto"/>
              <w:left w:val="nil"/>
              <w:bottom w:val="single" w:sz="4" w:space="0" w:color="auto"/>
              <w:right w:val="single" w:sz="4" w:space="0" w:color="auto"/>
            </w:tcBorders>
            <w:hideMark/>
          </w:tcPr>
          <w:p w14:paraId="522E3A43" w14:textId="77777777" w:rsidR="001F1BBD" w:rsidRPr="009D4CD4" w:rsidRDefault="001F1BBD" w:rsidP="00523615">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 </w:t>
            </w:r>
          </w:p>
        </w:tc>
      </w:tr>
      <w:tr w:rsidR="001F1BBD" w:rsidRPr="009D4CD4" w14:paraId="3406F7DB" w14:textId="77777777" w:rsidTr="00CD622E">
        <w:trPr>
          <w:trHeight w:val="255"/>
        </w:trPr>
        <w:tc>
          <w:tcPr>
            <w:tcW w:w="2863" w:type="dxa"/>
            <w:tcBorders>
              <w:top w:val="nil"/>
              <w:left w:val="nil"/>
              <w:bottom w:val="single" w:sz="4" w:space="0" w:color="auto"/>
              <w:right w:val="single" w:sz="4" w:space="0" w:color="auto"/>
            </w:tcBorders>
            <w:hideMark/>
          </w:tcPr>
          <w:p w14:paraId="43EFF310" w14:textId="77777777" w:rsidR="001F1BBD" w:rsidRPr="009D4CD4" w:rsidRDefault="001F1BBD" w:rsidP="00D94808">
            <w:pPr>
              <w:spacing w:after="0" w:line="240" w:lineRule="auto"/>
              <w:jc w:val="left"/>
              <w:rPr>
                <w:rFonts w:asciiTheme="minorHAnsi" w:hAnsiTheme="minorHAnsi" w:cs="Arial"/>
                <w:sz w:val="18"/>
                <w:szCs w:val="18"/>
              </w:rPr>
            </w:pPr>
          </w:p>
        </w:tc>
        <w:tc>
          <w:tcPr>
            <w:tcW w:w="920" w:type="dxa"/>
            <w:tcBorders>
              <w:top w:val="single" w:sz="4" w:space="0" w:color="auto"/>
              <w:left w:val="single" w:sz="4" w:space="0" w:color="auto"/>
            </w:tcBorders>
            <w:noWrap/>
          </w:tcPr>
          <w:p w14:paraId="674C95EF" w14:textId="7B6448F9" w:rsidR="001F1BBD" w:rsidRPr="009D4CD4" w:rsidRDefault="001F1BBD" w:rsidP="00D94808">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2021</w:t>
            </w:r>
          </w:p>
        </w:tc>
        <w:tc>
          <w:tcPr>
            <w:tcW w:w="866" w:type="dxa"/>
            <w:tcBorders>
              <w:top w:val="single" w:sz="4" w:space="0" w:color="auto"/>
            </w:tcBorders>
          </w:tcPr>
          <w:p w14:paraId="0020EBF6" w14:textId="6596F874" w:rsidR="001F1BBD" w:rsidRPr="009D4CD4" w:rsidRDefault="001F1BBD" w:rsidP="00D94808">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2020</w:t>
            </w:r>
          </w:p>
        </w:tc>
        <w:tc>
          <w:tcPr>
            <w:tcW w:w="1183" w:type="dxa"/>
            <w:tcBorders>
              <w:top w:val="single" w:sz="4" w:space="0" w:color="auto"/>
            </w:tcBorders>
            <w:hideMark/>
          </w:tcPr>
          <w:p w14:paraId="0A08F2B2" w14:textId="346240E8" w:rsidR="001F1BBD" w:rsidRPr="009D4CD4" w:rsidRDefault="001F1BBD" w:rsidP="00D94808">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2019</w:t>
            </w:r>
          </w:p>
        </w:tc>
        <w:tc>
          <w:tcPr>
            <w:tcW w:w="999" w:type="dxa"/>
            <w:tcBorders>
              <w:top w:val="single" w:sz="4" w:space="0" w:color="auto"/>
            </w:tcBorders>
            <w:noWrap/>
          </w:tcPr>
          <w:p w14:paraId="14533E3B" w14:textId="6643A77F" w:rsidR="001F1BBD" w:rsidRPr="009D4CD4" w:rsidRDefault="001F1BBD" w:rsidP="00D94808">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2021 IST</w:t>
            </w:r>
          </w:p>
        </w:tc>
        <w:tc>
          <w:tcPr>
            <w:tcW w:w="1134" w:type="dxa"/>
            <w:tcBorders>
              <w:top w:val="single" w:sz="4" w:space="0" w:color="auto"/>
            </w:tcBorders>
          </w:tcPr>
          <w:p w14:paraId="3B2AA598" w14:textId="71D00091" w:rsidR="001F1BBD" w:rsidRPr="009D4CD4" w:rsidRDefault="001F1BBD" w:rsidP="00D94808">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2021 EDK</w:t>
            </w:r>
          </w:p>
        </w:tc>
        <w:tc>
          <w:tcPr>
            <w:tcW w:w="1134" w:type="dxa"/>
            <w:tcBorders>
              <w:top w:val="single" w:sz="4" w:space="0" w:color="auto"/>
            </w:tcBorders>
          </w:tcPr>
          <w:p w14:paraId="58871BB0" w14:textId="34E7C984" w:rsidR="001F1BBD" w:rsidRPr="009D4CD4" w:rsidRDefault="001F1BBD" w:rsidP="00D94808">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2020</w:t>
            </w:r>
          </w:p>
        </w:tc>
        <w:tc>
          <w:tcPr>
            <w:tcW w:w="1134" w:type="dxa"/>
            <w:tcBorders>
              <w:top w:val="single" w:sz="4" w:space="0" w:color="auto"/>
            </w:tcBorders>
            <w:hideMark/>
          </w:tcPr>
          <w:p w14:paraId="523E1DB8" w14:textId="0D9EE9AE" w:rsidR="001F1BBD" w:rsidRPr="009D4CD4" w:rsidRDefault="001F1BBD" w:rsidP="00D94808">
            <w:pPr>
              <w:spacing w:after="0" w:line="240" w:lineRule="auto"/>
              <w:jc w:val="left"/>
              <w:rPr>
                <w:rFonts w:asciiTheme="minorHAnsi" w:hAnsiTheme="minorHAnsi" w:cs="Arial"/>
                <w:b/>
                <w:bCs/>
                <w:sz w:val="18"/>
                <w:szCs w:val="18"/>
              </w:rPr>
            </w:pPr>
            <w:r w:rsidRPr="009D4CD4">
              <w:rPr>
                <w:rFonts w:asciiTheme="minorHAnsi" w:hAnsiTheme="minorHAnsi" w:cs="Arial"/>
                <w:b/>
                <w:bCs/>
                <w:sz w:val="18"/>
                <w:szCs w:val="18"/>
              </w:rPr>
              <w:t>2019</w:t>
            </w:r>
          </w:p>
        </w:tc>
      </w:tr>
      <w:tr w:rsidR="001F1BBD" w:rsidRPr="009D4CD4" w14:paraId="6313F7B1" w14:textId="77777777" w:rsidTr="00CD622E">
        <w:trPr>
          <w:trHeight w:hRule="exact" w:val="284"/>
        </w:trPr>
        <w:tc>
          <w:tcPr>
            <w:tcW w:w="2863" w:type="dxa"/>
            <w:tcBorders>
              <w:top w:val="single" w:sz="4" w:space="0" w:color="auto"/>
            </w:tcBorders>
            <w:hideMark/>
          </w:tcPr>
          <w:p w14:paraId="0A5F6880"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Effectif au 31 décembre</w:t>
            </w:r>
          </w:p>
        </w:tc>
        <w:tc>
          <w:tcPr>
            <w:tcW w:w="920" w:type="dxa"/>
            <w:noWrap/>
          </w:tcPr>
          <w:p w14:paraId="0938A51C" w14:textId="617EC25A"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2149</w:t>
            </w:r>
          </w:p>
        </w:tc>
        <w:tc>
          <w:tcPr>
            <w:tcW w:w="866" w:type="dxa"/>
          </w:tcPr>
          <w:p w14:paraId="5D22D5E6" w14:textId="3860CE3C"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2100</w:t>
            </w:r>
          </w:p>
        </w:tc>
        <w:tc>
          <w:tcPr>
            <w:tcW w:w="1183" w:type="dxa"/>
            <w:hideMark/>
          </w:tcPr>
          <w:p w14:paraId="1C74B146" w14:textId="1FB12565"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2120</w:t>
            </w:r>
          </w:p>
        </w:tc>
        <w:tc>
          <w:tcPr>
            <w:tcW w:w="999" w:type="dxa"/>
            <w:noWrap/>
          </w:tcPr>
          <w:p w14:paraId="43C1804E" w14:textId="5E9F624B" w:rsidR="001F1BBD" w:rsidRPr="009D4CD4" w:rsidRDefault="001F1BBD" w:rsidP="00AD300A">
            <w:pPr>
              <w:spacing w:after="0" w:line="240" w:lineRule="auto"/>
              <w:jc w:val="left"/>
              <w:rPr>
                <w:rFonts w:asciiTheme="minorHAnsi" w:hAnsiTheme="minorHAnsi" w:cs="Arial"/>
                <w:sz w:val="18"/>
                <w:szCs w:val="18"/>
              </w:rPr>
            </w:pPr>
            <w:r w:rsidRPr="009D4CD4">
              <w:rPr>
                <w:rFonts w:asciiTheme="minorHAnsi" w:hAnsiTheme="minorHAnsi" w:cs="Arial"/>
                <w:bCs/>
                <w:sz w:val="18"/>
                <w:szCs w:val="18"/>
              </w:rPr>
              <w:t>71</w:t>
            </w:r>
          </w:p>
        </w:tc>
        <w:tc>
          <w:tcPr>
            <w:tcW w:w="1134" w:type="dxa"/>
          </w:tcPr>
          <w:p w14:paraId="4B83C302" w14:textId="5BEB2809"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256</w:t>
            </w:r>
          </w:p>
        </w:tc>
        <w:tc>
          <w:tcPr>
            <w:tcW w:w="1134" w:type="dxa"/>
          </w:tcPr>
          <w:p w14:paraId="7163FAD0" w14:textId="6E1F8D7C"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364</w:t>
            </w:r>
          </w:p>
        </w:tc>
        <w:tc>
          <w:tcPr>
            <w:tcW w:w="1134" w:type="dxa"/>
            <w:hideMark/>
          </w:tcPr>
          <w:p w14:paraId="2399EC89" w14:textId="779A2966"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 xml:space="preserve">342 * * </w:t>
            </w:r>
          </w:p>
        </w:tc>
      </w:tr>
      <w:tr w:rsidR="001F1BBD" w:rsidRPr="009D4CD4" w14:paraId="3E4DADB4" w14:textId="77777777" w:rsidTr="00CD622E">
        <w:trPr>
          <w:trHeight w:hRule="exact" w:val="284"/>
        </w:trPr>
        <w:tc>
          <w:tcPr>
            <w:tcW w:w="2863" w:type="dxa"/>
            <w:hideMark/>
          </w:tcPr>
          <w:p w14:paraId="10123CC9"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 xml:space="preserve">Femmes </w:t>
            </w:r>
          </w:p>
        </w:tc>
        <w:tc>
          <w:tcPr>
            <w:tcW w:w="920" w:type="dxa"/>
            <w:noWrap/>
          </w:tcPr>
          <w:p w14:paraId="26B2ABAF" w14:textId="7F231083"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1339</w:t>
            </w:r>
          </w:p>
        </w:tc>
        <w:tc>
          <w:tcPr>
            <w:tcW w:w="866" w:type="dxa"/>
          </w:tcPr>
          <w:p w14:paraId="2F71290C" w14:textId="69F45F4B"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1303</w:t>
            </w:r>
          </w:p>
        </w:tc>
        <w:tc>
          <w:tcPr>
            <w:tcW w:w="1183" w:type="dxa"/>
            <w:hideMark/>
          </w:tcPr>
          <w:p w14:paraId="23408E59" w14:textId="03D15D6F"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1331</w:t>
            </w:r>
          </w:p>
        </w:tc>
        <w:tc>
          <w:tcPr>
            <w:tcW w:w="999" w:type="dxa"/>
            <w:noWrap/>
          </w:tcPr>
          <w:p w14:paraId="7EA1AFC4" w14:textId="4E406461"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26</w:t>
            </w:r>
          </w:p>
        </w:tc>
        <w:tc>
          <w:tcPr>
            <w:tcW w:w="1134" w:type="dxa"/>
          </w:tcPr>
          <w:p w14:paraId="74179164" w14:textId="26216647"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82</w:t>
            </w:r>
          </w:p>
        </w:tc>
        <w:tc>
          <w:tcPr>
            <w:tcW w:w="1134" w:type="dxa"/>
          </w:tcPr>
          <w:p w14:paraId="1BE0DE54" w14:textId="18DD1266"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114</w:t>
            </w:r>
          </w:p>
        </w:tc>
        <w:tc>
          <w:tcPr>
            <w:tcW w:w="1134" w:type="dxa"/>
            <w:hideMark/>
          </w:tcPr>
          <w:p w14:paraId="1CBDF431" w14:textId="5B43A03A"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104</w:t>
            </w:r>
          </w:p>
        </w:tc>
      </w:tr>
      <w:tr w:rsidR="001F1BBD" w:rsidRPr="009D4CD4" w14:paraId="31DA0E66" w14:textId="77777777" w:rsidTr="00CD622E">
        <w:trPr>
          <w:trHeight w:hRule="exact" w:val="284"/>
        </w:trPr>
        <w:tc>
          <w:tcPr>
            <w:tcW w:w="2863" w:type="dxa"/>
            <w:hideMark/>
          </w:tcPr>
          <w:p w14:paraId="450DAB2E"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Hommes</w:t>
            </w:r>
          </w:p>
        </w:tc>
        <w:tc>
          <w:tcPr>
            <w:tcW w:w="920" w:type="dxa"/>
            <w:noWrap/>
          </w:tcPr>
          <w:p w14:paraId="386CE6EB" w14:textId="1371085B"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810</w:t>
            </w:r>
          </w:p>
        </w:tc>
        <w:tc>
          <w:tcPr>
            <w:tcW w:w="866" w:type="dxa"/>
          </w:tcPr>
          <w:p w14:paraId="44E38BBB" w14:textId="11FA18BC"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797</w:t>
            </w:r>
          </w:p>
        </w:tc>
        <w:tc>
          <w:tcPr>
            <w:tcW w:w="1183" w:type="dxa"/>
            <w:hideMark/>
          </w:tcPr>
          <w:p w14:paraId="68744DE9" w14:textId="339F93B0"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789</w:t>
            </w:r>
          </w:p>
        </w:tc>
        <w:tc>
          <w:tcPr>
            <w:tcW w:w="999" w:type="dxa"/>
            <w:noWrap/>
          </w:tcPr>
          <w:p w14:paraId="50DDE0B3" w14:textId="1757CAC9"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45</w:t>
            </w:r>
          </w:p>
        </w:tc>
        <w:tc>
          <w:tcPr>
            <w:tcW w:w="1134" w:type="dxa"/>
          </w:tcPr>
          <w:p w14:paraId="57F98FE0" w14:textId="1FC98192"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174</w:t>
            </w:r>
          </w:p>
        </w:tc>
        <w:tc>
          <w:tcPr>
            <w:tcW w:w="1134" w:type="dxa"/>
          </w:tcPr>
          <w:p w14:paraId="6B0212EF" w14:textId="4731AE53"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250</w:t>
            </w:r>
          </w:p>
        </w:tc>
        <w:tc>
          <w:tcPr>
            <w:tcW w:w="1134" w:type="dxa"/>
            <w:hideMark/>
          </w:tcPr>
          <w:p w14:paraId="499D47D8" w14:textId="036E1D7D"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238</w:t>
            </w:r>
          </w:p>
        </w:tc>
      </w:tr>
      <w:tr w:rsidR="001F1BBD" w:rsidRPr="009D4CD4" w14:paraId="0B69AB65" w14:textId="77777777" w:rsidTr="00CD622E">
        <w:trPr>
          <w:trHeight w:hRule="exact" w:val="284"/>
        </w:trPr>
        <w:tc>
          <w:tcPr>
            <w:tcW w:w="2863" w:type="dxa"/>
            <w:hideMark/>
          </w:tcPr>
          <w:p w14:paraId="15672C3C"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Aveyron</w:t>
            </w:r>
          </w:p>
        </w:tc>
        <w:tc>
          <w:tcPr>
            <w:tcW w:w="920" w:type="dxa"/>
            <w:noWrap/>
          </w:tcPr>
          <w:p w14:paraId="3218B0B8" w14:textId="35DC2FEC"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649</w:t>
            </w:r>
          </w:p>
        </w:tc>
        <w:tc>
          <w:tcPr>
            <w:tcW w:w="866" w:type="dxa"/>
          </w:tcPr>
          <w:p w14:paraId="78406226" w14:textId="0BF19D2F"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627</w:t>
            </w:r>
          </w:p>
        </w:tc>
        <w:tc>
          <w:tcPr>
            <w:tcW w:w="1183" w:type="dxa"/>
            <w:hideMark/>
          </w:tcPr>
          <w:p w14:paraId="59024DCE" w14:textId="4483D95E"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653</w:t>
            </w:r>
          </w:p>
        </w:tc>
        <w:tc>
          <w:tcPr>
            <w:tcW w:w="999" w:type="dxa"/>
            <w:noWrap/>
          </w:tcPr>
          <w:p w14:paraId="486FB75F" w14:textId="1E0B49ED"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35</w:t>
            </w:r>
          </w:p>
        </w:tc>
        <w:tc>
          <w:tcPr>
            <w:tcW w:w="1134" w:type="dxa"/>
          </w:tcPr>
          <w:p w14:paraId="630A421F" w14:textId="7ABFD8F5"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126</w:t>
            </w:r>
          </w:p>
        </w:tc>
        <w:tc>
          <w:tcPr>
            <w:tcW w:w="1134" w:type="dxa"/>
          </w:tcPr>
          <w:p w14:paraId="00DA81B2" w14:textId="1C116988"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164</w:t>
            </w:r>
          </w:p>
        </w:tc>
        <w:tc>
          <w:tcPr>
            <w:tcW w:w="1134" w:type="dxa"/>
            <w:hideMark/>
          </w:tcPr>
          <w:p w14:paraId="59AE3665" w14:textId="38481559"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158</w:t>
            </w:r>
          </w:p>
        </w:tc>
      </w:tr>
      <w:tr w:rsidR="001F1BBD" w:rsidRPr="009D4CD4" w14:paraId="758A489B" w14:textId="77777777" w:rsidTr="00CD622E">
        <w:trPr>
          <w:trHeight w:hRule="exact" w:val="284"/>
        </w:trPr>
        <w:tc>
          <w:tcPr>
            <w:tcW w:w="2863" w:type="dxa"/>
            <w:hideMark/>
          </w:tcPr>
          <w:p w14:paraId="6FE0F371"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Lot</w:t>
            </w:r>
          </w:p>
        </w:tc>
        <w:tc>
          <w:tcPr>
            <w:tcW w:w="920" w:type="dxa"/>
            <w:noWrap/>
          </w:tcPr>
          <w:p w14:paraId="23E82745" w14:textId="6E406FF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352</w:t>
            </w:r>
          </w:p>
        </w:tc>
        <w:tc>
          <w:tcPr>
            <w:tcW w:w="866" w:type="dxa"/>
          </w:tcPr>
          <w:p w14:paraId="1C37473A" w14:textId="1136CDC2"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354</w:t>
            </w:r>
          </w:p>
        </w:tc>
        <w:tc>
          <w:tcPr>
            <w:tcW w:w="1183" w:type="dxa"/>
            <w:hideMark/>
          </w:tcPr>
          <w:p w14:paraId="0FB448A6" w14:textId="193565BB"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353</w:t>
            </w:r>
          </w:p>
        </w:tc>
        <w:tc>
          <w:tcPr>
            <w:tcW w:w="999" w:type="dxa"/>
            <w:noWrap/>
          </w:tcPr>
          <w:p w14:paraId="1253D436" w14:textId="0BC59950"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1134" w:type="dxa"/>
          </w:tcPr>
          <w:p w14:paraId="2177594B" w14:textId="6C283417"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1134" w:type="dxa"/>
          </w:tcPr>
          <w:p w14:paraId="3500CF2B" w14:textId="1B97968D"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1134" w:type="dxa"/>
            <w:hideMark/>
          </w:tcPr>
          <w:p w14:paraId="7B187D42" w14:textId="35FD288A"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r>
      <w:tr w:rsidR="001F1BBD" w:rsidRPr="009D4CD4" w14:paraId="4275256D" w14:textId="77777777" w:rsidTr="00CD622E">
        <w:trPr>
          <w:trHeight w:hRule="exact" w:val="284"/>
        </w:trPr>
        <w:tc>
          <w:tcPr>
            <w:tcW w:w="2863" w:type="dxa"/>
            <w:hideMark/>
          </w:tcPr>
          <w:p w14:paraId="5510576C"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Tarn</w:t>
            </w:r>
          </w:p>
        </w:tc>
        <w:tc>
          <w:tcPr>
            <w:tcW w:w="920" w:type="dxa"/>
            <w:noWrap/>
          </w:tcPr>
          <w:p w14:paraId="6EF6A079" w14:textId="5596CF25"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623</w:t>
            </w:r>
          </w:p>
        </w:tc>
        <w:tc>
          <w:tcPr>
            <w:tcW w:w="866" w:type="dxa"/>
          </w:tcPr>
          <w:p w14:paraId="067744C9" w14:textId="308C646B"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601</w:t>
            </w:r>
          </w:p>
        </w:tc>
        <w:tc>
          <w:tcPr>
            <w:tcW w:w="1183" w:type="dxa"/>
            <w:hideMark/>
          </w:tcPr>
          <w:p w14:paraId="28968C31" w14:textId="19F98711"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600</w:t>
            </w:r>
          </w:p>
        </w:tc>
        <w:tc>
          <w:tcPr>
            <w:tcW w:w="999" w:type="dxa"/>
            <w:noWrap/>
          </w:tcPr>
          <w:p w14:paraId="328CFDFB" w14:textId="5FD35F8D"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18</w:t>
            </w:r>
          </w:p>
        </w:tc>
        <w:tc>
          <w:tcPr>
            <w:tcW w:w="1134" w:type="dxa"/>
          </w:tcPr>
          <w:p w14:paraId="4F5408CB" w14:textId="66B2ECF1"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4</w:t>
            </w:r>
          </w:p>
        </w:tc>
        <w:tc>
          <w:tcPr>
            <w:tcW w:w="1134" w:type="dxa"/>
          </w:tcPr>
          <w:p w14:paraId="65F85947" w14:textId="7AA96351"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23</w:t>
            </w:r>
          </w:p>
        </w:tc>
        <w:tc>
          <w:tcPr>
            <w:tcW w:w="1134" w:type="dxa"/>
            <w:hideMark/>
          </w:tcPr>
          <w:p w14:paraId="0385E37F" w14:textId="097CD3F5"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22</w:t>
            </w:r>
          </w:p>
        </w:tc>
      </w:tr>
      <w:tr w:rsidR="001F1BBD" w:rsidRPr="009D4CD4" w14:paraId="60461DC2" w14:textId="77777777" w:rsidTr="00CD622E">
        <w:trPr>
          <w:trHeight w:hRule="exact" w:val="284"/>
        </w:trPr>
        <w:tc>
          <w:tcPr>
            <w:tcW w:w="2863" w:type="dxa"/>
            <w:hideMark/>
          </w:tcPr>
          <w:p w14:paraId="23299978"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Tarn-et-Garonne</w:t>
            </w:r>
          </w:p>
        </w:tc>
        <w:tc>
          <w:tcPr>
            <w:tcW w:w="920" w:type="dxa"/>
            <w:noWrap/>
          </w:tcPr>
          <w:p w14:paraId="0DF16664" w14:textId="04A63F49"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495</w:t>
            </w:r>
          </w:p>
        </w:tc>
        <w:tc>
          <w:tcPr>
            <w:tcW w:w="866" w:type="dxa"/>
          </w:tcPr>
          <w:p w14:paraId="00F1BCFC" w14:textId="14BF476F"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488</w:t>
            </w:r>
          </w:p>
        </w:tc>
        <w:tc>
          <w:tcPr>
            <w:tcW w:w="1183" w:type="dxa"/>
            <w:hideMark/>
          </w:tcPr>
          <w:p w14:paraId="54EBBAEE" w14:textId="49E8ABB2"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485</w:t>
            </w:r>
          </w:p>
        </w:tc>
        <w:tc>
          <w:tcPr>
            <w:tcW w:w="999" w:type="dxa"/>
            <w:noWrap/>
          </w:tcPr>
          <w:p w14:paraId="726F1CD1" w14:textId="763502C0"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1134" w:type="dxa"/>
          </w:tcPr>
          <w:p w14:paraId="3431C02E" w14:textId="6DB68484"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1134" w:type="dxa"/>
          </w:tcPr>
          <w:p w14:paraId="2BB179DC" w14:textId="65E24303"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1134" w:type="dxa"/>
            <w:hideMark/>
          </w:tcPr>
          <w:p w14:paraId="529CB12E" w14:textId="1159464D"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r>
      <w:tr w:rsidR="001F1BBD" w:rsidRPr="009D4CD4" w14:paraId="4B0A20F9" w14:textId="77777777" w:rsidTr="00CD622E">
        <w:trPr>
          <w:trHeight w:hRule="exact" w:val="284"/>
        </w:trPr>
        <w:tc>
          <w:tcPr>
            <w:tcW w:w="2863" w:type="dxa"/>
            <w:hideMark/>
          </w:tcPr>
          <w:p w14:paraId="7CF07277"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Paris</w:t>
            </w:r>
          </w:p>
        </w:tc>
        <w:tc>
          <w:tcPr>
            <w:tcW w:w="920" w:type="dxa"/>
            <w:noWrap/>
          </w:tcPr>
          <w:p w14:paraId="2F643B03" w14:textId="4DD51B6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30</w:t>
            </w:r>
          </w:p>
        </w:tc>
        <w:tc>
          <w:tcPr>
            <w:tcW w:w="866" w:type="dxa"/>
          </w:tcPr>
          <w:p w14:paraId="3338BEA1" w14:textId="7E0FB024"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30</w:t>
            </w:r>
          </w:p>
        </w:tc>
        <w:tc>
          <w:tcPr>
            <w:tcW w:w="1183" w:type="dxa"/>
            <w:hideMark/>
          </w:tcPr>
          <w:p w14:paraId="22F5E67B" w14:textId="089B78A3"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29</w:t>
            </w:r>
          </w:p>
        </w:tc>
        <w:tc>
          <w:tcPr>
            <w:tcW w:w="999" w:type="dxa"/>
            <w:noWrap/>
          </w:tcPr>
          <w:p w14:paraId="4E97B4CE" w14:textId="2C97E13E"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1134" w:type="dxa"/>
          </w:tcPr>
          <w:p w14:paraId="5118E985" w14:textId="09A571F6"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36</w:t>
            </w:r>
          </w:p>
        </w:tc>
        <w:tc>
          <w:tcPr>
            <w:tcW w:w="1134" w:type="dxa"/>
          </w:tcPr>
          <w:p w14:paraId="2D001E8D" w14:textId="73A66260"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35</w:t>
            </w:r>
          </w:p>
        </w:tc>
        <w:tc>
          <w:tcPr>
            <w:tcW w:w="1134" w:type="dxa"/>
            <w:hideMark/>
          </w:tcPr>
          <w:p w14:paraId="78A0C749" w14:textId="3F472055"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34</w:t>
            </w:r>
          </w:p>
        </w:tc>
      </w:tr>
      <w:tr w:rsidR="001F1BBD" w:rsidRPr="009D4CD4" w14:paraId="7708C52F" w14:textId="77777777" w:rsidTr="00CD622E">
        <w:trPr>
          <w:trHeight w:hRule="exact" w:val="284"/>
        </w:trPr>
        <w:tc>
          <w:tcPr>
            <w:tcW w:w="2863" w:type="dxa"/>
            <w:hideMark/>
          </w:tcPr>
          <w:p w14:paraId="5E9FC832"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Autres régions</w:t>
            </w:r>
          </w:p>
        </w:tc>
        <w:tc>
          <w:tcPr>
            <w:tcW w:w="920" w:type="dxa"/>
            <w:noWrap/>
          </w:tcPr>
          <w:p w14:paraId="32D01AE7" w14:textId="545A6456"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866" w:type="dxa"/>
          </w:tcPr>
          <w:p w14:paraId="74A4E99B" w14:textId="4F6FBBE9"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1183" w:type="dxa"/>
            <w:hideMark/>
          </w:tcPr>
          <w:p w14:paraId="75A2C967" w14:textId="76CA0624"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0</w:t>
            </w:r>
          </w:p>
        </w:tc>
        <w:tc>
          <w:tcPr>
            <w:tcW w:w="999" w:type="dxa"/>
            <w:noWrap/>
          </w:tcPr>
          <w:p w14:paraId="01157C6B" w14:textId="42A4EB0F"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18</w:t>
            </w:r>
          </w:p>
        </w:tc>
        <w:tc>
          <w:tcPr>
            <w:tcW w:w="1134" w:type="dxa"/>
          </w:tcPr>
          <w:p w14:paraId="3D72CFDB" w14:textId="2A72348A"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90</w:t>
            </w:r>
          </w:p>
        </w:tc>
        <w:tc>
          <w:tcPr>
            <w:tcW w:w="1134" w:type="dxa"/>
          </w:tcPr>
          <w:p w14:paraId="3052BC0F" w14:textId="43C37BD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142</w:t>
            </w:r>
          </w:p>
        </w:tc>
        <w:tc>
          <w:tcPr>
            <w:tcW w:w="1134" w:type="dxa"/>
            <w:hideMark/>
          </w:tcPr>
          <w:p w14:paraId="71056536" w14:textId="68F81A28"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128</w:t>
            </w:r>
          </w:p>
        </w:tc>
      </w:tr>
      <w:tr w:rsidR="001F1BBD" w:rsidRPr="009D4CD4" w14:paraId="5DA3CE9E" w14:textId="77777777" w:rsidTr="00CD622E">
        <w:trPr>
          <w:trHeight w:hRule="exact" w:val="284"/>
        </w:trPr>
        <w:tc>
          <w:tcPr>
            <w:tcW w:w="2863" w:type="dxa"/>
            <w:hideMark/>
          </w:tcPr>
          <w:p w14:paraId="26818859"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CDD, apprentis, contrats professionnels</w:t>
            </w:r>
          </w:p>
        </w:tc>
        <w:tc>
          <w:tcPr>
            <w:tcW w:w="920" w:type="dxa"/>
            <w:noWrap/>
          </w:tcPr>
          <w:p w14:paraId="525883F1" w14:textId="7DB5C27E"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167</w:t>
            </w:r>
          </w:p>
        </w:tc>
        <w:tc>
          <w:tcPr>
            <w:tcW w:w="866" w:type="dxa"/>
          </w:tcPr>
          <w:p w14:paraId="28CA8493" w14:textId="3F5A97C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161</w:t>
            </w:r>
          </w:p>
        </w:tc>
        <w:tc>
          <w:tcPr>
            <w:tcW w:w="1183" w:type="dxa"/>
            <w:hideMark/>
          </w:tcPr>
          <w:p w14:paraId="7C4CD4F0" w14:textId="15EA09B8"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162</w:t>
            </w:r>
          </w:p>
        </w:tc>
        <w:tc>
          <w:tcPr>
            <w:tcW w:w="999" w:type="dxa"/>
            <w:noWrap/>
          </w:tcPr>
          <w:p w14:paraId="2A91FDB7" w14:textId="1A1166B1"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8</w:t>
            </w:r>
          </w:p>
        </w:tc>
        <w:tc>
          <w:tcPr>
            <w:tcW w:w="1134" w:type="dxa"/>
          </w:tcPr>
          <w:p w14:paraId="34AB0520" w14:textId="03C979AE"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8</w:t>
            </w:r>
          </w:p>
        </w:tc>
        <w:tc>
          <w:tcPr>
            <w:tcW w:w="1134" w:type="dxa"/>
          </w:tcPr>
          <w:p w14:paraId="3DBF1924" w14:textId="789CDBD9"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16</w:t>
            </w:r>
          </w:p>
        </w:tc>
        <w:tc>
          <w:tcPr>
            <w:tcW w:w="1134" w:type="dxa"/>
            <w:hideMark/>
          </w:tcPr>
          <w:p w14:paraId="673454BD" w14:textId="414BB17D"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17</w:t>
            </w:r>
          </w:p>
        </w:tc>
      </w:tr>
      <w:tr w:rsidR="001F1BBD" w:rsidRPr="009D4CD4" w14:paraId="55AFE28F" w14:textId="77777777" w:rsidTr="00CD622E">
        <w:trPr>
          <w:trHeight w:hRule="exact" w:val="284"/>
        </w:trPr>
        <w:tc>
          <w:tcPr>
            <w:tcW w:w="2863" w:type="dxa"/>
            <w:hideMark/>
          </w:tcPr>
          <w:p w14:paraId="703A7C2E"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CDI</w:t>
            </w:r>
          </w:p>
        </w:tc>
        <w:tc>
          <w:tcPr>
            <w:tcW w:w="920" w:type="dxa"/>
            <w:noWrap/>
          </w:tcPr>
          <w:p w14:paraId="0EBAE96C" w14:textId="7366C3B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1937</w:t>
            </w:r>
          </w:p>
        </w:tc>
        <w:tc>
          <w:tcPr>
            <w:tcW w:w="866" w:type="dxa"/>
          </w:tcPr>
          <w:p w14:paraId="33999FB0" w14:textId="4E839210"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1939</w:t>
            </w:r>
          </w:p>
        </w:tc>
        <w:tc>
          <w:tcPr>
            <w:tcW w:w="1183" w:type="dxa"/>
            <w:hideMark/>
          </w:tcPr>
          <w:p w14:paraId="278FF968" w14:textId="69E7B46A"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1958</w:t>
            </w:r>
          </w:p>
        </w:tc>
        <w:tc>
          <w:tcPr>
            <w:tcW w:w="999" w:type="dxa"/>
            <w:noWrap/>
          </w:tcPr>
          <w:p w14:paraId="595FD5C9" w14:textId="277BB22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63</w:t>
            </w:r>
          </w:p>
        </w:tc>
        <w:tc>
          <w:tcPr>
            <w:tcW w:w="1134" w:type="dxa"/>
          </w:tcPr>
          <w:p w14:paraId="64EC9CB2" w14:textId="29C20D73"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248</w:t>
            </w:r>
          </w:p>
        </w:tc>
        <w:tc>
          <w:tcPr>
            <w:tcW w:w="1134" w:type="dxa"/>
          </w:tcPr>
          <w:p w14:paraId="4C99530A" w14:textId="1FF068AE"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348</w:t>
            </w:r>
          </w:p>
        </w:tc>
        <w:tc>
          <w:tcPr>
            <w:tcW w:w="1134" w:type="dxa"/>
            <w:hideMark/>
          </w:tcPr>
          <w:p w14:paraId="31138A5D" w14:textId="3D7BD529"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325</w:t>
            </w:r>
          </w:p>
        </w:tc>
      </w:tr>
      <w:tr w:rsidR="001F1BBD" w:rsidRPr="009D4CD4" w14:paraId="757DA045" w14:textId="77777777" w:rsidTr="00CD622E">
        <w:trPr>
          <w:trHeight w:hRule="exact" w:val="284"/>
        </w:trPr>
        <w:tc>
          <w:tcPr>
            <w:tcW w:w="2863" w:type="dxa"/>
            <w:hideMark/>
          </w:tcPr>
          <w:p w14:paraId="57935A72"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Recrutement (CDI)</w:t>
            </w:r>
          </w:p>
        </w:tc>
        <w:tc>
          <w:tcPr>
            <w:tcW w:w="920" w:type="dxa"/>
            <w:noWrap/>
          </w:tcPr>
          <w:p w14:paraId="4B01A0BA" w14:textId="1421C21C"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113</w:t>
            </w:r>
          </w:p>
        </w:tc>
        <w:tc>
          <w:tcPr>
            <w:tcW w:w="866" w:type="dxa"/>
          </w:tcPr>
          <w:p w14:paraId="187FED31" w14:textId="79013673"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81</w:t>
            </w:r>
          </w:p>
        </w:tc>
        <w:tc>
          <w:tcPr>
            <w:tcW w:w="1183" w:type="dxa"/>
            <w:hideMark/>
          </w:tcPr>
          <w:p w14:paraId="7EBB40AC" w14:textId="1F23AD93"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125</w:t>
            </w:r>
          </w:p>
        </w:tc>
        <w:tc>
          <w:tcPr>
            <w:tcW w:w="999" w:type="dxa"/>
            <w:noWrap/>
          </w:tcPr>
          <w:p w14:paraId="70ACF873" w14:textId="4488A8D9"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7</w:t>
            </w:r>
          </w:p>
        </w:tc>
        <w:tc>
          <w:tcPr>
            <w:tcW w:w="1134" w:type="dxa"/>
          </w:tcPr>
          <w:p w14:paraId="2BA7DE9E" w14:textId="04E684F4"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23</w:t>
            </w:r>
          </w:p>
        </w:tc>
        <w:tc>
          <w:tcPr>
            <w:tcW w:w="1134" w:type="dxa"/>
          </w:tcPr>
          <w:p w14:paraId="36C43842" w14:textId="64444F6C"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41</w:t>
            </w:r>
          </w:p>
        </w:tc>
        <w:tc>
          <w:tcPr>
            <w:tcW w:w="1134" w:type="dxa"/>
            <w:hideMark/>
          </w:tcPr>
          <w:p w14:paraId="20AF05C8" w14:textId="7C3A929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36</w:t>
            </w:r>
          </w:p>
        </w:tc>
      </w:tr>
      <w:tr w:rsidR="001F1BBD" w:rsidRPr="009D4CD4" w14:paraId="405B05A4" w14:textId="77777777" w:rsidTr="00CD622E">
        <w:trPr>
          <w:trHeight w:hRule="exact" w:val="284"/>
        </w:trPr>
        <w:tc>
          <w:tcPr>
            <w:tcW w:w="2863" w:type="dxa"/>
            <w:hideMark/>
          </w:tcPr>
          <w:p w14:paraId="6F7A765E" w14:textId="7777777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Départs (CDI)</w:t>
            </w:r>
          </w:p>
        </w:tc>
        <w:tc>
          <w:tcPr>
            <w:tcW w:w="920" w:type="dxa"/>
            <w:noWrap/>
          </w:tcPr>
          <w:p w14:paraId="481BE55D" w14:textId="782D5FFD"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115</w:t>
            </w:r>
          </w:p>
        </w:tc>
        <w:tc>
          <w:tcPr>
            <w:tcW w:w="866" w:type="dxa"/>
          </w:tcPr>
          <w:p w14:paraId="713B0C4E" w14:textId="36C6B107"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100</w:t>
            </w:r>
          </w:p>
        </w:tc>
        <w:tc>
          <w:tcPr>
            <w:tcW w:w="1183" w:type="dxa"/>
            <w:hideMark/>
          </w:tcPr>
          <w:p w14:paraId="0153FF48" w14:textId="3DC9AD01"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105</w:t>
            </w:r>
          </w:p>
        </w:tc>
        <w:tc>
          <w:tcPr>
            <w:tcW w:w="999" w:type="dxa"/>
            <w:noWrap/>
          </w:tcPr>
          <w:p w14:paraId="0E7512D9" w14:textId="6E39FEE1"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5</w:t>
            </w:r>
          </w:p>
        </w:tc>
        <w:tc>
          <w:tcPr>
            <w:tcW w:w="1134" w:type="dxa"/>
          </w:tcPr>
          <w:p w14:paraId="385AEE63" w14:textId="505DDFAD"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5</w:t>
            </w:r>
          </w:p>
        </w:tc>
        <w:tc>
          <w:tcPr>
            <w:tcW w:w="1134" w:type="dxa"/>
          </w:tcPr>
          <w:p w14:paraId="3C60D052" w14:textId="62141AF4"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17</w:t>
            </w:r>
          </w:p>
        </w:tc>
        <w:tc>
          <w:tcPr>
            <w:tcW w:w="1134" w:type="dxa"/>
            <w:hideMark/>
          </w:tcPr>
          <w:p w14:paraId="6924B5B0" w14:textId="5920FD1A"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46</w:t>
            </w:r>
          </w:p>
        </w:tc>
      </w:tr>
      <w:tr w:rsidR="001F1BBD" w:rsidRPr="009D4CD4" w14:paraId="6B637B92" w14:textId="77777777" w:rsidTr="00CD622E">
        <w:trPr>
          <w:trHeight w:hRule="exact" w:val="436"/>
        </w:trPr>
        <w:tc>
          <w:tcPr>
            <w:tcW w:w="2863" w:type="dxa"/>
          </w:tcPr>
          <w:p w14:paraId="0B1CDC73" w14:textId="64A3B4F3" w:rsidR="001F1BBD" w:rsidRPr="009D4CD4" w:rsidRDefault="00CF5C7B"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Part</w:t>
            </w:r>
            <w:r w:rsidR="001F1BBD" w:rsidRPr="009D4CD4">
              <w:rPr>
                <w:rFonts w:asciiTheme="minorHAnsi" w:hAnsiTheme="minorHAnsi" w:cs="Arial"/>
                <w:sz w:val="18"/>
                <w:szCs w:val="18"/>
              </w:rPr>
              <w:t xml:space="preserve"> des démissions dans les départs</w:t>
            </w:r>
          </w:p>
          <w:p w14:paraId="32ABA2F3" w14:textId="7E9625E1"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 xml:space="preserve"> démission</w:t>
            </w:r>
          </w:p>
        </w:tc>
        <w:tc>
          <w:tcPr>
            <w:tcW w:w="920" w:type="dxa"/>
            <w:noWrap/>
          </w:tcPr>
          <w:p w14:paraId="7D97004B" w14:textId="1EE683AC"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28,7</w:t>
            </w:r>
            <w:r w:rsidR="00CF5C7B" w:rsidRPr="009D4CD4">
              <w:rPr>
                <w:rFonts w:asciiTheme="minorHAnsi" w:hAnsiTheme="minorHAnsi" w:cs="Arial"/>
                <w:sz w:val="18"/>
                <w:szCs w:val="18"/>
              </w:rPr>
              <w:t xml:space="preserve"> </w:t>
            </w:r>
            <w:r w:rsidRPr="009D4CD4">
              <w:rPr>
                <w:rFonts w:asciiTheme="minorHAnsi" w:hAnsiTheme="minorHAnsi" w:cs="Arial"/>
                <w:sz w:val="18"/>
                <w:szCs w:val="18"/>
              </w:rPr>
              <w:t>%</w:t>
            </w:r>
          </w:p>
        </w:tc>
        <w:tc>
          <w:tcPr>
            <w:tcW w:w="866" w:type="dxa"/>
          </w:tcPr>
          <w:p w14:paraId="7CFEC604" w14:textId="7538318D"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22</w:t>
            </w:r>
            <w:r w:rsidR="00FF2211">
              <w:rPr>
                <w:rFonts w:asciiTheme="minorHAnsi" w:hAnsiTheme="minorHAnsi" w:cs="Arial"/>
                <w:sz w:val="18"/>
                <w:szCs w:val="18"/>
              </w:rPr>
              <w:t>,0</w:t>
            </w:r>
            <w:r w:rsidR="00752767" w:rsidRPr="009D4CD4">
              <w:rPr>
                <w:rFonts w:asciiTheme="minorHAnsi" w:hAnsiTheme="minorHAnsi" w:cs="Arial"/>
                <w:sz w:val="18"/>
                <w:szCs w:val="18"/>
              </w:rPr>
              <w:t xml:space="preserve"> </w:t>
            </w:r>
            <w:r w:rsidRPr="009D4CD4">
              <w:rPr>
                <w:rFonts w:asciiTheme="minorHAnsi" w:hAnsiTheme="minorHAnsi" w:cs="Arial"/>
                <w:sz w:val="18"/>
                <w:szCs w:val="18"/>
              </w:rPr>
              <w:t>%</w:t>
            </w:r>
          </w:p>
          <w:p w14:paraId="24F32A0B" w14:textId="2642CF96" w:rsidR="001F1BBD" w:rsidRPr="009D4CD4" w:rsidRDefault="001F1BBD" w:rsidP="00BE5DC1">
            <w:pPr>
              <w:spacing w:after="0" w:line="240" w:lineRule="auto"/>
              <w:jc w:val="left"/>
              <w:rPr>
                <w:rFonts w:asciiTheme="minorHAnsi" w:hAnsiTheme="minorHAnsi" w:cs="Arial"/>
                <w:sz w:val="18"/>
                <w:szCs w:val="18"/>
              </w:rPr>
            </w:pPr>
          </w:p>
        </w:tc>
        <w:tc>
          <w:tcPr>
            <w:tcW w:w="1183" w:type="dxa"/>
          </w:tcPr>
          <w:p w14:paraId="54FF92AB" w14:textId="139A9D2A"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21,9</w:t>
            </w:r>
            <w:r w:rsidR="00752767" w:rsidRPr="009D4CD4">
              <w:rPr>
                <w:rFonts w:asciiTheme="minorHAnsi" w:hAnsiTheme="minorHAnsi" w:cs="Arial"/>
                <w:sz w:val="18"/>
                <w:szCs w:val="18"/>
              </w:rPr>
              <w:t xml:space="preserve"> </w:t>
            </w:r>
            <w:r w:rsidRPr="009D4CD4">
              <w:rPr>
                <w:rFonts w:asciiTheme="minorHAnsi" w:hAnsiTheme="minorHAnsi" w:cs="Arial"/>
                <w:sz w:val="18"/>
                <w:szCs w:val="18"/>
              </w:rPr>
              <w:t>%</w:t>
            </w:r>
          </w:p>
          <w:p w14:paraId="1FA0B7F2" w14:textId="48CD2874" w:rsidR="001F1BBD" w:rsidRPr="009D4CD4" w:rsidRDefault="001F1BBD" w:rsidP="00BE5DC1">
            <w:pPr>
              <w:spacing w:after="0" w:line="240" w:lineRule="auto"/>
              <w:jc w:val="left"/>
              <w:rPr>
                <w:rFonts w:asciiTheme="minorHAnsi" w:hAnsiTheme="minorHAnsi" w:cs="Arial"/>
                <w:sz w:val="18"/>
                <w:szCs w:val="18"/>
              </w:rPr>
            </w:pPr>
          </w:p>
        </w:tc>
        <w:tc>
          <w:tcPr>
            <w:tcW w:w="999" w:type="dxa"/>
            <w:noWrap/>
          </w:tcPr>
          <w:p w14:paraId="73BD917B" w14:textId="2876C769"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20</w:t>
            </w:r>
            <w:r w:rsidR="00FF2211">
              <w:rPr>
                <w:rFonts w:asciiTheme="minorHAnsi" w:hAnsiTheme="minorHAnsi" w:cs="Arial"/>
                <w:sz w:val="18"/>
                <w:szCs w:val="18"/>
              </w:rPr>
              <w:t>,0</w:t>
            </w:r>
            <w:r w:rsidRPr="009D4CD4">
              <w:rPr>
                <w:rFonts w:asciiTheme="minorHAnsi" w:hAnsiTheme="minorHAnsi" w:cs="Arial"/>
                <w:sz w:val="18"/>
                <w:szCs w:val="18"/>
              </w:rPr>
              <w:t xml:space="preserve"> %</w:t>
            </w:r>
          </w:p>
        </w:tc>
        <w:tc>
          <w:tcPr>
            <w:tcW w:w="1134" w:type="dxa"/>
          </w:tcPr>
          <w:p w14:paraId="04745452" w14:textId="7D06948E" w:rsidR="001F1BBD" w:rsidRPr="009D4CD4" w:rsidRDefault="00465116"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20</w:t>
            </w:r>
            <w:r w:rsidR="00CF5C7B" w:rsidRPr="009D4CD4">
              <w:rPr>
                <w:rFonts w:asciiTheme="minorHAnsi" w:hAnsiTheme="minorHAnsi" w:cs="Arial"/>
                <w:sz w:val="18"/>
                <w:szCs w:val="18"/>
              </w:rPr>
              <w:t xml:space="preserve"> </w:t>
            </w:r>
            <w:r w:rsidRPr="009D4CD4">
              <w:rPr>
                <w:rFonts w:asciiTheme="minorHAnsi" w:hAnsiTheme="minorHAnsi" w:cs="Arial"/>
                <w:sz w:val="18"/>
                <w:szCs w:val="18"/>
              </w:rPr>
              <w:t>%</w:t>
            </w:r>
          </w:p>
        </w:tc>
        <w:tc>
          <w:tcPr>
            <w:tcW w:w="1134" w:type="dxa"/>
          </w:tcPr>
          <w:p w14:paraId="4A832254" w14:textId="30CB63E2"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ND</w:t>
            </w:r>
          </w:p>
        </w:tc>
        <w:tc>
          <w:tcPr>
            <w:tcW w:w="1134" w:type="dxa"/>
          </w:tcPr>
          <w:p w14:paraId="23C8DA17" w14:textId="7D70B158"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ND</w:t>
            </w:r>
          </w:p>
        </w:tc>
      </w:tr>
      <w:tr w:rsidR="001F1BBD" w:rsidRPr="009D4CD4" w14:paraId="76E0AE69" w14:textId="77777777" w:rsidTr="00CD622E">
        <w:trPr>
          <w:trHeight w:hRule="exact" w:val="440"/>
        </w:trPr>
        <w:tc>
          <w:tcPr>
            <w:tcW w:w="2863" w:type="dxa"/>
          </w:tcPr>
          <w:p w14:paraId="18624111" w14:textId="794678A2" w:rsidR="001F1BBD" w:rsidRPr="009D4CD4" w:rsidRDefault="00CF5C7B"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Part</w:t>
            </w:r>
            <w:r w:rsidR="001F1BBD" w:rsidRPr="009D4CD4">
              <w:rPr>
                <w:rFonts w:asciiTheme="minorHAnsi" w:hAnsiTheme="minorHAnsi" w:cs="Arial"/>
                <w:sz w:val="18"/>
                <w:szCs w:val="18"/>
              </w:rPr>
              <w:t xml:space="preserve"> des licenciements dans les départs</w:t>
            </w:r>
          </w:p>
        </w:tc>
        <w:tc>
          <w:tcPr>
            <w:tcW w:w="920" w:type="dxa"/>
            <w:noWrap/>
          </w:tcPr>
          <w:p w14:paraId="0C66F0F6" w14:textId="7D7A7708" w:rsidR="001F1BBD" w:rsidRPr="009D4CD4" w:rsidRDefault="00CF5C7B"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9,6</w:t>
            </w:r>
            <w:r w:rsidR="00CD622E" w:rsidRPr="009D4CD4">
              <w:rPr>
                <w:rFonts w:asciiTheme="minorHAnsi" w:hAnsiTheme="minorHAnsi" w:cs="Arial"/>
                <w:sz w:val="18"/>
                <w:szCs w:val="18"/>
              </w:rPr>
              <w:t xml:space="preserve"> </w:t>
            </w:r>
            <w:r w:rsidR="001F1BBD" w:rsidRPr="009D4CD4">
              <w:rPr>
                <w:rFonts w:asciiTheme="minorHAnsi" w:hAnsiTheme="minorHAnsi" w:cs="Arial"/>
                <w:sz w:val="18"/>
                <w:szCs w:val="18"/>
              </w:rPr>
              <w:t>%</w:t>
            </w:r>
          </w:p>
        </w:tc>
        <w:tc>
          <w:tcPr>
            <w:tcW w:w="866" w:type="dxa"/>
          </w:tcPr>
          <w:p w14:paraId="6436C14A" w14:textId="17C0CADF"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5</w:t>
            </w:r>
            <w:r w:rsidR="00FF2211">
              <w:rPr>
                <w:rFonts w:asciiTheme="minorHAnsi" w:hAnsiTheme="minorHAnsi" w:cs="Arial"/>
                <w:sz w:val="18"/>
                <w:szCs w:val="18"/>
              </w:rPr>
              <w:t>,0</w:t>
            </w:r>
            <w:r w:rsidR="00CF5C7B" w:rsidRPr="009D4CD4">
              <w:rPr>
                <w:rFonts w:asciiTheme="minorHAnsi" w:hAnsiTheme="minorHAnsi" w:cs="Arial"/>
                <w:sz w:val="18"/>
                <w:szCs w:val="18"/>
              </w:rPr>
              <w:t xml:space="preserve"> </w:t>
            </w:r>
            <w:r w:rsidRPr="009D4CD4">
              <w:rPr>
                <w:rFonts w:asciiTheme="minorHAnsi" w:hAnsiTheme="minorHAnsi" w:cs="Arial"/>
                <w:sz w:val="18"/>
                <w:szCs w:val="18"/>
              </w:rPr>
              <w:t>%</w:t>
            </w:r>
          </w:p>
        </w:tc>
        <w:tc>
          <w:tcPr>
            <w:tcW w:w="1183" w:type="dxa"/>
          </w:tcPr>
          <w:p w14:paraId="23A22F5E" w14:textId="5E9B420C"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12,4</w:t>
            </w:r>
            <w:r w:rsidR="00752767" w:rsidRPr="009D4CD4">
              <w:rPr>
                <w:rFonts w:asciiTheme="minorHAnsi" w:hAnsiTheme="minorHAnsi" w:cs="Arial"/>
                <w:sz w:val="18"/>
                <w:szCs w:val="18"/>
              </w:rPr>
              <w:t xml:space="preserve"> </w:t>
            </w:r>
            <w:r w:rsidRPr="009D4CD4">
              <w:rPr>
                <w:rFonts w:asciiTheme="minorHAnsi" w:hAnsiTheme="minorHAnsi" w:cs="Arial"/>
                <w:sz w:val="18"/>
                <w:szCs w:val="18"/>
              </w:rPr>
              <w:t>%</w:t>
            </w:r>
          </w:p>
        </w:tc>
        <w:tc>
          <w:tcPr>
            <w:tcW w:w="999" w:type="dxa"/>
            <w:noWrap/>
          </w:tcPr>
          <w:p w14:paraId="1FFFE9D0" w14:textId="2EFBB9C6" w:rsidR="001F1BBD" w:rsidRPr="009D4CD4" w:rsidRDefault="001F1BBD"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20</w:t>
            </w:r>
            <w:r w:rsidR="00FF2211">
              <w:rPr>
                <w:rFonts w:asciiTheme="minorHAnsi" w:hAnsiTheme="minorHAnsi" w:cs="Arial"/>
                <w:sz w:val="18"/>
                <w:szCs w:val="18"/>
              </w:rPr>
              <w:t>,0</w:t>
            </w:r>
            <w:r w:rsidRPr="009D4CD4">
              <w:rPr>
                <w:rFonts w:asciiTheme="minorHAnsi" w:hAnsiTheme="minorHAnsi" w:cs="Arial"/>
                <w:sz w:val="18"/>
                <w:szCs w:val="18"/>
              </w:rPr>
              <w:t xml:space="preserve"> %</w:t>
            </w:r>
          </w:p>
        </w:tc>
        <w:tc>
          <w:tcPr>
            <w:tcW w:w="1134" w:type="dxa"/>
          </w:tcPr>
          <w:p w14:paraId="3640DD4F" w14:textId="7DCA51DB" w:rsidR="001F1BBD" w:rsidRPr="009D4CD4" w:rsidRDefault="004C0190"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20</w:t>
            </w:r>
            <w:r w:rsidR="00CF5C7B" w:rsidRPr="009D4CD4">
              <w:rPr>
                <w:rFonts w:asciiTheme="minorHAnsi" w:hAnsiTheme="minorHAnsi" w:cs="Arial"/>
                <w:sz w:val="18"/>
                <w:szCs w:val="18"/>
              </w:rPr>
              <w:t xml:space="preserve"> </w:t>
            </w:r>
            <w:r w:rsidRPr="009D4CD4">
              <w:rPr>
                <w:rFonts w:asciiTheme="minorHAnsi" w:hAnsiTheme="minorHAnsi" w:cs="Arial"/>
                <w:sz w:val="18"/>
                <w:szCs w:val="18"/>
              </w:rPr>
              <w:t>%</w:t>
            </w:r>
          </w:p>
        </w:tc>
        <w:tc>
          <w:tcPr>
            <w:tcW w:w="1134" w:type="dxa"/>
          </w:tcPr>
          <w:p w14:paraId="37B9A109" w14:textId="1D47023E" w:rsidR="001F1BBD"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23,5 %</w:t>
            </w:r>
          </w:p>
        </w:tc>
        <w:tc>
          <w:tcPr>
            <w:tcW w:w="1134" w:type="dxa"/>
          </w:tcPr>
          <w:p w14:paraId="6763B341" w14:textId="356BE827" w:rsidR="001F1BBD" w:rsidRPr="009D4CD4" w:rsidRDefault="00CD622E" w:rsidP="00BE5DC1">
            <w:pPr>
              <w:spacing w:after="0" w:line="240" w:lineRule="auto"/>
              <w:jc w:val="left"/>
              <w:rPr>
                <w:rFonts w:asciiTheme="minorHAnsi" w:hAnsiTheme="minorHAnsi" w:cs="Arial"/>
                <w:sz w:val="18"/>
                <w:szCs w:val="18"/>
              </w:rPr>
            </w:pPr>
            <w:r w:rsidRPr="009D4CD4">
              <w:rPr>
                <w:rFonts w:asciiTheme="minorHAnsi" w:hAnsiTheme="minorHAnsi" w:cs="Arial"/>
                <w:sz w:val="18"/>
                <w:szCs w:val="18"/>
              </w:rPr>
              <w:t>28,3 %</w:t>
            </w:r>
          </w:p>
        </w:tc>
      </w:tr>
      <w:tr w:rsidR="00CD622E" w:rsidRPr="009D4CD4" w14:paraId="2F2A4775" w14:textId="77777777" w:rsidTr="00CD622E">
        <w:trPr>
          <w:trHeight w:val="330"/>
        </w:trPr>
        <w:tc>
          <w:tcPr>
            <w:tcW w:w="2863" w:type="dxa"/>
            <w:tcBorders>
              <w:bottom w:val="single" w:sz="4" w:space="0" w:color="auto"/>
            </w:tcBorders>
            <w:hideMark/>
          </w:tcPr>
          <w:p w14:paraId="0FE5F18E" w14:textId="77777777"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Salaire annuel brut moyen (€)  *</w:t>
            </w:r>
          </w:p>
        </w:tc>
        <w:tc>
          <w:tcPr>
            <w:tcW w:w="920" w:type="dxa"/>
            <w:tcBorders>
              <w:bottom w:val="single" w:sz="4" w:space="0" w:color="auto"/>
            </w:tcBorders>
            <w:noWrap/>
          </w:tcPr>
          <w:p w14:paraId="037082F8" w14:textId="57896BDC"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39 141</w:t>
            </w:r>
          </w:p>
        </w:tc>
        <w:tc>
          <w:tcPr>
            <w:tcW w:w="866" w:type="dxa"/>
            <w:tcBorders>
              <w:bottom w:val="single" w:sz="4" w:space="0" w:color="auto"/>
            </w:tcBorders>
          </w:tcPr>
          <w:p w14:paraId="0E5D2848" w14:textId="2BB0767D"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38 152</w:t>
            </w:r>
          </w:p>
        </w:tc>
        <w:tc>
          <w:tcPr>
            <w:tcW w:w="1183" w:type="dxa"/>
            <w:tcBorders>
              <w:bottom w:val="single" w:sz="4" w:space="0" w:color="auto"/>
            </w:tcBorders>
            <w:hideMark/>
          </w:tcPr>
          <w:p w14:paraId="26DF10E0" w14:textId="43BA1709"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37 446</w:t>
            </w:r>
          </w:p>
        </w:tc>
        <w:tc>
          <w:tcPr>
            <w:tcW w:w="999" w:type="dxa"/>
            <w:tcBorders>
              <w:bottom w:val="single" w:sz="4" w:space="0" w:color="auto"/>
            </w:tcBorders>
            <w:noWrap/>
          </w:tcPr>
          <w:p w14:paraId="56971620" w14:textId="03687CB6"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 xml:space="preserve">33490 </w:t>
            </w:r>
          </w:p>
        </w:tc>
        <w:tc>
          <w:tcPr>
            <w:tcW w:w="1134" w:type="dxa"/>
            <w:tcBorders>
              <w:bottom w:val="single" w:sz="4" w:space="0" w:color="auto"/>
            </w:tcBorders>
          </w:tcPr>
          <w:p w14:paraId="5A531FAE" w14:textId="2432737A" w:rsidR="00CD622E" w:rsidRPr="009D4CD4" w:rsidRDefault="004C0190"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34 419</w:t>
            </w:r>
          </w:p>
        </w:tc>
        <w:tc>
          <w:tcPr>
            <w:tcW w:w="1134" w:type="dxa"/>
            <w:tcBorders>
              <w:bottom w:val="single" w:sz="4" w:space="0" w:color="auto"/>
            </w:tcBorders>
          </w:tcPr>
          <w:p w14:paraId="7D389EAA" w14:textId="641D7D0C"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33 699</w:t>
            </w:r>
          </w:p>
        </w:tc>
        <w:tc>
          <w:tcPr>
            <w:tcW w:w="1134" w:type="dxa"/>
            <w:tcBorders>
              <w:bottom w:val="single" w:sz="4" w:space="0" w:color="auto"/>
            </w:tcBorders>
            <w:hideMark/>
          </w:tcPr>
          <w:p w14:paraId="002BE62F" w14:textId="088A0FDD"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34 620</w:t>
            </w:r>
          </w:p>
        </w:tc>
      </w:tr>
      <w:tr w:rsidR="00CD622E" w:rsidRPr="009D4CD4" w14:paraId="4F23F481" w14:textId="77777777" w:rsidTr="00CD622E">
        <w:trPr>
          <w:trHeight w:val="255"/>
        </w:trPr>
        <w:tc>
          <w:tcPr>
            <w:tcW w:w="2863" w:type="dxa"/>
            <w:tcBorders>
              <w:bottom w:val="single" w:sz="4" w:space="0" w:color="auto"/>
            </w:tcBorders>
            <w:hideMark/>
          </w:tcPr>
          <w:p w14:paraId="040417B2" w14:textId="7A72B3DD"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Part des salariés CDI bénéficiaires d’une augment</w:t>
            </w:r>
            <w:r w:rsidR="00710A0E" w:rsidRPr="009D4CD4">
              <w:rPr>
                <w:rFonts w:asciiTheme="minorHAnsi" w:hAnsiTheme="minorHAnsi" w:cs="Arial"/>
                <w:sz w:val="18"/>
                <w:szCs w:val="18"/>
              </w:rPr>
              <w:t>ation individuelle de salaire *</w:t>
            </w:r>
            <w:r w:rsidRPr="009D4CD4">
              <w:rPr>
                <w:rFonts w:asciiTheme="minorHAnsi" w:hAnsiTheme="minorHAnsi" w:cs="Arial"/>
                <w:sz w:val="18"/>
                <w:szCs w:val="18"/>
              </w:rPr>
              <w:t>*</w:t>
            </w:r>
          </w:p>
        </w:tc>
        <w:tc>
          <w:tcPr>
            <w:tcW w:w="920" w:type="dxa"/>
            <w:tcBorders>
              <w:bottom w:val="single" w:sz="4" w:space="0" w:color="auto"/>
            </w:tcBorders>
            <w:noWrap/>
          </w:tcPr>
          <w:p w14:paraId="2C0DAE67" w14:textId="2D5062BE"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38,6 %</w:t>
            </w:r>
          </w:p>
        </w:tc>
        <w:tc>
          <w:tcPr>
            <w:tcW w:w="866" w:type="dxa"/>
            <w:tcBorders>
              <w:bottom w:val="single" w:sz="4" w:space="0" w:color="auto"/>
            </w:tcBorders>
          </w:tcPr>
          <w:p w14:paraId="23E87BBD" w14:textId="5E84FEE4"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39,7</w:t>
            </w:r>
            <w:r w:rsidR="00CF5C7B" w:rsidRPr="009D4CD4">
              <w:rPr>
                <w:rFonts w:asciiTheme="minorHAnsi" w:hAnsiTheme="minorHAnsi" w:cs="Arial"/>
                <w:sz w:val="18"/>
                <w:szCs w:val="18"/>
              </w:rPr>
              <w:t xml:space="preserve"> </w:t>
            </w:r>
            <w:r w:rsidRPr="009D4CD4">
              <w:rPr>
                <w:rFonts w:asciiTheme="minorHAnsi" w:hAnsiTheme="minorHAnsi" w:cs="Arial"/>
                <w:sz w:val="18"/>
                <w:szCs w:val="18"/>
              </w:rPr>
              <w:t>%</w:t>
            </w:r>
          </w:p>
        </w:tc>
        <w:tc>
          <w:tcPr>
            <w:tcW w:w="1183" w:type="dxa"/>
            <w:tcBorders>
              <w:bottom w:val="single" w:sz="4" w:space="0" w:color="auto"/>
            </w:tcBorders>
            <w:hideMark/>
          </w:tcPr>
          <w:p w14:paraId="28DFBEBA" w14:textId="2552B0B9"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40,6</w:t>
            </w:r>
            <w:r w:rsidR="00CF5C7B" w:rsidRPr="009D4CD4">
              <w:rPr>
                <w:rFonts w:asciiTheme="minorHAnsi" w:hAnsiTheme="minorHAnsi" w:cs="Arial"/>
                <w:sz w:val="18"/>
                <w:szCs w:val="18"/>
              </w:rPr>
              <w:t xml:space="preserve"> </w:t>
            </w:r>
            <w:r w:rsidRPr="009D4CD4">
              <w:rPr>
                <w:rFonts w:asciiTheme="minorHAnsi" w:hAnsiTheme="minorHAnsi" w:cs="Arial"/>
                <w:sz w:val="18"/>
                <w:szCs w:val="18"/>
              </w:rPr>
              <w:t>%</w:t>
            </w:r>
          </w:p>
        </w:tc>
        <w:tc>
          <w:tcPr>
            <w:tcW w:w="999" w:type="dxa"/>
            <w:tcBorders>
              <w:bottom w:val="single" w:sz="4" w:space="0" w:color="auto"/>
            </w:tcBorders>
            <w:noWrap/>
          </w:tcPr>
          <w:p w14:paraId="2AA4C0D6" w14:textId="1728722C" w:rsidR="00CD622E" w:rsidRPr="009D4CD4" w:rsidRDefault="00752767" w:rsidP="00752767">
            <w:pPr>
              <w:spacing w:after="0" w:line="240" w:lineRule="auto"/>
              <w:jc w:val="left"/>
              <w:rPr>
                <w:rFonts w:asciiTheme="minorHAnsi" w:hAnsiTheme="minorHAnsi" w:cs="Arial"/>
                <w:sz w:val="18"/>
                <w:szCs w:val="18"/>
              </w:rPr>
            </w:pPr>
            <w:r w:rsidRPr="009D4CD4">
              <w:rPr>
                <w:rFonts w:asciiTheme="minorHAnsi" w:hAnsiTheme="minorHAnsi" w:cs="Arial"/>
                <w:sz w:val="18"/>
                <w:szCs w:val="18"/>
              </w:rPr>
              <w:t xml:space="preserve">3,3 </w:t>
            </w:r>
            <w:r w:rsidR="00CD622E" w:rsidRPr="009D4CD4">
              <w:rPr>
                <w:rFonts w:asciiTheme="minorHAnsi" w:hAnsiTheme="minorHAnsi" w:cs="Arial"/>
                <w:sz w:val="18"/>
                <w:szCs w:val="18"/>
              </w:rPr>
              <w:t>%</w:t>
            </w:r>
          </w:p>
        </w:tc>
        <w:tc>
          <w:tcPr>
            <w:tcW w:w="1134" w:type="dxa"/>
            <w:tcBorders>
              <w:bottom w:val="single" w:sz="4" w:space="0" w:color="auto"/>
            </w:tcBorders>
          </w:tcPr>
          <w:p w14:paraId="2DD422DD" w14:textId="293CB54A"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42,9 %</w:t>
            </w:r>
          </w:p>
        </w:tc>
        <w:tc>
          <w:tcPr>
            <w:tcW w:w="1134" w:type="dxa"/>
            <w:tcBorders>
              <w:bottom w:val="single" w:sz="4" w:space="0" w:color="auto"/>
            </w:tcBorders>
          </w:tcPr>
          <w:p w14:paraId="0D868E5D" w14:textId="41F34CBF"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35.1%</w:t>
            </w:r>
          </w:p>
        </w:tc>
        <w:tc>
          <w:tcPr>
            <w:tcW w:w="1134" w:type="dxa"/>
            <w:tcBorders>
              <w:bottom w:val="single" w:sz="4" w:space="0" w:color="auto"/>
            </w:tcBorders>
            <w:hideMark/>
          </w:tcPr>
          <w:p w14:paraId="7E10373C" w14:textId="5B4FE9C1" w:rsidR="00CD622E" w:rsidRPr="009D4CD4" w:rsidRDefault="00CD622E" w:rsidP="00CD622E">
            <w:pPr>
              <w:spacing w:after="0" w:line="240" w:lineRule="auto"/>
              <w:jc w:val="left"/>
              <w:rPr>
                <w:rFonts w:asciiTheme="minorHAnsi" w:hAnsiTheme="minorHAnsi" w:cs="Arial"/>
                <w:sz w:val="18"/>
                <w:szCs w:val="18"/>
              </w:rPr>
            </w:pPr>
            <w:r w:rsidRPr="009D4CD4">
              <w:rPr>
                <w:rFonts w:asciiTheme="minorHAnsi" w:hAnsiTheme="minorHAnsi" w:cs="Arial"/>
                <w:sz w:val="18"/>
                <w:szCs w:val="18"/>
              </w:rPr>
              <w:t>29.8%</w:t>
            </w:r>
          </w:p>
        </w:tc>
      </w:tr>
      <w:tr w:rsidR="00CD622E" w:rsidRPr="009D4CD4" w14:paraId="3AAD05D9" w14:textId="77777777" w:rsidTr="00CD622E">
        <w:trPr>
          <w:trHeight w:hRule="exact" w:val="284"/>
        </w:trPr>
        <w:tc>
          <w:tcPr>
            <w:tcW w:w="2863" w:type="dxa"/>
            <w:tcBorders>
              <w:top w:val="single" w:sz="4" w:space="0" w:color="auto"/>
            </w:tcBorders>
            <w:hideMark/>
          </w:tcPr>
          <w:p w14:paraId="3167CE82" w14:textId="77777777" w:rsidR="00CD622E" w:rsidRPr="009D4CD4" w:rsidRDefault="00CD622E" w:rsidP="00CD622E">
            <w:pPr>
              <w:spacing w:after="0" w:line="240" w:lineRule="auto"/>
              <w:jc w:val="left"/>
              <w:rPr>
                <w:rFonts w:asciiTheme="minorHAnsi" w:hAnsiTheme="minorHAnsi"/>
                <w:sz w:val="18"/>
                <w:szCs w:val="18"/>
              </w:rPr>
            </w:pPr>
            <w:r w:rsidRPr="009D4CD4">
              <w:rPr>
                <w:rFonts w:asciiTheme="minorHAnsi" w:hAnsiTheme="minorHAnsi"/>
                <w:sz w:val="18"/>
                <w:szCs w:val="18"/>
              </w:rPr>
              <w:t>Effectif CDI à temps partiel</w:t>
            </w:r>
          </w:p>
        </w:tc>
        <w:tc>
          <w:tcPr>
            <w:tcW w:w="920" w:type="dxa"/>
          </w:tcPr>
          <w:p w14:paraId="766A1C4D" w14:textId="32F3B330" w:rsidR="00CD622E" w:rsidRPr="009D4CD4" w:rsidRDefault="00CD622E" w:rsidP="00CD622E">
            <w:pPr>
              <w:spacing w:after="0" w:line="240" w:lineRule="auto"/>
              <w:jc w:val="left"/>
              <w:rPr>
                <w:rFonts w:asciiTheme="minorHAnsi" w:hAnsiTheme="minorHAnsi"/>
                <w:sz w:val="18"/>
                <w:szCs w:val="18"/>
              </w:rPr>
            </w:pPr>
            <w:r w:rsidRPr="009D4CD4">
              <w:rPr>
                <w:rFonts w:asciiTheme="minorHAnsi" w:hAnsiTheme="minorHAnsi"/>
                <w:sz w:val="18"/>
                <w:szCs w:val="18"/>
              </w:rPr>
              <w:t>11,8 %</w:t>
            </w:r>
          </w:p>
        </w:tc>
        <w:tc>
          <w:tcPr>
            <w:tcW w:w="866" w:type="dxa"/>
          </w:tcPr>
          <w:p w14:paraId="5FCCB653" w14:textId="40D74767" w:rsidR="00CD622E" w:rsidRPr="009D4CD4" w:rsidRDefault="00CD622E" w:rsidP="00CD622E">
            <w:pPr>
              <w:spacing w:after="0" w:line="240" w:lineRule="auto"/>
              <w:jc w:val="left"/>
              <w:rPr>
                <w:rFonts w:asciiTheme="minorHAnsi" w:hAnsiTheme="minorHAnsi"/>
                <w:sz w:val="18"/>
                <w:szCs w:val="18"/>
              </w:rPr>
            </w:pPr>
            <w:r w:rsidRPr="009D4CD4">
              <w:rPr>
                <w:rFonts w:asciiTheme="minorHAnsi" w:hAnsiTheme="minorHAnsi"/>
                <w:sz w:val="18"/>
                <w:szCs w:val="18"/>
              </w:rPr>
              <w:t>11,7 %</w:t>
            </w:r>
          </w:p>
        </w:tc>
        <w:tc>
          <w:tcPr>
            <w:tcW w:w="1183" w:type="dxa"/>
            <w:hideMark/>
          </w:tcPr>
          <w:p w14:paraId="4B7B6DD6" w14:textId="5A337FD0" w:rsidR="00CD622E" w:rsidRPr="009D4CD4" w:rsidRDefault="00CD622E" w:rsidP="00CD622E">
            <w:pPr>
              <w:spacing w:after="0" w:line="240" w:lineRule="auto"/>
              <w:jc w:val="left"/>
              <w:rPr>
                <w:rFonts w:asciiTheme="minorHAnsi" w:hAnsiTheme="minorHAnsi"/>
                <w:sz w:val="18"/>
                <w:szCs w:val="18"/>
              </w:rPr>
            </w:pPr>
            <w:r w:rsidRPr="009D4CD4">
              <w:rPr>
                <w:rFonts w:asciiTheme="minorHAnsi" w:hAnsiTheme="minorHAnsi"/>
                <w:sz w:val="18"/>
                <w:szCs w:val="18"/>
              </w:rPr>
              <w:t>11</w:t>
            </w:r>
            <w:r w:rsidR="00FF2211">
              <w:rPr>
                <w:rFonts w:asciiTheme="minorHAnsi" w:hAnsiTheme="minorHAnsi"/>
                <w:sz w:val="18"/>
                <w:szCs w:val="18"/>
              </w:rPr>
              <w:t>,0</w:t>
            </w:r>
            <w:r w:rsidRPr="009D4CD4">
              <w:rPr>
                <w:rFonts w:asciiTheme="minorHAnsi" w:hAnsiTheme="minorHAnsi"/>
                <w:sz w:val="18"/>
                <w:szCs w:val="18"/>
              </w:rPr>
              <w:t xml:space="preserve"> %</w:t>
            </w:r>
          </w:p>
        </w:tc>
        <w:tc>
          <w:tcPr>
            <w:tcW w:w="999" w:type="dxa"/>
          </w:tcPr>
          <w:p w14:paraId="593182DB" w14:textId="7BD9874F" w:rsidR="00CD622E" w:rsidRPr="009D4CD4" w:rsidRDefault="002B52CD" w:rsidP="00CD622E">
            <w:pPr>
              <w:spacing w:after="0" w:line="240" w:lineRule="auto"/>
              <w:jc w:val="left"/>
              <w:rPr>
                <w:rFonts w:asciiTheme="minorHAnsi" w:hAnsiTheme="minorHAnsi"/>
                <w:sz w:val="18"/>
                <w:szCs w:val="18"/>
              </w:rPr>
            </w:pPr>
            <w:r w:rsidRPr="009D4CD4">
              <w:rPr>
                <w:rFonts w:asciiTheme="minorHAnsi" w:hAnsiTheme="minorHAnsi"/>
                <w:sz w:val="18"/>
                <w:szCs w:val="18"/>
              </w:rPr>
              <w:t>3,2 %</w:t>
            </w:r>
          </w:p>
        </w:tc>
        <w:tc>
          <w:tcPr>
            <w:tcW w:w="1134" w:type="dxa"/>
          </w:tcPr>
          <w:p w14:paraId="435A5184" w14:textId="60A682EF" w:rsidR="00CD622E" w:rsidRPr="009D4CD4" w:rsidRDefault="004C0190" w:rsidP="00CD622E">
            <w:pPr>
              <w:spacing w:after="0" w:line="240" w:lineRule="auto"/>
              <w:jc w:val="left"/>
              <w:rPr>
                <w:rFonts w:asciiTheme="minorHAnsi" w:hAnsiTheme="minorHAnsi"/>
                <w:sz w:val="18"/>
                <w:szCs w:val="18"/>
              </w:rPr>
            </w:pPr>
            <w:r w:rsidRPr="009D4CD4">
              <w:rPr>
                <w:rFonts w:asciiTheme="minorHAnsi" w:hAnsiTheme="minorHAnsi"/>
                <w:sz w:val="18"/>
                <w:szCs w:val="18"/>
              </w:rPr>
              <w:t>4,8 %</w:t>
            </w:r>
          </w:p>
        </w:tc>
        <w:tc>
          <w:tcPr>
            <w:tcW w:w="1134" w:type="dxa"/>
          </w:tcPr>
          <w:p w14:paraId="5B75FCC6" w14:textId="04BB2E40" w:rsidR="00CD622E" w:rsidRPr="009D4CD4" w:rsidRDefault="00FF2211" w:rsidP="00CD622E">
            <w:pPr>
              <w:spacing w:after="0" w:line="240" w:lineRule="auto"/>
              <w:jc w:val="left"/>
              <w:rPr>
                <w:rFonts w:asciiTheme="minorHAnsi" w:hAnsiTheme="minorHAnsi"/>
                <w:sz w:val="18"/>
                <w:szCs w:val="18"/>
              </w:rPr>
            </w:pPr>
            <w:r>
              <w:rPr>
                <w:rFonts w:asciiTheme="minorHAnsi" w:hAnsiTheme="minorHAnsi"/>
                <w:sz w:val="18"/>
                <w:szCs w:val="18"/>
              </w:rPr>
              <w:t xml:space="preserve">5.2 </w:t>
            </w:r>
            <w:r w:rsidR="00CD622E" w:rsidRPr="009D4CD4">
              <w:rPr>
                <w:rFonts w:asciiTheme="minorHAnsi" w:hAnsiTheme="minorHAnsi"/>
                <w:sz w:val="18"/>
                <w:szCs w:val="18"/>
              </w:rPr>
              <w:t>%</w:t>
            </w:r>
          </w:p>
        </w:tc>
        <w:tc>
          <w:tcPr>
            <w:tcW w:w="1134" w:type="dxa"/>
            <w:hideMark/>
          </w:tcPr>
          <w:p w14:paraId="586F2360" w14:textId="1BE9FF01" w:rsidR="00CD622E" w:rsidRPr="009D4CD4" w:rsidRDefault="00FF2211" w:rsidP="00CD622E">
            <w:pPr>
              <w:spacing w:after="0" w:line="240" w:lineRule="auto"/>
              <w:jc w:val="left"/>
              <w:rPr>
                <w:rFonts w:asciiTheme="minorHAnsi" w:hAnsiTheme="minorHAnsi"/>
                <w:sz w:val="18"/>
                <w:szCs w:val="18"/>
              </w:rPr>
            </w:pPr>
            <w:r>
              <w:rPr>
                <w:rFonts w:asciiTheme="minorHAnsi" w:hAnsiTheme="minorHAnsi"/>
                <w:sz w:val="18"/>
                <w:szCs w:val="18"/>
              </w:rPr>
              <w:t>6.1</w:t>
            </w:r>
            <w:r w:rsidR="00CD622E" w:rsidRPr="009D4CD4">
              <w:rPr>
                <w:rFonts w:asciiTheme="minorHAnsi" w:hAnsiTheme="minorHAnsi"/>
                <w:sz w:val="18"/>
                <w:szCs w:val="18"/>
              </w:rPr>
              <w:t xml:space="preserve"> %</w:t>
            </w:r>
          </w:p>
        </w:tc>
      </w:tr>
      <w:tr w:rsidR="00CD622E" w:rsidRPr="009D4CD4" w14:paraId="000A6673" w14:textId="77777777" w:rsidTr="00CD622E">
        <w:trPr>
          <w:trHeight w:val="255"/>
        </w:trPr>
        <w:tc>
          <w:tcPr>
            <w:tcW w:w="2863" w:type="dxa"/>
            <w:tcBorders>
              <w:top w:val="single" w:sz="4" w:space="0" w:color="auto"/>
              <w:left w:val="nil"/>
              <w:bottom w:val="nil"/>
              <w:right w:val="nil"/>
            </w:tcBorders>
            <w:hideMark/>
          </w:tcPr>
          <w:p w14:paraId="1CEBDCAD" w14:textId="64A74372" w:rsidR="00CD622E" w:rsidRPr="009D4CD4" w:rsidRDefault="00CD622E" w:rsidP="00CD622E">
            <w:pPr>
              <w:spacing w:after="0" w:line="240" w:lineRule="auto"/>
              <w:jc w:val="left"/>
              <w:rPr>
                <w:rFonts w:asciiTheme="minorHAnsi" w:hAnsiTheme="minorHAnsi" w:cs="Arial"/>
                <w:sz w:val="16"/>
                <w:szCs w:val="16"/>
              </w:rPr>
            </w:pPr>
            <w:r w:rsidRPr="009D4CD4">
              <w:rPr>
                <w:rFonts w:asciiTheme="minorHAnsi" w:hAnsiTheme="minorHAnsi" w:cs="Arial"/>
                <w:sz w:val="16"/>
                <w:szCs w:val="16"/>
              </w:rPr>
              <w:t xml:space="preserve">*  </w:t>
            </w:r>
            <w:r w:rsidR="002B52CD" w:rsidRPr="009D4CD4">
              <w:rPr>
                <w:rFonts w:asciiTheme="minorHAnsi" w:hAnsiTheme="minorHAnsi" w:cs="Arial"/>
                <w:sz w:val="16"/>
                <w:szCs w:val="16"/>
              </w:rPr>
              <w:t>CDI à temps plein toute l’année</w:t>
            </w:r>
          </w:p>
          <w:p w14:paraId="1F7D8FFF" w14:textId="214283D0" w:rsidR="00CD622E" w:rsidRPr="009D4CD4" w:rsidRDefault="00710A0E" w:rsidP="00CD622E">
            <w:pPr>
              <w:spacing w:after="0" w:line="240" w:lineRule="auto"/>
              <w:jc w:val="left"/>
              <w:rPr>
                <w:rFonts w:cs="Arial"/>
                <w:sz w:val="16"/>
                <w:szCs w:val="16"/>
              </w:rPr>
            </w:pPr>
            <w:r w:rsidRPr="009D4CD4">
              <w:rPr>
                <w:rFonts w:cs="Arial"/>
                <w:sz w:val="16"/>
                <w:szCs w:val="16"/>
              </w:rPr>
              <w:t xml:space="preserve">* * </w:t>
            </w:r>
            <w:r w:rsidR="00CD622E" w:rsidRPr="009D4CD4">
              <w:rPr>
                <w:rFonts w:cs="Arial"/>
                <w:sz w:val="16"/>
                <w:szCs w:val="16"/>
              </w:rPr>
              <w:t xml:space="preserve"> </w:t>
            </w:r>
            <w:r w:rsidR="00CD622E" w:rsidRPr="009D4CD4">
              <w:rPr>
                <w:rFonts w:asciiTheme="minorHAnsi" w:hAnsiTheme="minorHAnsi" w:cs="Arial"/>
                <w:sz w:val="16"/>
                <w:szCs w:val="16"/>
              </w:rPr>
              <w:t>Salariés présents au cours de l’exercice</w:t>
            </w:r>
          </w:p>
        </w:tc>
        <w:tc>
          <w:tcPr>
            <w:tcW w:w="920" w:type="dxa"/>
            <w:tcBorders>
              <w:top w:val="single" w:sz="4" w:space="0" w:color="auto"/>
              <w:left w:val="nil"/>
              <w:bottom w:val="nil"/>
              <w:right w:val="nil"/>
            </w:tcBorders>
            <w:hideMark/>
          </w:tcPr>
          <w:p w14:paraId="2F09F77D" w14:textId="77777777" w:rsidR="00CD622E" w:rsidRPr="009D4CD4" w:rsidRDefault="00CD622E" w:rsidP="00CD622E">
            <w:pPr>
              <w:spacing w:after="0" w:line="240" w:lineRule="auto"/>
              <w:jc w:val="left"/>
              <w:rPr>
                <w:rFonts w:asciiTheme="minorHAnsi" w:hAnsiTheme="minorHAnsi" w:cs="Arial"/>
                <w:sz w:val="16"/>
                <w:szCs w:val="16"/>
              </w:rPr>
            </w:pPr>
          </w:p>
        </w:tc>
        <w:tc>
          <w:tcPr>
            <w:tcW w:w="866" w:type="dxa"/>
            <w:tcBorders>
              <w:top w:val="single" w:sz="4" w:space="0" w:color="auto"/>
              <w:left w:val="nil"/>
              <w:bottom w:val="nil"/>
              <w:right w:val="nil"/>
            </w:tcBorders>
            <w:hideMark/>
          </w:tcPr>
          <w:p w14:paraId="2C6845B0" w14:textId="77777777" w:rsidR="00CD622E" w:rsidRPr="009D4CD4" w:rsidRDefault="00CD622E" w:rsidP="00CD622E">
            <w:pPr>
              <w:spacing w:after="0" w:line="240" w:lineRule="auto"/>
              <w:jc w:val="left"/>
              <w:rPr>
                <w:rFonts w:asciiTheme="minorHAnsi" w:hAnsiTheme="minorHAnsi" w:cs="Arial"/>
                <w:sz w:val="16"/>
                <w:szCs w:val="16"/>
              </w:rPr>
            </w:pPr>
          </w:p>
        </w:tc>
        <w:tc>
          <w:tcPr>
            <w:tcW w:w="1183" w:type="dxa"/>
            <w:tcBorders>
              <w:top w:val="single" w:sz="4" w:space="0" w:color="auto"/>
              <w:left w:val="nil"/>
              <w:bottom w:val="nil"/>
              <w:right w:val="nil"/>
            </w:tcBorders>
            <w:hideMark/>
          </w:tcPr>
          <w:p w14:paraId="37462B28" w14:textId="77777777" w:rsidR="00CD622E" w:rsidRPr="009D4CD4" w:rsidRDefault="00CD622E" w:rsidP="00CD622E">
            <w:pPr>
              <w:spacing w:after="0" w:line="240" w:lineRule="auto"/>
              <w:jc w:val="left"/>
              <w:rPr>
                <w:rFonts w:asciiTheme="minorHAnsi" w:hAnsiTheme="minorHAnsi" w:cs="Arial"/>
                <w:sz w:val="16"/>
                <w:szCs w:val="16"/>
              </w:rPr>
            </w:pPr>
          </w:p>
        </w:tc>
        <w:tc>
          <w:tcPr>
            <w:tcW w:w="999" w:type="dxa"/>
            <w:tcBorders>
              <w:top w:val="single" w:sz="4" w:space="0" w:color="auto"/>
              <w:left w:val="nil"/>
              <w:bottom w:val="nil"/>
              <w:right w:val="nil"/>
            </w:tcBorders>
            <w:hideMark/>
          </w:tcPr>
          <w:p w14:paraId="19F27C8B" w14:textId="424522A8" w:rsidR="00CD622E" w:rsidRPr="009D4CD4" w:rsidRDefault="00CD622E" w:rsidP="00CD622E">
            <w:pPr>
              <w:spacing w:after="0" w:line="240" w:lineRule="auto"/>
              <w:jc w:val="left"/>
              <w:rPr>
                <w:rFonts w:asciiTheme="minorHAnsi" w:hAnsiTheme="minorHAnsi" w:cs="Arial"/>
                <w:sz w:val="16"/>
                <w:szCs w:val="16"/>
              </w:rPr>
            </w:pPr>
          </w:p>
        </w:tc>
        <w:tc>
          <w:tcPr>
            <w:tcW w:w="1134" w:type="dxa"/>
            <w:tcBorders>
              <w:top w:val="single" w:sz="4" w:space="0" w:color="auto"/>
              <w:left w:val="nil"/>
              <w:bottom w:val="nil"/>
              <w:right w:val="nil"/>
            </w:tcBorders>
          </w:tcPr>
          <w:p w14:paraId="499D1635" w14:textId="77777777" w:rsidR="00CD622E" w:rsidRPr="009D4CD4" w:rsidRDefault="00CD622E" w:rsidP="00CD622E">
            <w:pPr>
              <w:spacing w:after="0" w:line="240" w:lineRule="auto"/>
              <w:jc w:val="left"/>
              <w:rPr>
                <w:rFonts w:asciiTheme="minorHAnsi" w:hAnsiTheme="minorHAnsi" w:cs="Arial"/>
                <w:sz w:val="16"/>
                <w:szCs w:val="16"/>
              </w:rPr>
            </w:pPr>
          </w:p>
        </w:tc>
        <w:tc>
          <w:tcPr>
            <w:tcW w:w="1134" w:type="dxa"/>
            <w:tcBorders>
              <w:top w:val="single" w:sz="4" w:space="0" w:color="auto"/>
              <w:left w:val="nil"/>
              <w:bottom w:val="nil"/>
              <w:right w:val="nil"/>
            </w:tcBorders>
            <w:hideMark/>
          </w:tcPr>
          <w:p w14:paraId="06A0A044" w14:textId="7AF5FAA2" w:rsidR="00CD622E" w:rsidRPr="009D4CD4" w:rsidRDefault="00CD622E" w:rsidP="00CD622E">
            <w:pPr>
              <w:spacing w:after="0" w:line="240" w:lineRule="auto"/>
              <w:jc w:val="left"/>
              <w:rPr>
                <w:rFonts w:asciiTheme="minorHAnsi" w:hAnsiTheme="minorHAnsi" w:cs="Arial"/>
                <w:sz w:val="16"/>
                <w:szCs w:val="16"/>
              </w:rPr>
            </w:pPr>
          </w:p>
        </w:tc>
        <w:tc>
          <w:tcPr>
            <w:tcW w:w="1134" w:type="dxa"/>
            <w:tcBorders>
              <w:top w:val="single" w:sz="4" w:space="0" w:color="auto"/>
              <w:left w:val="nil"/>
              <w:bottom w:val="nil"/>
              <w:right w:val="nil"/>
            </w:tcBorders>
            <w:hideMark/>
          </w:tcPr>
          <w:p w14:paraId="5B30F3EB" w14:textId="77777777" w:rsidR="00CD622E" w:rsidRPr="009D4CD4" w:rsidRDefault="00CD622E" w:rsidP="00CD622E">
            <w:pPr>
              <w:spacing w:after="0" w:line="240" w:lineRule="auto"/>
              <w:jc w:val="left"/>
              <w:rPr>
                <w:rFonts w:asciiTheme="minorHAnsi" w:hAnsiTheme="minorHAnsi" w:cs="Arial"/>
                <w:sz w:val="16"/>
                <w:szCs w:val="16"/>
              </w:rPr>
            </w:pPr>
          </w:p>
        </w:tc>
      </w:tr>
    </w:tbl>
    <w:p w14:paraId="2A0908B8" w14:textId="77777777" w:rsidR="00B72A61" w:rsidRPr="009D4CD4" w:rsidRDefault="00B72A61" w:rsidP="00B72A61">
      <w:pPr>
        <w:spacing w:after="0" w:line="240" w:lineRule="auto"/>
        <w:jc w:val="left"/>
        <w:rPr>
          <w:rFonts w:asciiTheme="minorHAnsi" w:hAnsiTheme="minorHAnsi" w:cs="Arial"/>
          <w:sz w:val="16"/>
          <w:szCs w:val="16"/>
        </w:rPr>
      </w:pPr>
    </w:p>
    <w:p w14:paraId="37A04480" w14:textId="6F41658A" w:rsidR="00B72A61" w:rsidRPr="009D4CD4" w:rsidRDefault="00B72A61" w:rsidP="00B72A61">
      <w:pPr>
        <w:spacing w:after="0" w:line="240" w:lineRule="auto"/>
        <w:jc w:val="left"/>
        <w:rPr>
          <w:rFonts w:cs="Arial"/>
        </w:rPr>
      </w:pPr>
      <w:r w:rsidRPr="009D4CD4">
        <w:rPr>
          <w:rFonts w:cs="Arial"/>
        </w:rPr>
        <w:t xml:space="preserve">Au niveau de la </w:t>
      </w:r>
      <w:r w:rsidR="00A7717F">
        <w:rPr>
          <w:rFonts w:cs="Arial"/>
        </w:rPr>
        <w:t>Caisse Régionale</w:t>
      </w:r>
      <w:r w:rsidRPr="009D4CD4">
        <w:rPr>
          <w:rFonts w:cs="Arial"/>
        </w:rPr>
        <w:t xml:space="preserve"> </w:t>
      </w:r>
      <w:r w:rsidR="00A34EC9" w:rsidRPr="009D4CD4">
        <w:rPr>
          <w:rFonts w:cs="Arial"/>
        </w:rPr>
        <w:t>(CDI)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7"/>
        <w:gridCol w:w="1417"/>
        <w:gridCol w:w="1276"/>
        <w:gridCol w:w="1276"/>
      </w:tblGrid>
      <w:tr w:rsidR="00D94808" w:rsidRPr="009D4CD4" w14:paraId="432F0D8A" w14:textId="77777777" w:rsidTr="00A8395B">
        <w:trPr>
          <w:trHeight w:hRule="exact" w:val="284"/>
        </w:trPr>
        <w:tc>
          <w:tcPr>
            <w:tcW w:w="5387" w:type="dxa"/>
            <w:tcBorders>
              <w:top w:val="nil"/>
              <w:left w:val="nil"/>
              <w:bottom w:val="single" w:sz="4" w:space="0" w:color="auto"/>
              <w:right w:val="single" w:sz="4" w:space="0" w:color="auto"/>
            </w:tcBorders>
            <w:shd w:val="clear" w:color="auto" w:fill="auto"/>
          </w:tcPr>
          <w:tbl>
            <w:tblPr>
              <w:tblW w:w="0" w:type="auto"/>
              <w:tblLayout w:type="fixed"/>
              <w:tblLook w:val="04A0" w:firstRow="1" w:lastRow="0" w:firstColumn="1" w:lastColumn="0" w:noHBand="0" w:noVBand="1"/>
            </w:tblPr>
            <w:tblGrid>
              <w:gridCol w:w="2802"/>
              <w:gridCol w:w="851"/>
              <w:gridCol w:w="851"/>
              <w:gridCol w:w="851"/>
              <w:gridCol w:w="851"/>
              <w:gridCol w:w="851"/>
              <w:gridCol w:w="851"/>
              <w:gridCol w:w="851"/>
            </w:tblGrid>
            <w:tr w:rsidR="00D94808" w:rsidRPr="009D4CD4" w14:paraId="48D7F487" w14:textId="77777777" w:rsidTr="00523615">
              <w:trPr>
                <w:trHeight w:hRule="exact" w:val="255"/>
              </w:trPr>
              <w:tc>
                <w:tcPr>
                  <w:tcW w:w="2802" w:type="dxa"/>
                  <w:shd w:val="clear" w:color="auto" w:fill="auto"/>
                </w:tcPr>
                <w:p w14:paraId="1A70B8D2" w14:textId="77777777" w:rsidR="00D94808" w:rsidRPr="009D4CD4" w:rsidRDefault="00D94808" w:rsidP="00D94808">
                  <w:pPr>
                    <w:spacing w:after="0" w:line="240" w:lineRule="auto"/>
                    <w:ind w:left="360" w:right="140"/>
                    <w:jc w:val="left"/>
                    <w:rPr>
                      <w:rFonts w:eastAsia="Times New Roman" w:cs="Arial"/>
                      <w:sz w:val="16"/>
                      <w:szCs w:val="16"/>
                    </w:rPr>
                  </w:pPr>
                </w:p>
              </w:tc>
              <w:tc>
                <w:tcPr>
                  <w:tcW w:w="851" w:type="dxa"/>
                </w:tcPr>
                <w:p w14:paraId="716F0D5A" w14:textId="77777777" w:rsidR="00D94808" w:rsidRPr="009D4CD4" w:rsidRDefault="00D94808" w:rsidP="00D94808">
                  <w:pPr>
                    <w:spacing w:after="0" w:line="240" w:lineRule="auto"/>
                    <w:ind w:right="140"/>
                    <w:jc w:val="left"/>
                    <w:rPr>
                      <w:rFonts w:eastAsia="Times New Roman" w:cs="Arial"/>
                      <w:sz w:val="16"/>
                      <w:szCs w:val="16"/>
                    </w:rPr>
                  </w:pPr>
                </w:p>
              </w:tc>
              <w:tc>
                <w:tcPr>
                  <w:tcW w:w="851" w:type="dxa"/>
                </w:tcPr>
                <w:p w14:paraId="4C603752" w14:textId="77777777" w:rsidR="00D94808" w:rsidRPr="009D4CD4" w:rsidRDefault="00D94808" w:rsidP="00D94808">
                  <w:pPr>
                    <w:spacing w:after="0" w:line="240" w:lineRule="auto"/>
                    <w:ind w:right="140"/>
                    <w:jc w:val="left"/>
                    <w:rPr>
                      <w:rFonts w:eastAsia="Times New Roman" w:cs="Arial"/>
                      <w:b/>
                      <w:sz w:val="16"/>
                      <w:szCs w:val="16"/>
                    </w:rPr>
                  </w:pPr>
                  <w:r w:rsidRPr="009D4CD4">
                    <w:rPr>
                      <w:rFonts w:eastAsia="Times New Roman" w:cs="Arial"/>
                      <w:b/>
                      <w:sz w:val="16"/>
                      <w:szCs w:val="16"/>
                    </w:rPr>
                    <w:t>NMP</w:t>
                  </w:r>
                </w:p>
              </w:tc>
              <w:tc>
                <w:tcPr>
                  <w:tcW w:w="851" w:type="dxa"/>
                </w:tcPr>
                <w:p w14:paraId="223727EC" w14:textId="77777777" w:rsidR="00D94808" w:rsidRPr="009D4CD4" w:rsidRDefault="00D94808" w:rsidP="00D94808">
                  <w:pPr>
                    <w:spacing w:after="0" w:line="240" w:lineRule="auto"/>
                    <w:ind w:right="140"/>
                    <w:jc w:val="left"/>
                    <w:rPr>
                      <w:rFonts w:eastAsia="Times New Roman" w:cs="Arial"/>
                      <w:b/>
                      <w:sz w:val="16"/>
                      <w:szCs w:val="16"/>
                    </w:rPr>
                  </w:pPr>
                </w:p>
              </w:tc>
              <w:tc>
                <w:tcPr>
                  <w:tcW w:w="851" w:type="dxa"/>
                </w:tcPr>
                <w:p w14:paraId="39034820" w14:textId="77777777" w:rsidR="00D94808" w:rsidRPr="009D4CD4" w:rsidRDefault="00D94808" w:rsidP="00D94808">
                  <w:pPr>
                    <w:spacing w:after="0" w:line="240" w:lineRule="auto"/>
                    <w:ind w:right="140"/>
                    <w:jc w:val="left"/>
                    <w:rPr>
                      <w:rFonts w:eastAsia="Times New Roman" w:cs="Arial"/>
                      <w:b/>
                      <w:sz w:val="16"/>
                      <w:szCs w:val="16"/>
                    </w:rPr>
                  </w:pPr>
                </w:p>
              </w:tc>
              <w:tc>
                <w:tcPr>
                  <w:tcW w:w="851" w:type="dxa"/>
                </w:tcPr>
                <w:p w14:paraId="4DF2C0BA" w14:textId="77777777" w:rsidR="00D94808" w:rsidRPr="009D4CD4" w:rsidRDefault="00D94808" w:rsidP="00D94808">
                  <w:pPr>
                    <w:spacing w:after="0" w:line="240" w:lineRule="auto"/>
                    <w:ind w:right="140"/>
                    <w:jc w:val="left"/>
                    <w:rPr>
                      <w:rFonts w:eastAsia="Times New Roman" w:cs="Arial"/>
                      <w:b/>
                      <w:sz w:val="16"/>
                      <w:szCs w:val="16"/>
                    </w:rPr>
                  </w:pPr>
                  <w:r w:rsidRPr="009D4CD4">
                    <w:rPr>
                      <w:rFonts w:eastAsia="Times New Roman" w:cs="Arial"/>
                      <w:b/>
                      <w:sz w:val="16"/>
                      <w:szCs w:val="16"/>
                    </w:rPr>
                    <w:t>IS</w:t>
                  </w:r>
                </w:p>
              </w:tc>
              <w:tc>
                <w:tcPr>
                  <w:tcW w:w="851" w:type="dxa"/>
                </w:tcPr>
                <w:p w14:paraId="74D875E3" w14:textId="77777777" w:rsidR="00D94808" w:rsidRPr="009D4CD4" w:rsidRDefault="00D94808" w:rsidP="00D94808">
                  <w:pPr>
                    <w:spacing w:after="0" w:line="240" w:lineRule="auto"/>
                    <w:ind w:right="140"/>
                    <w:jc w:val="left"/>
                    <w:rPr>
                      <w:rFonts w:eastAsia="Times New Roman" w:cs="Arial"/>
                      <w:b/>
                      <w:sz w:val="16"/>
                      <w:szCs w:val="16"/>
                    </w:rPr>
                  </w:pPr>
                </w:p>
              </w:tc>
              <w:tc>
                <w:tcPr>
                  <w:tcW w:w="851" w:type="dxa"/>
                </w:tcPr>
                <w:p w14:paraId="2F2F68E5" w14:textId="77777777" w:rsidR="00D94808" w:rsidRPr="009D4CD4" w:rsidRDefault="00D94808" w:rsidP="00D94808">
                  <w:pPr>
                    <w:spacing w:after="0" w:line="240" w:lineRule="auto"/>
                    <w:ind w:right="140"/>
                    <w:jc w:val="left"/>
                    <w:rPr>
                      <w:rFonts w:eastAsia="Times New Roman" w:cs="Arial"/>
                      <w:b/>
                      <w:sz w:val="16"/>
                      <w:szCs w:val="16"/>
                    </w:rPr>
                  </w:pPr>
                </w:p>
              </w:tc>
            </w:tr>
          </w:tbl>
          <w:p w14:paraId="1FCCC8FE" w14:textId="77777777" w:rsidR="00D94808" w:rsidRPr="009D4CD4" w:rsidRDefault="00D94808" w:rsidP="00D94808">
            <w:pPr>
              <w:spacing w:after="0" w:line="240" w:lineRule="auto"/>
              <w:jc w:val="left"/>
            </w:pPr>
          </w:p>
        </w:tc>
        <w:tc>
          <w:tcPr>
            <w:tcW w:w="1417" w:type="dxa"/>
            <w:tcBorders>
              <w:top w:val="single" w:sz="4" w:space="0" w:color="auto"/>
              <w:left w:val="single" w:sz="4" w:space="0" w:color="auto"/>
              <w:bottom w:val="single" w:sz="4" w:space="0" w:color="auto"/>
              <w:right w:val="single" w:sz="4" w:space="0" w:color="auto"/>
            </w:tcBorders>
          </w:tcPr>
          <w:p w14:paraId="0E478BF9" w14:textId="4480E059" w:rsidR="00D94808" w:rsidRPr="009D4CD4" w:rsidRDefault="00D94808" w:rsidP="00D94808">
            <w:pPr>
              <w:spacing w:after="0" w:line="240" w:lineRule="auto"/>
              <w:jc w:val="left"/>
              <w:rPr>
                <w:b/>
                <w:sz w:val="16"/>
                <w:szCs w:val="16"/>
              </w:rPr>
            </w:pPr>
            <w:r w:rsidRPr="009D4CD4">
              <w:rPr>
                <w:b/>
                <w:sz w:val="16"/>
                <w:szCs w:val="16"/>
              </w:rPr>
              <w:t>2021</w:t>
            </w:r>
          </w:p>
        </w:tc>
        <w:tc>
          <w:tcPr>
            <w:tcW w:w="1276" w:type="dxa"/>
            <w:tcBorders>
              <w:top w:val="single" w:sz="4" w:space="0" w:color="auto"/>
              <w:left w:val="single" w:sz="4" w:space="0" w:color="auto"/>
              <w:bottom w:val="single" w:sz="4" w:space="0" w:color="auto"/>
              <w:right w:val="single" w:sz="4" w:space="0" w:color="auto"/>
            </w:tcBorders>
          </w:tcPr>
          <w:p w14:paraId="69D17ECF" w14:textId="4A1FC5C0" w:rsidR="00D94808" w:rsidRPr="009D4CD4" w:rsidRDefault="00D94808" w:rsidP="00D94808">
            <w:pPr>
              <w:spacing w:after="0" w:line="240" w:lineRule="auto"/>
              <w:jc w:val="left"/>
              <w:rPr>
                <w:b/>
                <w:sz w:val="16"/>
                <w:szCs w:val="16"/>
              </w:rPr>
            </w:pPr>
            <w:r w:rsidRPr="009D4CD4">
              <w:rPr>
                <w:b/>
                <w:sz w:val="16"/>
                <w:szCs w:val="16"/>
              </w:rPr>
              <w:t>2020</w:t>
            </w:r>
          </w:p>
        </w:tc>
        <w:tc>
          <w:tcPr>
            <w:tcW w:w="1276" w:type="dxa"/>
            <w:tcBorders>
              <w:top w:val="single" w:sz="4" w:space="0" w:color="auto"/>
              <w:left w:val="single" w:sz="4" w:space="0" w:color="auto"/>
              <w:bottom w:val="single" w:sz="4" w:space="0" w:color="auto"/>
              <w:right w:val="single" w:sz="4" w:space="0" w:color="auto"/>
            </w:tcBorders>
          </w:tcPr>
          <w:p w14:paraId="24FAC39C" w14:textId="4A8F3365" w:rsidR="00D94808" w:rsidRPr="009D4CD4" w:rsidRDefault="00D94808" w:rsidP="00D94808">
            <w:pPr>
              <w:spacing w:after="0" w:line="240" w:lineRule="auto"/>
              <w:jc w:val="left"/>
              <w:rPr>
                <w:b/>
                <w:sz w:val="16"/>
                <w:szCs w:val="16"/>
              </w:rPr>
            </w:pPr>
            <w:r w:rsidRPr="009D4CD4">
              <w:rPr>
                <w:b/>
                <w:sz w:val="16"/>
                <w:szCs w:val="16"/>
              </w:rPr>
              <w:t>2019</w:t>
            </w:r>
          </w:p>
        </w:tc>
      </w:tr>
      <w:tr w:rsidR="00D94808" w:rsidRPr="009D4CD4" w14:paraId="4DA9853D" w14:textId="77777777" w:rsidTr="00A8395B">
        <w:trPr>
          <w:trHeight w:hRule="exact" w:val="284"/>
        </w:trPr>
        <w:tc>
          <w:tcPr>
            <w:tcW w:w="5387" w:type="dxa"/>
            <w:tcBorders>
              <w:top w:val="single" w:sz="4" w:space="0" w:color="auto"/>
              <w:bottom w:val="single" w:sz="4" w:space="0" w:color="auto"/>
            </w:tcBorders>
            <w:shd w:val="clear" w:color="auto" w:fill="auto"/>
            <w:vAlign w:val="center"/>
          </w:tcPr>
          <w:p w14:paraId="7F27471D" w14:textId="2A011FE6" w:rsidR="00D94808" w:rsidRPr="009D4CD4" w:rsidRDefault="00A8395B" w:rsidP="00A8395B">
            <w:pPr>
              <w:spacing w:after="0" w:line="240" w:lineRule="auto"/>
              <w:jc w:val="left"/>
              <w:rPr>
                <w:rFonts w:cs="Arial"/>
                <w:bCs/>
                <w:sz w:val="18"/>
                <w:szCs w:val="18"/>
              </w:rPr>
            </w:pPr>
            <w:r w:rsidRPr="009D4CD4">
              <w:rPr>
                <w:rFonts w:cs="Arial"/>
                <w:bCs/>
                <w:sz w:val="18"/>
                <w:szCs w:val="18"/>
              </w:rPr>
              <w:t>Nombre et % d’agents d’application</w:t>
            </w:r>
          </w:p>
        </w:tc>
        <w:tc>
          <w:tcPr>
            <w:tcW w:w="1417" w:type="dxa"/>
            <w:tcBorders>
              <w:top w:val="single" w:sz="4" w:space="0" w:color="auto"/>
              <w:bottom w:val="single" w:sz="4" w:space="0" w:color="auto"/>
            </w:tcBorders>
          </w:tcPr>
          <w:p w14:paraId="20E01787" w14:textId="283C06AB" w:rsidR="00D94808" w:rsidRPr="009D4CD4" w:rsidRDefault="003872B8" w:rsidP="00D94808">
            <w:pPr>
              <w:spacing w:after="0" w:line="240" w:lineRule="auto"/>
              <w:jc w:val="left"/>
              <w:rPr>
                <w:rFonts w:cs="Arial"/>
                <w:sz w:val="16"/>
                <w:szCs w:val="16"/>
              </w:rPr>
            </w:pPr>
            <w:r w:rsidRPr="009D4CD4">
              <w:rPr>
                <w:rFonts w:cs="Arial"/>
                <w:sz w:val="16"/>
                <w:szCs w:val="16"/>
              </w:rPr>
              <w:t xml:space="preserve">353 </w:t>
            </w:r>
            <w:r w:rsidR="00D94808" w:rsidRPr="009D4CD4">
              <w:rPr>
                <w:rFonts w:cs="Arial"/>
                <w:sz w:val="16"/>
                <w:szCs w:val="16"/>
              </w:rPr>
              <w:t>(</w:t>
            </w:r>
            <w:r w:rsidR="0076237B">
              <w:rPr>
                <w:rFonts w:cs="Arial"/>
                <w:sz w:val="16"/>
                <w:szCs w:val="16"/>
              </w:rPr>
              <w:t xml:space="preserve">18,2 </w:t>
            </w:r>
            <w:r w:rsidR="00D94808" w:rsidRPr="009D4CD4">
              <w:rPr>
                <w:rFonts w:cs="Arial"/>
                <w:sz w:val="16"/>
                <w:szCs w:val="16"/>
              </w:rPr>
              <w:t>%)</w:t>
            </w:r>
          </w:p>
        </w:tc>
        <w:tc>
          <w:tcPr>
            <w:tcW w:w="1276" w:type="dxa"/>
            <w:tcBorders>
              <w:top w:val="single" w:sz="4" w:space="0" w:color="auto"/>
              <w:bottom w:val="single" w:sz="4" w:space="0" w:color="auto"/>
            </w:tcBorders>
          </w:tcPr>
          <w:p w14:paraId="4FF35069" w14:textId="6E33CE45" w:rsidR="00D94808" w:rsidRPr="009D4CD4" w:rsidRDefault="00D94808" w:rsidP="00D94808">
            <w:pPr>
              <w:spacing w:after="0" w:line="240" w:lineRule="auto"/>
              <w:jc w:val="left"/>
              <w:rPr>
                <w:rFonts w:cs="Arial"/>
                <w:sz w:val="16"/>
                <w:szCs w:val="16"/>
              </w:rPr>
            </w:pPr>
            <w:r w:rsidRPr="009D4CD4">
              <w:rPr>
                <w:rFonts w:cs="Arial"/>
                <w:sz w:val="16"/>
                <w:szCs w:val="16"/>
              </w:rPr>
              <w:t>377 (19,44%)</w:t>
            </w:r>
          </w:p>
        </w:tc>
        <w:tc>
          <w:tcPr>
            <w:tcW w:w="1276" w:type="dxa"/>
            <w:tcBorders>
              <w:top w:val="single" w:sz="4" w:space="0" w:color="auto"/>
              <w:bottom w:val="single" w:sz="4" w:space="0" w:color="auto"/>
            </w:tcBorders>
          </w:tcPr>
          <w:p w14:paraId="4460B917" w14:textId="60A348CC" w:rsidR="00D94808" w:rsidRPr="009D4CD4" w:rsidRDefault="00D94808" w:rsidP="00D94808">
            <w:pPr>
              <w:spacing w:after="0" w:line="240" w:lineRule="auto"/>
              <w:jc w:val="left"/>
              <w:rPr>
                <w:rFonts w:cs="Arial"/>
                <w:sz w:val="16"/>
                <w:szCs w:val="16"/>
              </w:rPr>
            </w:pPr>
            <w:r w:rsidRPr="009D4CD4">
              <w:rPr>
                <w:rFonts w:cs="Arial"/>
                <w:sz w:val="16"/>
                <w:szCs w:val="16"/>
              </w:rPr>
              <w:t>419 (21,40%)</w:t>
            </w:r>
          </w:p>
        </w:tc>
      </w:tr>
      <w:tr w:rsidR="00D94808" w:rsidRPr="009D4CD4" w14:paraId="73FDCF21" w14:textId="77777777" w:rsidTr="00A8395B">
        <w:trPr>
          <w:trHeight w:hRule="exact" w:val="284"/>
        </w:trPr>
        <w:tc>
          <w:tcPr>
            <w:tcW w:w="5387" w:type="dxa"/>
            <w:tcBorders>
              <w:bottom w:val="single" w:sz="4" w:space="0" w:color="auto"/>
            </w:tcBorders>
            <w:shd w:val="clear" w:color="auto" w:fill="auto"/>
            <w:vAlign w:val="center"/>
          </w:tcPr>
          <w:p w14:paraId="7B6965D9" w14:textId="20560FF4" w:rsidR="00D94808" w:rsidRPr="009D4CD4" w:rsidRDefault="00A8395B" w:rsidP="00D94808">
            <w:pPr>
              <w:spacing w:after="0" w:line="240" w:lineRule="auto"/>
              <w:jc w:val="left"/>
              <w:rPr>
                <w:rFonts w:cs="Arial"/>
                <w:bCs/>
                <w:sz w:val="18"/>
                <w:szCs w:val="18"/>
              </w:rPr>
            </w:pPr>
            <w:r w:rsidRPr="009D4CD4">
              <w:rPr>
                <w:rFonts w:cs="Arial"/>
                <w:bCs/>
                <w:sz w:val="18"/>
                <w:szCs w:val="18"/>
              </w:rPr>
              <w:t xml:space="preserve">Nombre et % de </w:t>
            </w:r>
            <w:r w:rsidR="00D94808" w:rsidRPr="009D4CD4">
              <w:rPr>
                <w:rFonts w:cs="Arial"/>
                <w:bCs/>
                <w:sz w:val="18"/>
                <w:szCs w:val="18"/>
              </w:rPr>
              <w:t xml:space="preserve">Techniciens Animateurs d’unité </w:t>
            </w:r>
          </w:p>
        </w:tc>
        <w:tc>
          <w:tcPr>
            <w:tcW w:w="1417" w:type="dxa"/>
            <w:tcBorders>
              <w:bottom w:val="single" w:sz="4" w:space="0" w:color="auto"/>
            </w:tcBorders>
          </w:tcPr>
          <w:p w14:paraId="15753D3B" w14:textId="73B5FA30" w:rsidR="00D94808" w:rsidRPr="009D4CD4" w:rsidRDefault="003872B8" w:rsidP="00D94808">
            <w:pPr>
              <w:spacing w:after="0" w:line="240" w:lineRule="auto"/>
              <w:jc w:val="left"/>
              <w:rPr>
                <w:rFonts w:cs="Arial"/>
                <w:sz w:val="16"/>
                <w:szCs w:val="16"/>
              </w:rPr>
            </w:pPr>
            <w:r w:rsidRPr="009D4CD4">
              <w:rPr>
                <w:rFonts w:cs="Arial"/>
                <w:sz w:val="16"/>
                <w:szCs w:val="16"/>
              </w:rPr>
              <w:t xml:space="preserve">1002 </w:t>
            </w:r>
            <w:r w:rsidR="00D94808" w:rsidRPr="009D4CD4">
              <w:rPr>
                <w:rFonts w:cs="Arial"/>
                <w:sz w:val="16"/>
                <w:szCs w:val="16"/>
              </w:rPr>
              <w:t>(</w:t>
            </w:r>
            <w:r w:rsidRPr="009D4CD4">
              <w:rPr>
                <w:rFonts w:cs="Arial"/>
                <w:sz w:val="16"/>
                <w:szCs w:val="16"/>
              </w:rPr>
              <w:t>51,7</w:t>
            </w:r>
            <w:r w:rsidR="00D94808" w:rsidRPr="009D4CD4">
              <w:rPr>
                <w:rFonts w:cs="Arial"/>
                <w:sz w:val="16"/>
                <w:szCs w:val="16"/>
              </w:rPr>
              <w:t>%)</w:t>
            </w:r>
          </w:p>
        </w:tc>
        <w:tc>
          <w:tcPr>
            <w:tcW w:w="1276" w:type="dxa"/>
            <w:tcBorders>
              <w:bottom w:val="single" w:sz="4" w:space="0" w:color="auto"/>
            </w:tcBorders>
          </w:tcPr>
          <w:p w14:paraId="4DBABC9A" w14:textId="100984E4" w:rsidR="00D94808" w:rsidRPr="009D4CD4" w:rsidRDefault="00D94808" w:rsidP="00D94808">
            <w:pPr>
              <w:spacing w:after="0" w:line="240" w:lineRule="auto"/>
              <w:jc w:val="left"/>
              <w:rPr>
                <w:rFonts w:cs="Arial"/>
                <w:sz w:val="16"/>
                <w:szCs w:val="16"/>
              </w:rPr>
            </w:pPr>
            <w:r w:rsidRPr="009D4CD4">
              <w:rPr>
                <w:rFonts w:cs="Arial"/>
                <w:sz w:val="16"/>
                <w:szCs w:val="16"/>
              </w:rPr>
              <w:t>997 (51.42%)</w:t>
            </w:r>
          </w:p>
        </w:tc>
        <w:tc>
          <w:tcPr>
            <w:tcW w:w="1276" w:type="dxa"/>
            <w:tcBorders>
              <w:bottom w:val="single" w:sz="4" w:space="0" w:color="auto"/>
            </w:tcBorders>
          </w:tcPr>
          <w:p w14:paraId="0FE23451" w14:textId="0D75242E" w:rsidR="00D94808" w:rsidRPr="009D4CD4" w:rsidRDefault="00D94808" w:rsidP="00D94808">
            <w:pPr>
              <w:spacing w:after="0" w:line="240" w:lineRule="auto"/>
              <w:jc w:val="left"/>
              <w:rPr>
                <w:rFonts w:cs="Arial"/>
                <w:sz w:val="16"/>
                <w:szCs w:val="16"/>
              </w:rPr>
            </w:pPr>
            <w:r w:rsidRPr="009D4CD4">
              <w:rPr>
                <w:rFonts w:cs="Arial"/>
                <w:sz w:val="16"/>
                <w:szCs w:val="16"/>
              </w:rPr>
              <w:t>980 (50,05%)</w:t>
            </w:r>
          </w:p>
        </w:tc>
      </w:tr>
      <w:tr w:rsidR="00D94808" w:rsidRPr="009D4CD4" w14:paraId="0EA97B5D" w14:textId="77777777" w:rsidTr="00A8395B">
        <w:trPr>
          <w:trHeight w:hRule="exact" w:val="284"/>
        </w:trPr>
        <w:tc>
          <w:tcPr>
            <w:tcW w:w="5387" w:type="dxa"/>
            <w:tcBorders>
              <w:bottom w:val="single" w:sz="4" w:space="0" w:color="auto"/>
            </w:tcBorders>
            <w:shd w:val="clear" w:color="auto" w:fill="auto"/>
            <w:vAlign w:val="center"/>
          </w:tcPr>
          <w:p w14:paraId="6B001EAB" w14:textId="1EF40837" w:rsidR="00D94808" w:rsidRPr="009D4CD4" w:rsidRDefault="00A8395B" w:rsidP="00D94808">
            <w:pPr>
              <w:spacing w:after="0" w:line="240" w:lineRule="auto"/>
              <w:jc w:val="left"/>
              <w:rPr>
                <w:rFonts w:cs="Arial"/>
                <w:bCs/>
                <w:sz w:val="18"/>
                <w:szCs w:val="18"/>
              </w:rPr>
            </w:pPr>
            <w:r w:rsidRPr="009D4CD4">
              <w:rPr>
                <w:rFonts w:cs="Arial"/>
                <w:bCs/>
                <w:sz w:val="18"/>
                <w:szCs w:val="18"/>
              </w:rPr>
              <w:t xml:space="preserve">Nombre et % </w:t>
            </w:r>
            <w:r w:rsidR="00D94808" w:rsidRPr="009D4CD4">
              <w:rPr>
                <w:rFonts w:cs="Arial"/>
                <w:bCs/>
                <w:sz w:val="18"/>
                <w:szCs w:val="18"/>
              </w:rPr>
              <w:t xml:space="preserve">Responsables de management </w:t>
            </w:r>
          </w:p>
        </w:tc>
        <w:tc>
          <w:tcPr>
            <w:tcW w:w="1417" w:type="dxa"/>
            <w:tcBorders>
              <w:bottom w:val="single" w:sz="4" w:space="0" w:color="auto"/>
            </w:tcBorders>
          </w:tcPr>
          <w:p w14:paraId="7EA585B8" w14:textId="71A5D976" w:rsidR="00D94808" w:rsidRPr="009D4CD4" w:rsidRDefault="003872B8" w:rsidP="00D94808">
            <w:pPr>
              <w:spacing w:after="0" w:line="240" w:lineRule="auto"/>
              <w:jc w:val="left"/>
              <w:rPr>
                <w:rFonts w:cs="Arial"/>
                <w:sz w:val="16"/>
                <w:szCs w:val="16"/>
              </w:rPr>
            </w:pPr>
            <w:r w:rsidRPr="009D4CD4">
              <w:rPr>
                <w:rFonts w:cs="Arial"/>
                <w:sz w:val="16"/>
                <w:szCs w:val="16"/>
              </w:rPr>
              <w:t xml:space="preserve">582 </w:t>
            </w:r>
            <w:r w:rsidR="00D94808" w:rsidRPr="009D4CD4">
              <w:rPr>
                <w:rFonts w:cs="Arial"/>
                <w:sz w:val="16"/>
                <w:szCs w:val="16"/>
              </w:rPr>
              <w:t xml:space="preserve"> (</w:t>
            </w:r>
            <w:r w:rsidRPr="009D4CD4">
              <w:rPr>
                <w:rFonts w:cs="Arial"/>
                <w:sz w:val="16"/>
                <w:szCs w:val="16"/>
              </w:rPr>
              <w:t>30,0</w:t>
            </w:r>
            <w:r w:rsidR="00D94808" w:rsidRPr="009D4CD4">
              <w:rPr>
                <w:rFonts w:cs="Arial"/>
                <w:sz w:val="16"/>
                <w:szCs w:val="16"/>
              </w:rPr>
              <w:t>%)</w:t>
            </w:r>
          </w:p>
        </w:tc>
        <w:tc>
          <w:tcPr>
            <w:tcW w:w="1276" w:type="dxa"/>
            <w:tcBorders>
              <w:bottom w:val="single" w:sz="4" w:space="0" w:color="auto"/>
            </w:tcBorders>
          </w:tcPr>
          <w:p w14:paraId="2F07F0EF" w14:textId="41BFC593" w:rsidR="00D94808" w:rsidRPr="009D4CD4" w:rsidRDefault="00D94808" w:rsidP="00D94808">
            <w:pPr>
              <w:spacing w:after="0" w:line="240" w:lineRule="auto"/>
              <w:jc w:val="left"/>
              <w:rPr>
                <w:rFonts w:cs="Arial"/>
                <w:sz w:val="16"/>
                <w:szCs w:val="16"/>
              </w:rPr>
            </w:pPr>
            <w:r w:rsidRPr="009D4CD4">
              <w:rPr>
                <w:rFonts w:cs="Arial"/>
                <w:sz w:val="16"/>
                <w:szCs w:val="16"/>
              </w:rPr>
              <w:t>565 (29.14%)</w:t>
            </w:r>
          </w:p>
        </w:tc>
        <w:tc>
          <w:tcPr>
            <w:tcW w:w="1276" w:type="dxa"/>
            <w:tcBorders>
              <w:bottom w:val="single" w:sz="4" w:space="0" w:color="auto"/>
            </w:tcBorders>
          </w:tcPr>
          <w:p w14:paraId="5EB2DBDC" w14:textId="553B6E66" w:rsidR="00D94808" w:rsidRPr="009D4CD4" w:rsidRDefault="00D94808" w:rsidP="00D94808">
            <w:pPr>
              <w:spacing w:after="0" w:line="240" w:lineRule="auto"/>
              <w:jc w:val="left"/>
              <w:rPr>
                <w:rFonts w:cs="Arial"/>
                <w:sz w:val="16"/>
                <w:szCs w:val="16"/>
              </w:rPr>
            </w:pPr>
            <w:r w:rsidRPr="009D4CD4">
              <w:rPr>
                <w:rFonts w:cs="Arial"/>
                <w:sz w:val="16"/>
                <w:szCs w:val="16"/>
              </w:rPr>
              <w:t>559 (28,55%)</w:t>
            </w:r>
          </w:p>
        </w:tc>
      </w:tr>
    </w:tbl>
    <w:p w14:paraId="16EE5C9B" w14:textId="77777777" w:rsidR="00B72A61" w:rsidRPr="009D4CD4" w:rsidRDefault="00B72A61" w:rsidP="00B72A61">
      <w:pPr>
        <w:spacing w:after="0" w:line="240" w:lineRule="auto"/>
        <w:jc w:val="left"/>
      </w:pPr>
    </w:p>
    <w:p w14:paraId="5163542A" w14:textId="5116102B" w:rsidR="00B72A61" w:rsidRPr="009D4CD4" w:rsidRDefault="00B72A61" w:rsidP="00F41917">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13126E1F" w14:textId="77777777" w:rsidR="005E2849" w:rsidRPr="009D4CD4" w:rsidRDefault="005E2849" w:rsidP="00B72A61">
      <w:pPr>
        <w:spacing w:after="0" w:line="240" w:lineRule="auto"/>
        <w:jc w:val="left"/>
        <w:rPr>
          <w:rFonts w:cs="Arial"/>
          <w:color w:val="FF0000"/>
        </w:rPr>
      </w:pPr>
    </w:p>
    <w:p w14:paraId="31756AE4" w14:textId="47A4A9C9" w:rsidR="00B72A61" w:rsidRPr="009D4CD4" w:rsidRDefault="00B72A61" w:rsidP="00B72A61">
      <w:pPr>
        <w:spacing w:after="0" w:line="240" w:lineRule="auto"/>
        <w:jc w:val="left"/>
        <w:rPr>
          <w:rFonts w:cs="Arial"/>
        </w:rPr>
      </w:pPr>
      <w:r w:rsidRPr="009D4CD4">
        <w:rPr>
          <w:rFonts w:cs="Arial"/>
        </w:rPr>
        <w:t>Le temps de travail s’articule autour de trois modèles. Dans les services des sites administratifs : horaires variables sur cinq jours sur la base de 39 heures ; dans les agences : horaires fixes sur 5 jours sur la base de 39 heures ; Forfaitisation de certains cadres sur la base de 206 jours annuels.</w:t>
      </w:r>
    </w:p>
    <w:p w14:paraId="00928553" w14:textId="77777777" w:rsidR="00B72A61" w:rsidRPr="009D4CD4" w:rsidRDefault="00B72A61" w:rsidP="00B72A61">
      <w:pPr>
        <w:spacing w:after="0" w:line="240" w:lineRule="auto"/>
        <w:jc w:val="left"/>
      </w:pPr>
    </w:p>
    <w:p w14:paraId="10116220" w14:textId="0ABFF3D4" w:rsidR="00B72A61" w:rsidRPr="009D4CD4" w:rsidRDefault="00B72A61" w:rsidP="00B72A61">
      <w:pPr>
        <w:spacing w:after="0" w:line="240" w:lineRule="auto"/>
        <w:jc w:val="left"/>
        <w:rPr>
          <w:rFonts w:cs="Arial"/>
        </w:rPr>
      </w:pPr>
      <w:r w:rsidRPr="009D4CD4">
        <w:rPr>
          <w:rFonts w:cs="Arial"/>
        </w:rPr>
        <w:t xml:space="preserve">Tous les postes sont pourvus par des salariés en contrat à durée indéterminée. Les absences pour maternité, maladie, congé parental, congé sans solde, sont temporairement compensées par des salariés en contrat à durée déterminée. La </w:t>
      </w:r>
      <w:r w:rsidR="00A7717F">
        <w:rPr>
          <w:rFonts w:cs="Arial"/>
        </w:rPr>
        <w:t>Caisse Régionale</w:t>
      </w:r>
      <w:r w:rsidRPr="009D4CD4">
        <w:rPr>
          <w:rFonts w:cs="Arial"/>
        </w:rPr>
        <w:t xml:space="preserve"> poursuit sa politique de recrutement, principalement dans les agences. La majorité des collaborateurs embauchés provient du territoire de la </w:t>
      </w:r>
      <w:r w:rsidR="00A7717F">
        <w:rPr>
          <w:rFonts w:cs="Arial"/>
        </w:rPr>
        <w:t>Caisse Régionale</w:t>
      </w:r>
      <w:r w:rsidRPr="009D4CD4">
        <w:rPr>
          <w:rFonts w:cs="Arial"/>
        </w:rPr>
        <w:t>. La revalorisation des salaires fait l'objet d'une double négociation avec les partenaires sociaux, au niveau de la branche et de l’entreprise.</w:t>
      </w:r>
    </w:p>
    <w:p w14:paraId="05EE161C" w14:textId="77777777" w:rsidR="00B72A61" w:rsidRPr="009D4CD4" w:rsidRDefault="00B72A61" w:rsidP="00B72A61">
      <w:pPr>
        <w:spacing w:after="0" w:line="240" w:lineRule="auto"/>
        <w:jc w:val="left"/>
        <w:rPr>
          <w:rFonts w:cs="Arial"/>
        </w:rPr>
      </w:pPr>
    </w:p>
    <w:p w14:paraId="115459EC" w14:textId="77777777" w:rsidR="00687453" w:rsidRPr="009D4CD4" w:rsidRDefault="00687453" w:rsidP="00687453">
      <w:pPr>
        <w:spacing w:after="0" w:line="240" w:lineRule="auto"/>
        <w:jc w:val="left"/>
        <w:rPr>
          <w:rFonts w:cs="Arial"/>
        </w:rPr>
      </w:pPr>
      <w:r w:rsidRPr="009D4CD4">
        <w:rPr>
          <w:rFonts w:cs="Arial"/>
        </w:rPr>
        <w:t xml:space="preserve">Le CANMP décline un dispositif d’actions en faveur des personnes de 18 à 30 ans à la recherche d’un emploi. En partenariat avec la plateforme Wizbii, des évènements de type « job dating » sont organisés au cours desquels de jeunes candidats à l’emploi rencontrent des entreprises locales dans des conditions conviviales. Parallèlement, des offres d’emploi ou de stages du Crédit Agricole sont en ligne sur </w:t>
      </w:r>
      <w:hyperlink r:id="rId18" w:history="1">
        <w:r w:rsidRPr="009D4CD4">
          <w:rPr>
            <w:rFonts w:cs="Arial"/>
          </w:rPr>
          <w:t>wizbii.fr</w:t>
        </w:r>
      </w:hyperlink>
      <w:r w:rsidRPr="009D4CD4">
        <w:rPr>
          <w:rFonts w:cs="Arial"/>
        </w:rPr>
        <w:t>.</w:t>
      </w:r>
    </w:p>
    <w:p w14:paraId="6C0A6E27" w14:textId="28E31EAC" w:rsidR="00687453" w:rsidRPr="009D4CD4" w:rsidRDefault="00687453" w:rsidP="00687453">
      <w:pPr>
        <w:spacing w:after="0" w:line="240" w:lineRule="auto"/>
        <w:jc w:val="left"/>
        <w:rPr>
          <w:rFonts w:cs="Arial"/>
        </w:rPr>
      </w:pPr>
      <w:r w:rsidRPr="009D4CD4">
        <w:rPr>
          <w:rFonts w:cs="Arial"/>
        </w:rPr>
        <w:t xml:space="preserve">En 2021, 27 actions ont été menées sur le territoire malgré la situation sanitaire. Le CANMP a participé à 4 salons de recrutement organisés par les Pole-Emploi, ainsi qu’au salon </w:t>
      </w:r>
      <w:r w:rsidR="00680A75">
        <w:rPr>
          <w:rFonts w:cs="Arial"/>
        </w:rPr>
        <w:t>en ligne Hello Handicap dédié</w:t>
      </w:r>
      <w:r w:rsidRPr="009D4CD4">
        <w:rPr>
          <w:rFonts w:cs="Arial"/>
        </w:rPr>
        <w:t xml:space="preserve"> aux travailleurs en situation de handicap, de même qu’aux Job Dating et Stage dating organisés par les universités.</w:t>
      </w:r>
    </w:p>
    <w:p w14:paraId="6730C095" w14:textId="478AED6D" w:rsidR="00687453" w:rsidRPr="009D4CD4" w:rsidRDefault="00687453" w:rsidP="00687453">
      <w:pPr>
        <w:spacing w:after="0" w:line="240" w:lineRule="auto"/>
        <w:jc w:val="left"/>
        <w:rPr>
          <w:rFonts w:cs="Arial"/>
        </w:rPr>
      </w:pPr>
      <w:r w:rsidRPr="009D4CD4">
        <w:rPr>
          <w:rFonts w:cs="Arial"/>
        </w:rPr>
        <w:t>Des jobs dating ont été réalisé</w:t>
      </w:r>
      <w:r w:rsidR="00680A75">
        <w:rPr>
          <w:rFonts w:cs="Arial"/>
        </w:rPr>
        <w:t>s</w:t>
      </w:r>
      <w:r w:rsidRPr="009D4CD4">
        <w:rPr>
          <w:rFonts w:cs="Arial"/>
        </w:rPr>
        <w:t xml:space="preserve"> en distanciel pour le recrutement de 65 nouveaux alternants pour l’année 2021 : 36 licences, 14 Masters 1, 15 Masters siège et poursuite d’étude Master de M1 à M2 de 11 Master</w:t>
      </w:r>
      <w:r w:rsidR="00723FDA">
        <w:rPr>
          <w:rFonts w:cs="Arial"/>
        </w:rPr>
        <w:t>s</w:t>
      </w:r>
      <w:r w:rsidRPr="009D4CD4">
        <w:rPr>
          <w:rFonts w:cs="Arial"/>
        </w:rPr>
        <w:t xml:space="preserve"> Réseau et 7 Master</w:t>
      </w:r>
      <w:r w:rsidR="00723FDA">
        <w:rPr>
          <w:rFonts w:cs="Arial"/>
        </w:rPr>
        <w:t>s</w:t>
      </w:r>
      <w:r w:rsidRPr="009D4CD4">
        <w:rPr>
          <w:rFonts w:cs="Arial"/>
        </w:rPr>
        <w:t xml:space="preserve"> siège.</w:t>
      </w:r>
    </w:p>
    <w:p w14:paraId="7B29FF36" w14:textId="77777777" w:rsidR="005838E3" w:rsidRPr="009D4CD4" w:rsidRDefault="005838E3" w:rsidP="00B72A61">
      <w:pPr>
        <w:spacing w:after="0" w:line="240" w:lineRule="auto"/>
        <w:jc w:val="left"/>
        <w:rPr>
          <w:rFonts w:cs="Arial"/>
        </w:rPr>
      </w:pPr>
    </w:p>
    <w:p w14:paraId="23E59930" w14:textId="77777777" w:rsidR="0097295D" w:rsidRPr="009D4CD4" w:rsidRDefault="0097295D" w:rsidP="0097295D">
      <w:pPr>
        <w:spacing w:after="0" w:line="240" w:lineRule="auto"/>
        <w:jc w:val="left"/>
        <w:rPr>
          <w:rFonts w:cs="Arial"/>
        </w:rPr>
      </w:pPr>
      <w:r w:rsidRPr="009D4CD4">
        <w:rPr>
          <w:rFonts w:cs="Arial"/>
        </w:rPr>
        <w:t>Les salariés en CDI bénéficient d’un entretien d’appréciation annuel avec leur responsable hiérarchique direct, permettant l’évaluation des activités liées au métier. A l’issue de l’entretien, le responsable complète en ligne un formulaire qui retrace les échanges intervenus. S’il le souhaite, le salarié peut ajouter un commentaire ou indiquer que la retranscription est conforme à l’essentiel des échanges. Il peut également demander un entretien complémentaire avec le n+2 ou avec un représentant de la DRH. Une fois complété et signé, le formulaire est validé et signé par les responsables n+1 et n+2. A tout moment, le formulaire est consultable dans l’espace personnel du salarié, de même que les anciens entretiens. Par ailleurs, lors de cet entretien un point particulier est réalisé avec les salariés dont le travail est décompté en jours afin de s’assurer du suivi régulier</w:t>
      </w:r>
      <w:r w:rsidRPr="009D4CD4">
        <w:t xml:space="preserve"> et périodique de l’application du forfait, de la charge de travail, de l’organisation de travail au sein de l'entreprise ainsi que de l'articulation entre la vie professionnelle/personnelle et de la rémunération du salarié. Enfin ce moment d’échange permet d’aborder plus spécifiquement le droit à la déconnexion et la réalité de celui-ci.</w:t>
      </w:r>
      <w:r w:rsidRPr="009D4CD4">
        <w:rPr>
          <w:rFonts w:cs="Arial"/>
        </w:rPr>
        <w:br/>
      </w:r>
    </w:p>
    <w:p w14:paraId="3A328707" w14:textId="5057D4A9" w:rsidR="0097295D" w:rsidRPr="009D4CD4" w:rsidRDefault="0097295D" w:rsidP="0097295D">
      <w:pPr>
        <w:spacing w:after="0" w:line="240" w:lineRule="auto"/>
        <w:jc w:val="left"/>
        <w:rPr>
          <w:rFonts w:cs="Arial"/>
        </w:rPr>
      </w:pPr>
      <w:r w:rsidRPr="009D4CD4">
        <w:rPr>
          <w:rFonts w:cs="Arial"/>
        </w:rPr>
        <w:t xml:space="preserve">L’entretien d’appréciation annuel est précédé de deux temps d’échanges intermédiaires entre le salarié et son responsable. Ces points d’étape permettent de faire un bilan de la période passée, d’établir les axes de progrès sur la période à venir et de bâtir en commun un plan d’accompagnement personnalisé. Comme pour l’entretien annuel, les points d’étapes font l’objet d’une saisie dans un formulaire en ligne par lequel le responsable évalue la compétence et la posture </w:t>
      </w:r>
      <w:r w:rsidR="00C81AD2" w:rsidRPr="009D4CD4">
        <w:rPr>
          <w:rFonts w:cs="Arial"/>
        </w:rPr>
        <w:t>du salarié. Il</w:t>
      </w:r>
      <w:r w:rsidRPr="009D4CD4">
        <w:rPr>
          <w:rFonts w:cs="Arial"/>
        </w:rPr>
        <w:t xml:space="preserve"> formule éventuellement une proposition de plan d’accompagnement. S’il le souhaite, le salarié peut ajouter un commentaire ou indiquer que la retranscription est conforme à l’essentiel des échanges.</w:t>
      </w:r>
    </w:p>
    <w:p w14:paraId="3F72E10C" w14:textId="77777777" w:rsidR="0097295D" w:rsidRPr="009D4CD4" w:rsidRDefault="0097295D" w:rsidP="0097295D">
      <w:pPr>
        <w:spacing w:after="0" w:line="240" w:lineRule="auto"/>
        <w:jc w:val="left"/>
        <w:rPr>
          <w:rFonts w:cs="Arial"/>
        </w:rPr>
      </w:pPr>
    </w:p>
    <w:p w14:paraId="35306A78" w14:textId="77777777" w:rsidR="0097295D" w:rsidRPr="009D4CD4" w:rsidRDefault="0097295D" w:rsidP="0097295D">
      <w:pPr>
        <w:spacing w:after="0" w:line="240" w:lineRule="auto"/>
        <w:jc w:val="left"/>
        <w:rPr>
          <w:rFonts w:cs="Arial"/>
        </w:rPr>
      </w:pPr>
      <w:r w:rsidRPr="009D4CD4">
        <w:rPr>
          <w:rFonts w:cs="Arial"/>
        </w:rPr>
        <w:t>Les salariés en CDI bénéficient chaque année d’un autre temps d’échanges avec le responsable : l’entretien professionnel. Trois objectifs sont poursuivis 1/ faire un point sur les évolutions professionnelles souhaitées, à court et à moyen terme 2/ faire un bilan sur les compétences acquises et à développer 3/ exprimer ses souhaits de formation. L’entretien professionnel permet au salarié de saisir les opportunités de diagnostic, de formation, d’orientations professionnelles proposées par l'entreprise. Comme pour l’entretien d’appréciation, le salarié complète en ligne un formulaire adressé par son responsable. S’il le souhaite, il peut faire un commentaire et préciser ses aspirations et motivations professionnelles.</w:t>
      </w:r>
    </w:p>
    <w:p w14:paraId="1D7140A8" w14:textId="77777777" w:rsidR="0097295D" w:rsidRPr="009D4CD4" w:rsidRDefault="0097295D" w:rsidP="0097295D">
      <w:pPr>
        <w:spacing w:after="0" w:line="240" w:lineRule="auto"/>
        <w:jc w:val="left"/>
        <w:rPr>
          <w:rFonts w:cs="Arial"/>
        </w:rPr>
      </w:pPr>
    </w:p>
    <w:p w14:paraId="1CCA3650" w14:textId="77777777" w:rsidR="0097295D" w:rsidRPr="009D4CD4" w:rsidRDefault="0097295D" w:rsidP="0097295D">
      <w:pPr>
        <w:spacing w:after="0" w:line="240" w:lineRule="auto"/>
        <w:jc w:val="left"/>
        <w:rPr>
          <w:rFonts w:cs="Arial"/>
        </w:rPr>
      </w:pPr>
      <w:r w:rsidRPr="009D4CD4">
        <w:rPr>
          <w:rFonts w:cs="Arial"/>
        </w:rPr>
        <w:t>Salariés et responsables ont à leur disposition des ressources en ligne leur permettant de préparer les entretiens d’appréciation et professionnel. Des ateliers permettent d’accompagner les responsables dans leur maîtrise de ces temps forts de la relation avec leurs collaborateurs.</w:t>
      </w:r>
    </w:p>
    <w:p w14:paraId="14926744" w14:textId="77777777" w:rsidR="0097295D" w:rsidRPr="009D4CD4" w:rsidRDefault="0097295D" w:rsidP="0097295D">
      <w:pPr>
        <w:spacing w:after="0" w:line="240" w:lineRule="auto"/>
        <w:jc w:val="left"/>
        <w:rPr>
          <w:rFonts w:cs="Arial"/>
        </w:rPr>
      </w:pPr>
    </w:p>
    <w:p w14:paraId="64AAFA5A" w14:textId="62795B75" w:rsidR="001B7882" w:rsidRPr="009D4CD4" w:rsidRDefault="0097295D" w:rsidP="0097295D">
      <w:pPr>
        <w:spacing w:after="0" w:line="240" w:lineRule="auto"/>
        <w:jc w:val="left"/>
        <w:rPr>
          <w:rFonts w:cs="Arial"/>
        </w:rPr>
      </w:pPr>
      <w:r w:rsidRPr="009D4CD4">
        <w:rPr>
          <w:rFonts w:cs="Arial"/>
        </w:rPr>
        <w:t>Enfin, conformément à la réglementation, l’entretien professionnel à 6 ans donne lieu à une analyse du parcours professionnel des salariés : formation suivies, certifications obtenues, changement d’affectation et de rémunération. Les formulaires d’entretiens professionnels réalisés sont consultables.</w:t>
      </w:r>
      <w:r w:rsidR="001B7882" w:rsidRPr="009D4CD4">
        <w:rPr>
          <w:rFonts w:cs="Arial"/>
        </w:rPr>
        <w:t xml:space="preserve"> </w:t>
      </w:r>
    </w:p>
    <w:p w14:paraId="0E534A7B" w14:textId="77777777" w:rsidR="009E5642" w:rsidRPr="009D4CD4" w:rsidRDefault="009E5642" w:rsidP="00B72A61">
      <w:pPr>
        <w:spacing w:after="0" w:line="240" w:lineRule="auto"/>
        <w:jc w:val="left"/>
        <w:rPr>
          <w:rFonts w:cs="Arial"/>
        </w:rPr>
      </w:pPr>
    </w:p>
    <w:p w14:paraId="79702BCC" w14:textId="634FC5CB" w:rsidR="00E53E45" w:rsidRPr="009D4CD4" w:rsidRDefault="00E53E45" w:rsidP="00E53E45">
      <w:pPr>
        <w:numPr>
          <w:ilvl w:val="0"/>
          <w:numId w:val="4"/>
        </w:numPr>
        <w:spacing w:after="0" w:line="240" w:lineRule="auto"/>
        <w:jc w:val="left"/>
        <w:rPr>
          <w:rFonts w:cs="Arial"/>
        </w:rPr>
      </w:pPr>
      <w:r w:rsidRPr="009D4CD4">
        <w:rPr>
          <w:rFonts w:cs="Arial"/>
        </w:rPr>
        <w:t>Les filiales Edokial et Inforsud Technologies</w:t>
      </w:r>
      <w:r w:rsidR="004D466B" w:rsidRPr="009D4CD4">
        <w:rPr>
          <w:rFonts w:cs="Arial"/>
        </w:rPr>
        <w:t xml:space="preserve"> (IST)</w:t>
      </w:r>
    </w:p>
    <w:p w14:paraId="07DCE5EA" w14:textId="1FA7C6F6" w:rsidR="00B72A61" w:rsidRPr="009D4CD4" w:rsidRDefault="00B72A61" w:rsidP="00B72A61">
      <w:pPr>
        <w:spacing w:after="0" w:line="240" w:lineRule="auto"/>
        <w:jc w:val="left"/>
        <w:rPr>
          <w:rFonts w:cs="Arial"/>
        </w:rPr>
      </w:pPr>
    </w:p>
    <w:p w14:paraId="01CF2EAE" w14:textId="77777777" w:rsidR="00D33326" w:rsidRPr="008920AB" w:rsidRDefault="00D33326" w:rsidP="008920AB">
      <w:pPr>
        <w:spacing w:after="0" w:line="240" w:lineRule="auto"/>
        <w:jc w:val="left"/>
        <w:rPr>
          <w:rFonts w:cs="Arial"/>
        </w:rPr>
      </w:pPr>
      <w:r w:rsidRPr="008920AB">
        <w:rPr>
          <w:rFonts w:cs="Arial"/>
        </w:rPr>
        <w:t xml:space="preserve">L’action sociale est développée sur 6 axes : </w:t>
      </w:r>
    </w:p>
    <w:p w14:paraId="043E8263" w14:textId="719A7390" w:rsidR="00D33326" w:rsidRPr="008920AB" w:rsidRDefault="00D33326" w:rsidP="008920AB">
      <w:pPr>
        <w:spacing w:after="0" w:line="240" w:lineRule="auto"/>
        <w:jc w:val="left"/>
        <w:rPr>
          <w:rFonts w:cs="Arial"/>
        </w:rPr>
      </w:pPr>
      <w:r w:rsidRPr="008920AB">
        <w:rPr>
          <w:rFonts w:cs="Arial"/>
        </w:rPr>
        <w:t>&gt; Couverture sociale des salariés, en particulier dans le domaine de la santé et de la prévoyance</w:t>
      </w:r>
    </w:p>
    <w:p w14:paraId="6D1CB3C8" w14:textId="22A6E0E8" w:rsidR="00D33326" w:rsidRPr="008920AB" w:rsidRDefault="00D33326" w:rsidP="008920AB">
      <w:pPr>
        <w:spacing w:after="0" w:line="240" w:lineRule="auto"/>
        <w:jc w:val="left"/>
        <w:rPr>
          <w:rFonts w:cs="Arial"/>
        </w:rPr>
      </w:pPr>
      <w:r w:rsidRPr="008920AB">
        <w:rPr>
          <w:rFonts w:cs="Arial"/>
        </w:rPr>
        <w:t>&gt; Evolution professionnelle, grâce à la formation et la promotion interne</w:t>
      </w:r>
    </w:p>
    <w:p w14:paraId="0129E9C0" w14:textId="7FE56867" w:rsidR="00D33326" w:rsidRPr="008920AB" w:rsidRDefault="00D33326" w:rsidP="008920AB">
      <w:pPr>
        <w:spacing w:after="0" w:line="240" w:lineRule="auto"/>
        <w:jc w:val="left"/>
        <w:rPr>
          <w:rFonts w:cs="Arial"/>
        </w:rPr>
      </w:pPr>
      <w:r w:rsidRPr="008920AB">
        <w:rPr>
          <w:rFonts w:cs="Arial"/>
        </w:rPr>
        <w:t>&gt; Insertion dans le tissu local (accueil d’alternants, de stagiaires ; participation aux structures de formation présente</w:t>
      </w:r>
      <w:r w:rsidR="00680A75" w:rsidRPr="008920AB">
        <w:rPr>
          <w:rFonts w:cs="Arial"/>
        </w:rPr>
        <w:t>s sur ses zones d’implantation)</w:t>
      </w:r>
    </w:p>
    <w:p w14:paraId="3FF916E2" w14:textId="3BE52AAA" w:rsidR="00D33326" w:rsidRPr="008920AB" w:rsidRDefault="00D33326" w:rsidP="008920AB">
      <w:pPr>
        <w:spacing w:after="0" w:line="240" w:lineRule="auto"/>
        <w:jc w:val="left"/>
        <w:rPr>
          <w:rFonts w:cs="Arial"/>
        </w:rPr>
      </w:pPr>
      <w:r w:rsidRPr="008920AB">
        <w:rPr>
          <w:rFonts w:cs="Arial"/>
        </w:rPr>
        <w:t>&gt; Détachement de formateurs et participation à des jurys d’ex</w:t>
      </w:r>
      <w:r w:rsidR="00680A75" w:rsidRPr="008920AB">
        <w:rPr>
          <w:rFonts w:cs="Arial"/>
        </w:rPr>
        <w:t>amen</w:t>
      </w:r>
    </w:p>
    <w:p w14:paraId="740F9C97" w14:textId="3BE89180" w:rsidR="00D33326" w:rsidRPr="008920AB" w:rsidRDefault="00D33326" w:rsidP="008920AB">
      <w:pPr>
        <w:spacing w:after="0" w:line="240" w:lineRule="auto"/>
        <w:jc w:val="left"/>
        <w:rPr>
          <w:rFonts w:cs="Arial"/>
        </w:rPr>
      </w:pPr>
      <w:r w:rsidRPr="008920AB">
        <w:rPr>
          <w:rFonts w:cs="Arial"/>
        </w:rPr>
        <w:t xml:space="preserve">&gt; </w:t>
      </w:r>
      <w:r w:rsidR="009606B1" w:rsidRPr="008920AB">
        <w:rPr>
          <w:rFonts w:cs="Arial"/>
        </w:rPr>
        <w:t>N</w:t>
      </w:r>
      <w:r w:rsidRPr="008920AB">
        <w:rPr>
          <w:rFonts w:cs="Arial"/>
        </w:rPr>
        <w:t>égociation collective annuelle obligatoire (NAO).</w:t>
      </w:r>
      <w:r w:rsidR="009606B1" w:rsidRPr="008920AB">
        <w:rPr>
          <w:rFonts w:cs="Arial"/>
        </w:rPr>
        <w:br/>
      </w:r>
    </w:p>
    <w:p w14:paraId="062A84A0" w14:textId="776D2F92" w:rsidR="009606B1" w:rsidRPr="008920AB" w:rsidRDefault="00D33326" w:rsidP="008920AB">
      <w:pPr>
        <w:spacing w:after="0" w:line="240" w:lineRule="auto"/>
        <w:jc w:val="left"/>
        <w:rPr>
          <w:rFonts w:cs="Arial"/>
        </w:rPr>
      </w:pPr>
      <w:r w:rsidRPr="008920AB">
        <w:rPr>
          <w:rFonts w:cs="Arial"/>
        </w:rPr>
        <w:t>Les accords 35</w:t>
      </w:r>
      <w:r w:rsidR="00680A75" w:rsidRPr="008920AB">
        <w:rPr>
          <w:rFonts w:cs="Arial"/>
        </w:rPr>
        <w:t xml:space="preserve"> </w:t>
      </w:r>
      <w:r w:rsidRPr="008920AB">
        <w:rPr>
          <w:rFonts w:cs="Arial"/>
        </w:rPr>
        <w:t>h</w:t>
      </w:r>
      <w:r w:rsidR="00680A75" w:rsidRPr="008920AB">
        <w:rPr>
          <w:rFonts w:cs="Arial"/>
        </w:rPr>
        <w:t>eures</w:t>
      </w:r>
      <w:r w:rsidRPr="008920AB">
        <w:rPr>
          <w:rFonts w:cs="Arial"/>
        </w:rPr>
        <w:t xml:space="preserve"> sont la base de l’organisation de travail</w:t>
      </w:r>
      <w:r w:rsidR="009606B1" w:rsidRPr="008920AB">
        <w:rPr>
          <w:rFonts w:cs="Arial"/>
        </w:rPr>
        <w:t>.</w:t>
      </w:r>
    </w:p>
    <w:p w14:paraId="15F73B14" w14:textId="18621774" w:rsidR="00D33326" w:rsidRPr="008920AB" w:rsidRDefault="00D33326" w:rsidP="008920AB">
      <w:pPr>
        <w:spacing w:after="0" w:line="240" w:lineRule="auto"/>
        <w:jc w:val="left"/>
        <w:rPr>
          <w:rFonts w:cs="Arial"/>
        </w:rPr>
      </w:pPr>
      <w:r w:rsidRPr="008920AB">
        <w:rPr>
          <w:rFonts w:cs="Arial"/>
        </w:rPr>
        <w:t xml:space="preserve"> </w:t>
      </w:r>
    </w:p>
    <w:p w14:paraId="48A2293C" w14:textId="3C578C49" w:rsidR="00D33326" w:rsidRPr="008920AB" w:rsidRDefault="00D33326" w:rsidP="008920AB">
      <w:pPr>
        <w:spacing w:after="0" w:line="240" w:lineRule="auto"/>
        <w:jc w:val="left"/>
        <w:rPr>
          <w:rFonts w:cs="Arial"/>
        </w:rPr>
      </w:pPr>
      <w:r w:rsidRPr="008920AB">
        <w:rPr>
          <w:rFonts w:cs="Arial"/>
        </w:rPr>
        <w:t xml:space="preserve">Les priorités en matière sociale s’articulent autour des axes suivants : </w:t>
      </w:r>
    </w:p>
    <w:p w14:paraId="1014BAC4" w14:textId="77777777" w:rsidR="00D33326" w:rsidRPr="008920AB" w:rsidRDefault="00D33326" w:rsidP="008920AB">
      <w:pPr>
        <w:spacing w:after="0" w:line="240" w:lineRule="auto"/>
        <w:jc w:val="left"/>
        <w:rPr>
          <w:rFonts w:cs="Arial"/>
        </w:rPr>
      </w:pPr>
      <w:r w:rsidRPr="008920AB">
        <w:rPr>
          <w:rFonts w:cs="Arial"/>
        </w:rPr>
        <w:t>&gt; Assurer une bonne intégration des collaborateurs,</w:t>
      </w:r>
    </w:p>
    <w:p w14:paraId="064DAE20" w14:textId="37B59F4C" w:rsidR="00D33326" w:rsidRPr="008920AB" w:rsidRDefault="00D33326" w:rsidP="008920AB">
      <w:pPr>
        <w:spacing w:after="0" w:line="240" w:lineRule="auto"/>
        <w:jc w:val="left"/>
        <w:rPr>
          <w:rFonts w:cs="Arial"/>
        </w:rPr>
      </w:pPr>
      <w:r w:rsidRPr="008920AB">
        <w:rPr>
          <w:rFonts w:cs="Arial"/>
        </w:rPr>
        <w:t xml:space="preserve">&gt; Construire des parcours d’évolution adaptés à leurs </w:t>
      </w:r>
      <w:r w:rsidR="009606B1" w:rsidRPr="008920AB">
        <w:rPr>
          <w:rFonts w:cs="Arial"/>
        </w:rPr>
        <w:t>besoins</w:t>
      </w:r>
      <w:r w:rsidRPr="008920AB">
        <w:rPr>
          <w:rFonts w:cs="Arial"/>
        </w:rPr>
        <w:t>.</w:t>
      </w:r>
    </w:p>
    <w:p w14:paraId="6D1DA896" w14:textId="77777777" w:rsidR="00D33326" w:rsidRPr="008920AB" w:rsidRDefault="00D33326" w:rsidP="008920AB">
      <w:pPr>
        <w:spacing w:after="0" w:line="240" w:lineRule="auto"/>
        <w:jc w:val="left"/>
        <w:rPr>
          <w:rFonts w:cs="Arial"/>
        </w:rPr>
      </w:pPr>
    </w:p>
    <w:p w14:paraId="25D96DB7" w14:textId="77777777" w:rsidR="00D33326" w:rsidRPr="009D4CD4" w:rsidRDefault="00D33326" w:rsidP="00D33326">
      <w:pPr>
        <w:spacing w:after="0" w:line="240" w:lineRule="auto"/>
      </w:pPr>
      <w:r w:rsidRPr="009D4CD4">
        <w:t xml:space="preserve">Des outils sont mis en œuvre pour atteindre ces objectifs : </w:t>
      </w:r>
    </w:p>
    <w:p w14:paraId="2152DCA0" w14:textId="77777777" w:rsidR="00D33326" w:rsidRPr="009D4CD4" w:rsidRDefault="00D33326" w:rsidP="00D33326">
      <w:pPr>
        <w:spacing w:after="0" w:line="240" w:lineRule="auto"/>
      </w:pPr>
      <w:r w:rsidRPr="009D4CD4">
        <w:t xml:space="preserve">&gt; Le Parcours Cadre/Manager. Il s’agit d’un moment privilégié pour construire un sentiment d’appartenance, créer les conditions de partage des valeurs de l’entreprise, s’assurer de la bonne compréhension de la mission et de la stratégie de l’entreprise, le tout dans une relation de confiance. </w:t>
      </w:r>
    </w:p>
    <w:p w14:paraId="650C8A31" w14:textId="77777777" w:rsidR="00D33326" w:rsidRPr="009D4CD4" w:rsidRDefault="00D33326" w:rsidP="00D33326">
      <w:pPr>
        <w:spacing w:after="0" w:line="240" w:lineRule="auto"/>
      </w:pPr>
      <w:r w:rsidRPr="009D4CD4">
        <w:t xml:space="preserve">&gt; Le Parcours d’intégration. Des rendez-vous planifiés permettent d’ajuster l’intégration des nouveaux embauchés en cas de difficultés, d’éviter d’éventuelles dérives, de maintenir le niveau de motivation et de dispenser des informations ou formations nécessaires. </w:t>
      </w:r>
    </w:p>
    <w:p w14:paraId="43CEF2C9" w14:textId="045395BC" w:rsidR="00E53E45" w:rsidRPr="009D4CD4" w:rsidRDefault="009606B1" w:rsidP="00E53E45">
      <w:pPr>
        <w:spacing w:after="0" w:line="240" w:lineRule="auto"/>
        <w:jc w:val="left"/>
      </w:pPr>
      <w:r w:rsidRPr="009D4CD4">
        <w:t>&gt; G</w:t>
      </w:r>
      <w:r w:rsidR="00D33326" w:rsidRPr="009D4CD4">
        <w:t>estion prévisionnelle</w:t>
      </w:r>
      <w:r w:rsidRPr="009D4CD4">
        <w:t xml:space="preserve"> des emplois et des compétences</w:t>
      </w:r>
      <w:r w:rsidR="00680A75">
        <w:t>.</w:t>
      </w:r>
    </w:p>
    <w:p w14:paraId="527B7969" w14:textId="77777777" w:rsidR="009606B1" w:rsidRPr="009D4CD4" w:rsidRDefault="009606B1" w:rsidP="00E53E45">
      <w:pPr>
        <w:spacing w:after="0" w:line="240" w:lineRule="auto"/>
        <w:jc w:val="left"/>
        <w:rPr>
          <w:rFonts w:cs="Arial"/>
        </w:rPr>
      </w:pPr>
    </w:p>
    <w:p w14:paraId="23B87AE7" w14:textId="77777777" w:rsidR="00B72A61" w:rsidRPr="009D4CD4" w:rsidRDefault="00B72A61" w:rsidP="00B72A61">
      <w:pPr>
        <w:spacing w:after="0" w:line="240" w:lineRule="auto"/>
        <w:jc w:val="left"/>
        <w:rPr>
          <w:rFonts w:cs="Arial"/>
        </w:rPr>
      </w:pPr>
    </w:p>
    <w:p w14:paraId="774FC0FD" w14:textId="7BEA02B9" w:rsidR="00B72A61" w:rsidRPr="009D4CD4" w:rsidRDefault="00B72A61" w:rsidP="00326D6D">
      <w:pPr>
        <w:pStyle w:val="Titre3"/>
      </w:pPr>
      <w:bookmarkStart w:id="105" w:name="_Toc32416035"/>
      <w:bookmarkStart w:id="106" w:name="_Toc59444711"/>
      <w:bookmarkStart w:id="107" w:name="_Toc96698021"/>
      <w:r w:rsidRPr="009D4CD4">
        <w:t>Entretenir le dialogue social</w:t>
      </w:r>
      <w:bookmarkEnd w:id="105"/>
      <w:bookmarkEnd w:id="106"/>
      <w:bookmarkEnd w:id="107"/>
    </w:p>
    <w:p w14:paraId="49AB9847" w14:textId="77777777" w:rsidR="00B72A61" w:rsidRPr="009D4CD4" w:rsidRDefault="00B72A61" w:rsidP="00B72A61">
      <w:pPr>
        <w:spacing w:after="0" w:line="240" w:lineRule="auto"/>
        <w:jc w:val="left"/>
        <w:rPr>
          <w:rFonts w:cs="Arial"/>
        </w:rPr>
      </w:pPr>
    </w:p>
    <w:tbl>
      <w:tblPr>
        <w:tblW w:w="10278" w:type="dxa"/>
        <w:tblInd w:w="65" w:type="dxa"/>
        <w:tblCellMar>
          <w:left w:w="70" w:type="dxa"/>
          <w:right w:w="70" w:type="dxa"/>
        </w:tblCellMar>
        <w:tblLook w:val="04A0" w:firstRow="1" w:lastRow="0" w:firstColumn="1" w:lastColumn="0" w:noHBand="0" w:noVBand="1"/>
      </w:tblPr>
      <w:tblGrid>
        <w:gridCol w:w="4754"/>
        <w:gridCol w:w="769"/>
        <w:gridCol w:w="796"/>
        <w:gridCol w:w="769"/>
        <w:gridCol w:w="755"/>
        <w:gridCol w:w="792"/>
        <w:gridCol w:w="793"/>
        <w:gridCol w:w="850"/>
      </w:tblGrid>
      <w:tr w:rsidR="00AD300A" w:rsidRPr="009D4CD4" w14:paraId="665041B3" w14:textId="77777777" w:rsidTr="00AD300A">
        <w:trPr>
          <w:trHeight w:hRule="exact" w:val="284"/>
        </w:trPr>
        <w:tc>
          <w:tcPr>
            <w:tcW w:w="4754" w:type="dxa"/>
            <w:tcBorders>
              <w:top w:val="nil"/>
              <w:left w:val="nil"/>
              <w:bottom w:val="nil"/>
              <w:right w:val="nil"/>
            </w:tcBorders>
            <w:shd w:val="clear" w:color="auto" w:fill="auto"/>
            <w:vAlign w:val="center"/>
            <w:hideMark/>
          </w:tcPr>
          <w:p w14:paraId="56FDCB0F" w14:textId="77777777" w:rsidR="00AD300A" w:rsidRPr="009D4CD4" w:rsidRDefault="00AD300A" w:rsidP="002D0015">
            <w:pPr>
              <w:spacing w:after="0" w:line="240" w:lineRule="auto"/>
              <w:ind w:firstLineChars="100" w:firstLine="220"/>
              <w:jc w:val="left"/>
              <w:rPr>
                <w:rFonts w:eastAsia="Times New Roman"/>
                <w:b/>
                <w:bCs/>
                <w:i/>
                <w:iCs/>
                <w:lang w:eastAsia="fr-FR"/>
              </w:rPr>
            </w:pPr>
            <w:r w:rsidRPr="009D4CD4">
              <w:rPr>
                <w:rFonts w:asciiTheme="minorHAnsi" w:hAnsiTheme="minorHAnsi" w:cs="Arial"/>
                <w:b/>
                <w:i/>
              </w:rPr>
              <w:t>Les chiffres - clé</w:t>
            </w:r>
          </w:p>
        </w:tc>
        <w:tc>
          <w:tcPr>
            <w:tcW w:w="769" w:type="dxa"/>
            <w:tcBorders>
              <w:top w:val="single" w:sz="4" w:space="0" w:color="auto"/>
              <w:left w:val="single" w:sz="4" w:space="0" w:color="auto"/>
              <w:bottom w:val="single" w:sz="4" w:space="0" w:color="auto"/>
              <w:right w:val="nil"/>
            </w:tcBorders>
            <w:shd w:val="clear" w:color="auto" w:fill="auto"/>
            <w:vAlign w:val="center"/>
            <w:hideMark/>
          </w:tcPr>
          <w:p w14:paraId="6163F489" w14:textId="77777777" w:rsidR="00AD300A" w:rsidRPr="009D4CD4" w:rsidRDefault="00AD300A"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NMP</w:t>
            </w:r>
          </w:p>
        </w:tc>
        <w:tc>
          <w:tcPr>
            <w:tcW w:w="796" w:type="dxa"/>
            <w:tcBorders>
              <w:top w:val="single" w:sz="4" w:space="0" w:color="auto"/>
              <w:left w:val="nil"/>
              <w:bottom w:val="single" w:sz="4" w:space="0" w:color="auto"/>
              <w:right w:val="nil"/>
            </w:tcBorders>
            <w:shd w:val="clear" w:color="auto" w:fill="auto"/>
            <w:vAlign w:val="center"/>
            <w:hideMark/>
          </w:tcPr>
          <w:p w14:paraId="52A90FCC" w14:textId="77777777" w:rsidR="00AD300A" w:rsidRPr="009D4CD4" w:rsidRDefault="00AD300A"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 </w:t>
            </w:r>
          </w:p>
        </w:tc>
        <w:tc>
          <w:tcPr>
            <w:tcW w:w="769" w:type="dxa"/>
            <w:tcBorders>
              <w:top w:val="single" w:sz="4" w:space="0" w:color="auto"/>
              <w:left w:val="nil"/>
              <w:bottom w:val="single" w:sz="4" w:space="0" w:color="auto"/>
              <w:right w:val="single" w:sz="4" w:space="0" w:color="auto"/>
            </w:tcBorders>
            <w:shd w:val="clear" w:color="auto" w:fill="auto"/>
            <w:vAlign w:val="center"/>
            <w:hideMark/>
          </w:tcPr>
          <w:p w14:paraId="3ACFF1C2" w14:textId="77777777" w:rsidR="00AD300A" w:rsidRPr="009D4CD4" w:rsidRDefault="00AD300A"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 </w:t>
            </w:r>
          </w:p>
        </w:tc>
        <w:tc>
          <w:tcPr>
            <w:tcW w:w="755" w:type="dxa"/>
            <w:tcBorders>
              <w:top w:val="single" w:sz="4" w:space="0" w:color="auto"/>
              <w:left w:val="single" w:sz="4" w:space="0" w:color="auto"/>
              <w:bottom w:val="single" w:sz="4" w:space="0" w:color="auto"/>
              <w:right w:val="nil"/>
            </w:tcBorders>
            <w:shd w:val="clear" w:color="auto" w:fill="auto"/>
            <w:vAlign w:val="center"/>
            <w:hideMark/>
          </w:tcPr>
          <w:p w14:paraId="567A617D" w14:textId="77777777" w:rsidR="00AD300A" w:rsidRPr="009D4CD4" w:rsidRDefault="00AD300A"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IS</w:t>
            </w:r>
          </w:p>
        </w:tc>
        <w:tc>
          <w:tcPr>
            <w:tcW w:w="792" w:type="dxa"/>
            <w:tcBorders>
              <w:top w:val="single" w:sz="4" w:space="0" w:color="auto"/>
              <w:left w:val="nil"/>
              <w:bottom w:val="single" w:sz="4" w:space="0" w:color="auto"/>
              <w:right w:val="nil"/>
            </w:tcBorders>
          </w:tcPr>
          <w:p w14:paraId="13D82BE2" w14:textId="77777777" w:rsidR="00AD300A" w:rsidRPr="009D4CD4" w:rsidRDefault="00AD300A" w:rsidP="00523615">
            <w:pPr>
              <w:spacing w:after="0" w:line="240" w:lineRule="auto"/>
              <w:jc w:val="left"/>
              <w:rPr>
                <w:rFonts w:eastAsia="Times New Roman"/>
                <w:b/>
                <w:bCs/>
                <w:sz w:val="16"/>
                <w:szCs w:val="16"/>
                <w:lang w:eastAsia="fr-FR"/>
              </w:rPr>
            </w:pPr>
          </w:p>
        </w:tc>
        <w:tc>
          <w:tcPr>
            <w:tcW w:w="793" w:type="dxa"/>
            <w:tcBorders>
              <w:top w:val="single" w:sz="4" w:space="0" w:color="auto"/>
              <w:left w:val="nil"/>
              <w:bottom w:val="single" w:sz="4" w:space="0" w:color="auto"/>
              <w:right w:val="nil"/>
            </w:tcBorders>
            <w:shd w:val="clear" w:color="auto" w:fill="auto"/>
            <w:vAlign w:val="center"/>
            <w:hideMark/>
          </w:tcPr>
          <w:p w14:paraId="2FFAD339" w14:textId="0438D88C" w:rsidR="00AD300A" w:rsidRPr="009D4CD4" w:rsidRDefault="00AD300A"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4486113E" w14:textId="77777777" w:rsidR="00AD300A" w:rsidRPr="009D4CD4" w:rsidRDefault="00AD300A"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 </w:t>
            </w:r>
          </w:p>
        </w:tc>
      </w:tr>
      <w:tr w:rsidR="00AD300A" w:rsidRPr="009D4CD4" w14:paraId="3A52A389" w14:textId="77777777" w:rsidTr="00AD300A">
        <w:trPr>
          <w:trHeight w:hRule="exact" w:val="284"/>
        </w:trPr>
        <w:tc>
          <w:tcPr>
            <w:tcW w:w="4754" w:type="dxa"/>
            <w:tcBorders>
              <w:top w:val="nil"/>
              <w:left w:val="nil"/>
              <w:bottom w:val="nil"/>
              <w:right w:val="nil"/>
            </w:tcBorders>
            <w:shd w:val="clear" w:color="auto" w:fill="auto"/>
            <w:vAlign w:val="center"/>
            <w:hideMark/>
          </w:tcPr>
          <w:p w14:paraId="2FF5697D" w14:textId="77777777" w:rsidR="00AD300A" w:rsidRPr="009D4CD4" w:rsidRDefault="00AD300A" w:rsidP="00D94808">
            <w:pPr>
              <w:spacing w:after="0" w:line="240" w:lineRule="auto"/>
              <w:jc w:val="left"/>
              <w:rPr>
                <w:rFonts w:eastAsia="Times New Roman"/>
                <w:b/>
                <w:bCs/>
                <w:sz w:val="16"/>
                <w:szCs w:val="16"/>
                <w:lang w:eastAsia="fr-FR"/>
              </w:rPr>
            </w:pPr>
          </w:p>
        </w:tc>
        <w:tc>
          <w:tcPr>
            <w:tcW w:w="769" w:type="dxa"/>
            <w:tcBorders>
              <w:top w:val="nil"/>
              <w:left w:val="single" w:sz="4" w:space="0" w:color="auto"/>
              <w:bottom w:val="single" w:sz="4" w:space="0" w:color="auto"/>
              <w:right w:val="single" w:sz="4" w:space="0" w:color="auto"/>
            </w:tcBorders>
            <w:shd w:val="clear" w:color="auto" w:fill="auto"/>
            <w:vAlign w:val="center"/>
          </w:tcPr>
          <w:p w14:paraId="74DCA4BE" w14:textId="2F38C9A1" w:rsidR="00AD300A" w:rsidRPr="009D4CD4" w:rsidRDefault="00AD300A" w:rsidP="00D94808">
            <w:pPr>
              <w:spacing w:after="0" w:line="240" w:lineRule="auto"/>
              <w:jc w:val="left"/>
              <w:rPr>
                <w:rFonts w:eastAsia="Times New Roman"/>
                <w:b/>
                <w:bCs/>
                <w:sz w:val="16"/>
                <w:szCs w:val="16"/>
                <w:lang w:eastAsia="fr-FR"/>
              </w:rPr>
            </w:pPr>
            <w:r w:rsidRPr="009D4CD4">
              <w:rPr>
                <w:rFonts w:eastAsia="Times New Roman"/>
                <w:b/>
                <w:bCs/>
                <w:sz w:val="16"/>
                <w:szCs w:val="16"/>
                <w:lang w:eastAsia="fr-FR"/>
              </w:rPr>
              <w:t>2021</w:t>
            </w:r>
          </w:p>
        </w:tc>
        <w:tc>
          <w:tcPr>
            <w:tcW w:w="796" w:type="dxa"/>
            <w:tcBorders>
              <w:top w:val="nil"/>
              <w:left w:val="nil"/>
              <w:bottom w:val="single" w:sz="4" w:space="0" w:color="auto"/>
              <w:right w:val="single" w:sz="4" w:space="0" w:color="auto"/>
            </w:tcBorders>
            <w:shd w:val="clear" w:color="auto" w:fill="auto"/>
            <w:vAlign w:val="center"/>
          </w:tcPr>
          <w:p w14:paraId="4FA9000A" w14:textId="0F3B715F" w:rsidR="00AD300A" w:rsidRPr="009D4CD4" w:rsidRDefault="00AD300A" w:rsidP="00D94808">
            <w:pPr>
              <w:spacing w:after="0" w:line="240" w:lineRule="auto"/>
              <w:jc w:val="left"/>
              <w:rPr>
                <w:rFonts w:eastAsia="Times New Roman"/>
                <w:b/>
                <w:bCs/>
                <w:sz w:val="16"/>
                <w:szCs w:val="16"/>
                <w:lang w:eastAsia="fr-FR"/>
              </w:rPr>
            </w:pPr>
            <w:r w:rsidRPr="009D4CD4">
              <w:rPr>
                <w:rFonts w:eastAsia="Times New Roman"/>
                <w:b/>
                <w:bCs/>
                <w:sz w:val="16"/>
                <w:szCs w:val="16"/>
                <w:lang w:eastAsia="fr-FR"/>
              </w:rPr>
              <w:t>2020</w:t>
            </w:r>
          </w:p>
        </w:tc>
        <w:tc>
          <w:tcPr>
            <w:tcW w:w="769" w:type="dxa"/>
            <w:tcBorders>
              <w:top w:val="nil"/>
              <w:left w:val="nil"/>
              <w:bottom w:val="single" w:sz="4" w:space="0" w:color="auto"/>
              <w:right w:val="single" w:sz="4" w:space="0" w:color="auto"/>
            </w:tcBorders>
            <w:shd w:val="clear" w:color="auto" w:fill="auto"/>
            <w:vAlign w:val="center"/>
            <w:hideMark/>
          </w:tcPr>
          <w:p w14:paraId="21735295" w14:textId="197A5400" w:rsidR="00AD300A" w:rsidRPr="009D4CD4" w:rsidRDefault="00AD300A" w:rsidP="00D94808">
            <w:pPr>
              <w:spacing w:after="0" w:line="240" w:lineRule="auto"/>
              <w:jc w:val="left"/>
              <w:rPr>
                <w:rFonts w:eastAsia="Times New Roman"/>
                <w:b/>
                <w:bCs/>
                <w:sz w:val="16"/>
                <w:szCs w:val="16"/>
                <w:lang w:eastAsia="fr-FR"/>
              </w:rPr>
            </w:pPr>
            <w:r w:rsidRPr="009D4CD4">
              <w:rPr>
                <w:rFonts w:eastAsia="Times New Roman"/>
                <w:b/>
                <w:bCs/>
                <w:sz w:val="16"/>
                <w:szCs w:val="16"/>
                <w:lang w:eastAsia="fr-FR"/>
              </w:rPr>
              <w:t>2019</w:t>
            </w:r>
          </w:p>
        </w:tc>
        <w:tc>
          <w:tcPr>
            <w:tcW w:w="755" w:type="dxa"/>
            <w:tcBorders>
              <w:top w:val="nil"/>
              <w:left w:val="single" w:sz="4" w:space="0" w:color="auto"/>
              <w:bottom w:val="single" w:sz="4" w:space="0" w:color="auto"/>
              <w:right w:val="single" w:sz="4" w:space="0" w:color="auto"/>
            </w:tcBorders>
            <w:shd w:val="clear" w:color="auto" w:fill="auto"/>
            <w:vAlign w:val="center"/>
          </w:tcPr>
          <w:p w14:paraId="6033D486" w14:textId="3C33FF4C" w:rsidR="00AD300A" w:rsidRPr="009D4CD4" w:rsidRDefault="00AD300A" w:rsidP="00D94808">
            <w:pPr>
              <w:spacing w:after="0" w:line="240" w:lineRule="auto"/>
              <w:jc w:val="left"/>
              <w:rPr>
                <w:rFonts w:eastAsia="Times New Roman"/>
                <w:b/>
                <w:bCs/>
                <w:sz w:val="16"/>
                <w:szCs w:val="16"/>
                <w:lang w:eastAsia="fr-FR"/>
              </w:rPr>
            </w:pPr>
            <w:r w:rsidRPr="009D4CD4">
              <w:rPr>
                <w:rFonts w:eastAsia="Times New Roman"/>
                <w:b/>
                <w:bCs/>
                <w:sz w:val="16"/>
                <w:szCs w:val="16"/>
                <w:lang w:eastAsia="fr-FR"/>
              </w:rPr>
              <w:t>21 : IST</w:t>
            </w:r>
          </w:p>
        </w:tc>
        <w:tc>
          <w:tcPr>
            <w:tcW w:w="792" w:type="dxa"/>
            <w:tcBorders>
              <w:top w:val="nil"/>
              <w:left w:val="nil"/>
              <w:bottom w:val="single" w:sz="4" w:space="0" w:color="auto"/>
              <w:right w:val="nil"/>
            </w:tcBorders>
          </w:tcPr>
          <w:p w14:paraId="275CC04F" w14:textId="742DEDAE" w:rsidR="00AD300A" w:rsidRPr="009D4CD4" w:rsidRDefault="00AD300A" w:rsidP="00D94808">
            <w:pPr>
              <w:spacing w:after="0" w:line="240" w:lineRule="auto"/>
              <w:jc w:val="left"/>
              <w:rPr>
                <w:rFonts w:eastAsia="Times New Roman"/>
                <w:b/>
                <w:bCs/>
                <w:sz w:val="16"/>
                <w:szCs w:val="16"/>
                <w:lang w:eastAsia="fr-FR"/>
              </w:rPr>
            </w:pPr>
            <w:r w:rsidRPr="009D4CD4">
              <w:rPr>
                <w:rFonts w:eastAsia="Times New Roman"/>
                <w:b/>
                <w:bCs/>
                <w:sz w:val="16"/>
                <w:szCs w:val="16"/>
                <w:lang w:eastAsia="fr-FR"/>
              </w:rPr>
              <w:t>21 : EDK</w:t>
            </w:r>
          </w:p>
        </w:tc>
        <w:tc>
          <w:tcPr>
            <w:tcW w:w="793" w:type="dxa"/>
            <w:tcBorders>
              <w:top w:val="nil"/>
              <w:left w:val="nil"/>
              <w:bottom w:val="single" w:sz="4" w:space="0" w:color="auto"/>
              <w:right w:val="single" w:sz="4" w:space="0" w:color="auto"/>
            </w:tcBorders>
            <w:shd w:val="clear" w:color="auto" w:fill="auto"/>
            <w:vAlign w:val="center"/>
          </w:tcPr>
          <w:p w14:paraId="3F6D13F0" w14:textId="67183958" w:rsidR="00AD300A" w:rsidRPr="009D4CD4" w:rsidRDefault="00AD300A" w:rsidP="00D94808">
            <w:pPr>
              <w:spacing w:after="0" w:line="240" w:lineRule="auto"/>
              <w:jc w:val="left"/>
              <w:rPr>
                <w:rFonts w:eastAsia="Times New Roman"/>
                <w:b/>
                <w:bCs/>
                <w:sz w:val="16"/>
                <w:szCs w:val="16"/>
                <w:lang w:eastAsia="fr-FR"/>
              </w:rPr>
            </w:pPr>
            <w:r w:rsidRPr="009D4CD4">
              <w:rPr>
                <w:rFonts w:eastAsia="Times New Roman"/>
                <w:b/>
                <w:bCs/>
                <w:sz w:val="16"/>
                <w:szCs w:val="16"/>
                <w:lang w:eastAsia="fr-FR"/>
              </w:rPr>
              <w:t>2020</w:t>
            </w:r>
          </w:p>
        </w:tc>
        <w:tc>
          <w:tcPr>
            <w:tcW w:w="850" w:type="dxa"/>
            <w:tcBorders>
              <w:top w:val="nil"/>
              <w:left w:val="nil"/>
              <w:bottom w:val="single" w:sz="4" w:space="0" w:color="auto"/>
              <w:right w:val="single" w:sz="4" w:space="0" w:color="auto"/>
            </w:tcBorders>
            <w:shd w:val="clear" w:color="auto" w:fill="auto"/>
            <w:vAlign w:val="center"/>
            <w:hideMark/>
          </w:tcPr>
          <w:p w14:paraId="56A2B04F" w14:textId="5AAF89FE" w:rsidR="00AD300A" w:rsidRPr="009D4CD4" w:rsidRDefault="00AD300A" w:rsidP="00D94808">
            <w:pPr>
              <w:spacing w:after="0" w:line="240" w:lineRule="auto"/>
              <w:jc w:val="left"/>
              <w:rPr>
                <w:rFonts w:eastAsia="Times New Roman"/>
                <w:b/>
                <w:bCs/>
                <w:sz w:val="16"/>
                <w:szCs w:val="16"/>
                <w:lang w:eastAsia="fr-FR"/>
              </w:rPr>
            </w:pPr>
            <w:r w:rsidRPr="009D4CD4">
              <w:rPr>
                <w:rFonts w:eastAsia="Times New Roman"/>
                <w:b/>
                <w:bCs/>
                <w:sz w:val="16"/>
                <w:szCs w:val="16"/>
                <w:lang w:eastAsia="fr-FR"/>
              </w:rPr>
              <w:t>2019</w:t>
            </w:r>
          </w:p>
        </w:tc>
      </w:tr>
      <w:tr w:rsidR="00AD300A" w:rsidRPr="009D4CD4" w14:paraId="27F41EA1" w14:textId="77777777" w:rsidTr="00AD300A">
        <w:trPr>
          <w:trHeight w:hRule="exact" w:val="284"/>
        </w:trPr>
        <w:tc>
          <w:tcPr>
            <w:tcW w:w="47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589AA3" w14:textId="77777777"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Nombre de réunions avec les représentants du personnel</w:t>
            </w:r>
          </w:p>
        </w:tc>
        <w:tc>
          <w:tcPr>
            <w:tcW w:w="769" w:type="dxa"/>
            <w:tcBorders>
              <w:top w:val="nil"/>
              <w:left w:val="single" w:sz="4" w:space="0" w:color="auto"/>
              <w:bottom w:val="single" w:sz="4" w:space="0" w:color="auto"/>
              <w:right w:val="single" w:sz="4" w:space="0" w:color="auto"/>
            </w:tcBorders>
            <w:shd w:val="clear" w:color="auto" w:fill="auto"/>
            <w:vAlign w:val="center"/>
          </w:tcPr>
          <w:p w14:paraId="553106DA" w14:textId="61926A3B"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42</w:t>
            </w:r>
          </w:p>
        </w:tc>
        <w:tc>
          <w:tcPr>
            <w:tcW w:w="796" w:type="dxa"/>
            <w:tcBorders>
              <w:top w:val="nil"/>
              <w:left w:val="nil"/>
              <w:bottom w:val="single" w:sz="4" w:space="0" w:color="auto"/>
              <w:right w:val="single" w:sz="4" w:space="0" w:color="auto"/>
            </w:tcBorders>
            <w:shd w:val="clear" w:color="auto" w:fill="auto"/>
            <w:vAlign w:val="center"/>
          </w:tcPr>
          <w:p w14:paraId="54E0B668" w14:textId="4FC69A98"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180</w:t>
            </w:r>
            <w:r w:rsidR="00723FDA">
              <w:rPr>
                <w:rFonts w:eastAsia="Times New Roman"/>
                <w:sz w:val="16"/>
                <w:szCs w:val="16"/>
                <w:lang w:eastAsia="fr-FR"/>
              </w:rPr>
              <w:t xml:space="preserve"> *</w:t>
            </w:r>
          </w:p>
        </w:tc>
        <w:tc>
          <w:tcPr>
            <w:tcW w:w="769" w:type="dxa"/>
            <w:tcBorders>
              <w:top w:val="nil"/>
              <w:left w:val="nil"/>
              <w:bottom w:val="single" w:sz="4" w:space="0" w:color="auto"/>
              <w:right w:val="single" w:sz="4" w:space="0" w:color="auto"/>
            </w:tcBorders>
            <w:shd w:val="clear" w:color="auto" w:fill="auto"/>
            <w:vAlign w:val="center"/>
            <w:hideMark/>
          </w:tcPr>
          <w:p w14:paraId="4BC28C1F" w14:textId="37C35AB8" w:rsidR="00AD300A" w:rsidRPr="009D4CD4" w:rsidRDefault="00723FDA" w:rsidP="00D94808">
            <w:pPr>
              <w:spacing w:after="0" w:line="240" w:lineRule="auto"/>
              <w:jc w:val="left"/>
              <w:rPr>
                <w:rFonts w:eastAsia="Times New Roman"/>
                <w:sz w:val="16"/>
                <w:szCs w:val="16"/>
                <w:lang w:eastAsia="fr-FR"/>
              </w:rPr>
            </w:pPr>
            <w:r>
              <w:rPr>
                <w:rFonts w:eastAsia="Times New Roman"/>
                <w:sz w:val="16"/>
                <w:szCs w:val="16"/>
                <w:lang w:eastAsia="fr-FR"/>
              </w:rPr>
              <w:t>42</w:t>
            </w:r>
          </w:p>
        </w:tc>
        <w:tc>
          <w:tcPr>
            <w:tcW w:w="755" w:type="dxa"/>
            <w:tcBorders>
              <w:top w:val="nil"/>
              <w:left w:val="single" w:sz="4" w:space="0" w:color="auto"/>
              <w:bottom w:val="single" w:sz="4" w:space="0" w:color="auto"/>
              <w:right w:val="single" w:sz="4" w:space="0" w:color="auto"/>
            </w:tcBorders>
            <w:shd w:val="clear" w:color="auto" w:fill="auto"/>
            <w:vAlign w:val="center"/>
          </w:tcPr>
          <w:p w14:paraId="01866106" w14:textId="07D1C1B5"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13</w:t>
            </w:r>
          </w:p>
        </w:tc>
        <w:tc>
          <w:tcPr>
            <w:tcW w:w="792" w:type="dxa"/>
            <w:tcBorders>
              <w:top w:val="nil"/>
              <w:left w:val="nil"/>
              <w:bottom w:val="single" w:sz="4" w:space="0" w:color="auto"/>
              <w:right w:val="nil"/>
            </w:tcBorders>
          </w:tcPr>
          <w:p w14:paraId="3B767637" w14:textId="18E3DD32" w:rsidR="00AD300A" w:rsidRPr="009D4CD4" w:rsidRDefault="00420D52" w:rsidP="00D94808">
            <w:pPr>
              <w:spacing w:after="0" w:line="240" w:lineRule="auto"/>
              <w:jc w:val="left"/>
              <w:rPr>
                <w:rFonts w:eastAsia="Times New Roman"/>
                <w:sz w:val="16"/>
                <w:szCs w:val="16"/>
                <w:lang w:eastAsia="fr-FR"/>
              </w:rPr>
            </w:pPr>
            <w:r w:rsidRPr="009D4CD4">
              <w:rPr>
                <w:rFonts w:eastAsia="Times New Roman"/>
                <w:sz w:val="16"/>
                <w:szCs w:val="16"/>
                <w:lang w:eastAsia="fr-FR"/>
              </w:rPr>
              <w:t>17</w:t>
            </w:r>
          </w:p>
        </w:tc>
        <w:tc>
          <w:tcPr>
            <w:tcW w:w="793" w:type="dxa"/>
            <w:tcBorders>
              <w:top w:val="nil"/>
              <w:left w:val="nil"/>
              <w:bottom w:val="single" w:sz="4" w:space="0" w:color="auto"/>
              <w:right w:val="single" w:sz="4" w:space="0" w:color="auto"/>
            </w:tcBorders>
            <w:shd w:val="clear" w:color="auto" w:fill="auto"/>
            <w:vAlign w:val="center"/>
          </w:tcPr>
          <w:p w14:paraId="1B44DBE7" w14:textId="2C4A5A49"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33</w:t>
            </w:r>
          </w:p>
        </w:tc>
        <w:tc>
          <w:tcPr>
            <w:tcW w:w="850" w:type="dxa"/>
            <w:tcBorders>
              <w:top w:val="nil"/>
              <w:left w:val="nil"/>
              <w:bottom w:val="single" w:sz="4" w:space="0" w:color="auto"/>
              <w:right w:val="single" w:sz="4" w:space="0" w:color="auto"/>
            </w:tcBorders>
            <w:shd w:val="clear" w:color="auto" w:fill="auto"/>
            <w:vAlign w:val="center"/>
            <w:hideMark/>
          </w:tcPr>
          <w:p w14:paraId="3BB4F3A7" w14:textId="753EB974"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31 *</w:t>
            </w:r>
          </w:p>
        </w:tc>
      </w:tr>
      <w:tr w:rsidR="00AD300A" w:rsidRPr="009D4CD4" w14:paraId="2BF314CE" w14:textId="77777777" w:rsidTr="00AD300A">
        <w:trPr>
          <w:trHeight w:hRule="exact" w:val="284"/>
        </w:trPr>
        <w:tc>
          <w:tcPr>
            <w:tcW w:w="4754" w:type="dxa"/>
            <w:tcBorders>
              <w:top w:val="nil"/>
              <w:left w:val="single" w:sz="4" w:space="0" w:color="auto"/>
              <w:bottom w:val="single" w:sz="4" w:space="0" w:color="auto"/>
              <w:right w:val="single" w:sz="4" w:space="0" w:color="auto"/>
            </w:tcBorders>
            <w:shd w:val="clear" w:color="auto" w:fill="auto"/>
            <w:vAlign w:val="center"/>
            <w:hideMark/>
          </w:tcPr>
          <w:p w14:paraId="5B47D742" w14:textId="77777777"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 xml:space="preserve">Nombre d’accords en cours </w:t>
            </w:r>
          </w:p>
        </w:tc>
        <w:tc>
          <w:tcPr>
            <w:tcW w:w="769" w:type="dxa"/>
            <w:tcBorders>
              <w:top w:val="nil"/>
              <w:left w:val="single" w:sz="4" w:space="0" w:color="auto"/>
              <w:bottom w:val="single" w:sz="4" w:space="0" w:color="auto"/>
              <w:right w:val="single" w:sz="4" w:space="0" w:color="auto"/>
            </w:tcBorders>
            <w:shd w:val="clear" w:color="auto" w:fill="auto"/>
            <w:vAlign w:val="center"/>
          </w:tcPr>
          <w:p w14:paraId="6E19F7D5" w14:textId="6195C10C"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30</w:t>
            </w:r>
          </w:p>
        </w:tc>
        <w:tc>
          <w:tcPr>
            <w:tcW w:w="796" w:type="dxa"/>
            <w:tcBorders>
              <w:top w:val="nil"/>
              <w:left w:val="nil"/>
              <w:bottom w:val="single" w:sz="4" w:space="0" w:color="auto"/>
              <w:right w:val="single" w:sz="4" w:space="0" w:color="auto"/>
            </w:tcBorders>
            <w:shd w:val="clear" w:color="auto" w:fill="auto"/>
            <w:vAlign w:val="center"/>
          </w:tcPr>
          <w:p w14:paraId="7545A60E" w14:textId="765D809D"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24</w:t>
            </w:r>
          </w:p>
        </w:tc>
        <w:tc>
          <w:tcPr>
            <w:tcW w:w="769" w:type="dxa"/>
            <w:tcBorders>
              <w:top w:val="nil"/>
              <w:left w:val="nil"/>
              <w:bottom w:val="single" w:sz="4" w:space="0" w:color="auto"/>
              <w:right w:val="single" w:sz="4" w:space="0" w:color="auto"/>
            </w:tcBorders>
            <w:shd w:val="clear" w:color="auto" w:fill="auto"/>
            <w:vAlign w:val="center"/>
            <w:hideMark/>
          </w:tcPr>
          <w:p w14:paraId="0C0054B6" w14:textId="565AAE6E"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22</w:t>
            </w:r>
          </w:p>
        </w:tc>
        <w:tc>
          <w:tcPr>
            <w:tcW w:w="755" w:type="dxa"/>
            <w:tcBorders>
              <w:top w:val="nil"/>
              <w:left w:val="single" w:sz="4" w:space="0" w:color="auto"/>
              <w:bottom w:val="single" w:sz="4" w:space="0" w:color="auto"/>
              <w:right w:val="single" w:sz="4" w:space="0" w:color="auto"/>
            </w:tcBorders>
            <w:shd w:val="clear" w:color="auto" w:fill="auto"/>
            <w:vAlign w:val="center"/>
          </w:tcPr>
          <w:p w14:paraId="03BE73B5" w14:textId="17992FDE"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12</w:t>
            </w:r>
          </w:p>
        </w:tc>
        <w:tc>
          <w:tcPr>
            <w:tcW w:w="792" w:type="dxa"/>
            <w:tcBorders>
              <w:top w:val="nil"/>
              <w:left w:val="nil"/>
              <w:bottom w:val="single" w:sz="4" w:space="0" w:color="auto"/>
              <w:right w:val="nil"/>
            </w:tcBorders>
          </w:tcPr>
          <w:p w14:paraId="41C23213" w14:textId="7014A22C" w:rsidR="00AD300A" w:rsidRPr="009D4CD4" w:rsidRDefault="00420D52" w:rsidP="00D94808">
            <w:pPr>
              <w:spacing w:after="0" w:line="240" w:lineRule="auto"/>
              <w:jc w:val="left"/>
              <w:rPr>
                <w:rFonts w:eastAsia="Times New Roman"/>
                <w:sz w:val="16"/>
                <w:szCs w:val="16"/>
                <w:lang w:eastAsia="fr-FR"/>
              </w:rPr>
            </w:pPr>
            <w:r w:rsidRPr="009D4CD4">
              <w:rPr>
                <w:rFonts w:eastAsia="Times New Roman"/>
                <w:sz w:val="16"/>
                <w:szCs w:val="16"/>
                <w:lang w:eastAsia="fr-FR"/>
              </w:rPr>
              <w:t>9</w:t>
            </w:r>
          </w:p>
        </w:tc>
        <w:tc>
          <w:tcPr>
            <w:tcW w:w="793" w:type="dxa"/>
            <w:tcBorders>
              <w:top w:val="nil"/>
              <w:left w:val="nil"/>
              <w:bottom w:val="single" w:sz="4" w:space="0" w:color="auto"/>
              <w:right w:val="single" w:sz="4" w:space="0" w:color="auto"/>
            </w:tcBorders>
            <w:shd w:val="clear" w:color="auto" w:fill="auto"/>
            <w:vAlign w:val="center"/>
          </w:tcPr>
          <w:p w14:paraId="3C6992F6" w14:textId="4AA1F1B3"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46</w:t>
            </w:r>
          </w:p>
        </w:tc>
        <w:tc>
          <w:tcPr>
            <w:tcW w:w="850" w:type="dxa"/>
            <w:tcBorders>
              <w:top w:val="nil"/>
              <w:left w:val="nil"/>
              <w:bottom w:val="single" w:sz="4" w:space="0" w:color="auto"/>
              <w:right w:val="single" w:sz="4" w:space="0" w:color="auto"/>
            </w:tcBorders>
            <w:shd w:val="clear" w:color="auto" w:fill="auto"/>
            <w:vAlign w:val="center"/>
            <w:hideMark/>
          </w:tcPr>
          <w:p w14:paraId="3937C7A7" w14:textId="3B9398FC"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42</w:t>
            </w:r>
          </w:p>
        </w:tc>
      </w:tr>
      <w:tr w:rsidR="00AD300A" w:rsidRPr="009D4CD4" w14:paraId="46ECD471" w14:textId="77777777" w:rsidTr="00AD300A">
        <w:trPr>
          <w:trHeight w:hRule="exact" w:val="284"/>
        </w:trPr>
        <w:tc>
          <w:tcPr>
            <w:tcW w:w="47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71F316" w14:textId="77777777"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Nombre d’accords signés dans l’année</w:t>
            </w:r>
          </w:p>
        </w:tc>
        <w:tc>
          <w:tcPr>
            <w:tcW w:w="769" w:type="dxa"/>
            <w:tcBorders>
              <w:top w:val="single" w:sz="4" w:space="0" w:color="auto"/>
              <w:left w:val="single" w:sz="4" w:space="0" w:color="auto"/>
              <w:bottom w:val="single" w:sz="4" w:space="0" w:color="auto"/>
              <w:right w:val="single" w:sz="4" w:space="0" w:color="auto"/>
            </w:tcBorders>
            <w:shd w:val="clear" w:color="auto" w:fill="auto"/>
            <w:vAlign w:val="center"/>
          </w:tcPr>
          <w:p w14:paraId="59875B12" w14:textId="735DFC87"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15</w:t>
            </w:r>
          </w:p>
        </w:tc>
        <w:tc>
          <w:tcPr>
            <w:tcW w:w="796" w:type="dxa"/>
            <w:tcBorders>
              <w:top w:val="single" w:sz="4" w:space="0" w:color="auto"/>
              <w:left w:val="nil"/>
              <w:bottom w:val="single" w:sz="4" w:space="0" w:color="auto"/>
              <w:right w:val="single" w:sz="4" w:space="0" w:color="auto"/>
            </w:tcBorders>
            <w:shd w:val="clear" w:color="auto" w:fill="auto"/>
            <w:vAlign w:val="center"/>
          </w:tcPr>
          <w:p w14:paraId="38BDB7B4" w14:textId="6FE28B33"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9</w:t>
            </w:r>
          </w:p>
        </w:tc>
        <w:tc>
          <w:tcPr>
            <w:tcW w:w="769" w:type="dxa"/>
            <w:tcBorders>
              <w:top w:val="single" w:sz="4" w:space="0" w:color="auto"/>
              <w:left w:val="nil"/>
              <w:bottom w:val="single" w:sz="4" w:space="0" w:color="auto"/>
              <w:right w:val="single" w:sz="4" w:space="0" w:color="auto"/>
            </w:tcBorders>
            <w:shd w:val="clear" w:color="auto" w:fill="auto"/>
            <w:vAlign w:val="center"/>
            <w:hideMark/>
          </w:tcPr>
          <w:p w14:paraId="613D3906" w14:textId="4CAA5ADB"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9</w:t>
            </w:r>
          </w:p>
        </w:tc>
        <w:tc>
          <w:tcPr>
            <w:tcW w:w="755" w:type="dxa"/>
            <w:tcBorders>
              <w:top w:val="single" w:sz="4" w:space="0" w:color="auto"/>
              <w:left w:val="single" w:sz="4" w:space="0" w:color="auto"/>
              <w:bottom w:val="single" w:sz="4" w:space="0" w:color="auto"/>
              <w:right w:val="single" w:sz="4" w:space="0" w:color="auto"/>
            </w:tcBorders>
            <w:shd w:val="clear" w:color="auto" w:fill="auto"/>
            <w:vAlign w:val="center"/>
          </w:tcPr>
          <w:p w14:paraId="04C183B5" w14:textId="7DE4F80D"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3</w:t>
            </w:r>
          </w:p>
        </w:tc>
        <w:tc>
          <w:tcPr>
            <w:tcW w:w="792" w:type="dxa"/>
            <w:tcBorders>
              <w:top w:val="single" w:sz="4" w:space="0" w:color="auto"/>
              <w:left w:val="nil"/>
              <w:bottom w:val="single" w:sz="4" w:space="0" w:color="auto"/>
              <w:right w:val="nil"/>
            </w:tcBorders>
          </w:tcPr>
          <w:p w14:paraId="1213DD8D" w14:textId="1663FBE6" w:rsidR="00AD300A" w:rsidRPr="009D4CD4" w:rsidRDefault="00420D52" w:rsidP="00D94808">
            <w:pPr>
              <w:spacing w:after="0" w:line="240" w:lineRule="auto"/>
              <w:jc w:val="left"/>
              <w:rPr>
                <w:rFonts w:eastAsia="Times New Roman"/>
                <w:sz w:val="16"/>
                <w:szCs w:val="16"/>
                <w:lang w:eastAsia="fr-FR"/>
              </w:rPr>
            </w:pPr>
            <w:r w:rsidRPr="009D4CD4">
              <w:rPr>
                <w:rFonts w:eastAsia="Times New Roman"/>
                <w:sz w:val="16"/>
                <w:szCs w:val="16"/>
                <w:lang w:eastAsia="fr-FR"/>
              </w:rPr>
              <w:t>2</w:t>
            </w:r>
          </w:p>
        </w:tc>
        <w:tc>
          <w:tcPr>
            <w:tcW w:w="793" w:type="dxa"/>
            <w:tcBorders>
              <w:top w:val="single" w:sz="4" w:space="0" w:color="auto"/>
              <w:left w:val="nil"/>
              <w:bottom w:val="single" w:sz="4" w:space="0" w:color="auto"/>
              <w:right w:val="single" w:sz="4" w:space="0" w:color="auto"/>
            </w:tcBorders>
            <w:shd w:val="clear" w:color="auto" w:fill="auto"/>
            <w:vAlign w:val="center"/>
          </w:tcPr>
          <w:p w14:paraId="0EE67925" w14:textId="5207D8C5"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10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3AC2315F" w14:textId="2F6E4E0E" w:rsidR="00AD300A" w:rsidRPr="009D4CD4" w:rsidRDefault="00AD300A" w:rsidP="00D94808">
            <w:pPr>
              <w:spacing w:after="0" w:line="240" w:lineRule="auto"/>
              <w:jc w:val="left"/>
              <w:rPr>
                <w:rFonts w:eastAsia="Times New Roman"/>
                <w:sz w:val="16"/>
                <w:szCs w:val="16"/>
                <w:lang w:eastAsia="fr-FR"/>
              </w:rPr>
            </w:pPr>
            <w:r w:rsidRPr="009D4CD4">
              <w:rPr>
                <w:rFonts w:eastAsia="Times New Roman"/>
                <w:sz w:val="16"/>
                <w:szCs w:val="16"/>
                <w:lang w:eastAsia="fr-FR"/>
              </w:rPr>
              <w:t>8</w:t>
            </w:r>
          </w:p>
        </w:tc>
      </w:tr>
    </w:tbl>
    <w:p w14:paraId="069EBF1B" w14:textId="3989CC8D" w:rsidR="00B72A61" w:rsidRPr="009D4CD4" w:rsidRDefault="008E299B" w:rsidP="00B72A61">
      <w:pPr>
        <w:spacing w:after="0" w:line="240" w:lineRule="auto"/>
        <w:jc w:val="left"/>
        <w:rPr>
          <w:rFonts w:asciiTheme="minorHAnsi" w:hAnsiTheme="minorHAnsi"/>
          <w:sz w:val="16"/>
          <w:szCs w:val="16"/>
        </w:rPr>
      </w:pPr>
      <w:r w:rsidRPr="009D4CD4">
        <w:rPr>
          <w:rFonts w:asciiTheme="minorHAnsi" w:hAnsiTheme="minorHAnsi"/>
          <w:sz w:val="16"/>
          <w:szCs w:val="16"/>
        </w:rPr>
        <w:t>*  E</w:t>
      </w:r>
      <w:r w:rsidR="00B72A61" w:rsidRPr="009D4CD4">
        <w:rPr>
          <w:rFonts w:asciiTheme="minorHAnsi" w:hAnsiTheme="minorHAnsi"/>
          <w:sz w:val="16"/>
          <w:szCs w:val="16"/>
        </w:rPr>
        <w:t xml:space="preserve">volution suite à la mise en place du Comité Social et Economique </w:t>
      </w:r>
      <w:r w:rsidR="00723FDA">
        <w:rPr>
          <w:rFonts w:asciiTheme="minorHAnsi" w:hAnsiTheme="minorHAnsi"/>
          <w:sz w:val="16"/>
          <w:szCs w:val="16"/>
        </w:rPr>
        <w:t>et à la situation sanitaire</w:t>
      </w:r>
    </w:p>
    <w:p w14:paraId="1316304D" w14:textId="77777777" w:rsidR="00B72A61" w:rsidRPr="009D4CD4" w:rsidRDefault="00B72A61" w:rsidP="00B72A61">
      <w:pPr>
        <w:spacing w:after="0" w:line="240" w:lineRule="auto"/>
        <w:jc w:val="left"/>
        <w:rPr>
          <w:rFonts w:asciiTheme="minorHAnsi" w:hAnsiTheme="minorHAnsi"/>
          <w:sz w:val="16"/>
          <w:szCs w:val="16"/>
        </w:rPr>
      </w:pPr>
    </w:p>
    <w:p w14:paraId="5547A402" w14:textId="5BF34030" w:rsidR="00B72A61" w:rsidRPr="009D4CD4" w:rsidRDefault="00B72A61" w:rsidP="00F41917">
      <w:pPr>
        <w:numPr>
          <w:ilvl w:val="0"/>
          <w:numId w:val="4"/>
        </w:numPr>
        <w:spacing w:after="0" w:line="240" w:lineRule="auto"/>
        <w:jc w:val="left"/>
        <w:rPr>
          <w:rFonts w:asciiTheme="minorHAnsi" w:hAnsiTheme="minorHAnsi" w:cs="Arial"/>
        </w:rPr>
      </w:pPr>
      <w:r w:rsidRPr="009D4CD4">
        <w:rPr>
          <w:rFonts w:cs="Arial"/>
        </w:rPr>
        <w:t xml:space="preserve">La </w:t>
      </w:r>
      <w:r w:rsidR="00A7717F">
        <w:rPr>
          <w:rFonts w:cs="Arial"/>
        </w:rPr>
        <w:t>Caisse Régionale</w:t>
      </w:r>
    </w:p>
    <w:p w14:paraId="4DC95FBB" w14:textId="77777777" w:rsidR="005E2849" w:rsidRPr="009D4CD4" w:rsidRDefault="005E2849" w:rsidP="00B72A61">
      <w:pPr>
        <w:spacing w:after="0" w:line="240" w:lineRule="auto"/>
        <w:jc w:val="left"/>
        <w:rPr>
          <w:rFonts w:asciiTheme="minorHAnsi" w:hAnsiTheme="minorHAnsi"/>
        </w:rPr>
      </w:pPr>
    </w:p>
    <w:p w14:paraId="174E84F2" w14:textId="77777777" w:rsidR="00B72A61" w:rsidRPr="009D4CD4" w:rsidRDefault="00B72A61" w:rsidP="00B72A61">
      <w:pPr>
        <w:spacing w:after="0" w:line="240" w:lineRule="auto"/>
        <w:jc w:val="left"/>
        <w:rPr>
          <w:rFonts w:asciiTheme="minorHAnsi" w:hAnsiTheme="minorHAnsi" w:cs="Arial"/>
        </w:rPr>
      </w:pPr>
      <w:r w:rsidRPr="009D4CD4">
        <w:rPr>
          <w:rFonts w:asciiTheme="minorHAnsi" w:hAnsiTheme="minorHAnsi" w:cs="Arial"/>
        </w:rPr>
        <w:t>Les conditions d’exercice du droit syndical</w:t>
      </w:r>
      <w:r w:rsidR="008E299B" w:rsidRPr="009D4CD4">
        <w:rPr>
          <w:rFonts w:asciiTheme="minorHAnsi" w:hAnsiTheme="minorHAnsi" w:cs="Arial"/>
        </w:rPr>
        <w:t xml:space="preserve"> sont régies par les dispositions de la </w:t>
      </w:r>
      <w:r w:rsidRPr="009D4CD4">
        <w:rPr>
          <w:rFonts w:asciiTheme="minorHAnsi" w:hAnsiTheme="minorHAnsi" w:cs="Arial"/>
        </w:rPr>
        <w:t xml:space="preserve">Convention collective nationale du Crédit Agricole relative au droit syndical, </w:t>
      </w:r>
      <w:r w:rsidR="008E299B" w:rsidRPr="009D4CD4">
        <w:rPr>
          <w:rFonts w:asciiTheme="minorHAnsi" w:hAnsiTheme="minorHAnsi" w:cs="Arial"/>
        </w:rPr>
        <w:t>et par la réglementation.</w:t>
      </w:r>
      <w:r w:rsidR="00D81772" w:rsidRPr="009D4CD4">
        <w:rPr>
          <w:rFonts w:asciiTheme="minorHAnsi" w:hAnsiTheme="minorHAnsi" w:cs="Arial"/>
        </w:rPr>
        <w:t xml:space="preserve"> </w:t>
      </w:r>
      <w:r w:rsidRPr="009D4CD4">
        <w:rPr>
          <w:rFonts w:asciiTheme="minorHAnsi" w:hAnsiTheme="minorHAnsi" w:cs="Arial"/>
        </w:rPr>
        <w:t xml:space="preserve">Le dialogue social est caractérisé par la signature régulière d’accords avec les partenaires sociaux. </w:t>
      </w:r>
    </w:p>
    <w:p w14:paraId="03582E18" w14:textId="4A2CCD1C" w:rsidR="00CE08D2" w:rsidRPr="009D4CD4" w:rsidRDefault="00914221" w:rsidP="00B72A61">
      <w:pPr>
        <w:spacing w:after="0" w:line="240" w:lineRule="auto"/>
        <w:jc w:val="left"/>
        <w:rPr>
          <w:rFonts w:asciiTheme="minorHAnsi" w:hAnsiTheme="minorHAnsi" w:cs="Arial"/>
        </w:rPr>
      </w:pPr>
      <w:r w:rsidRPr="009D4CD4">
        <w:rPr>
          <w:rFonts w:asciiTheme="minorHAnsi" w:hAnsiTheme="minorHAnsi" w:cs="Arial"/>
        </w:rPr>
        <w:t>En 2021, le dialogue social a été nourri par la crise sanitaire, des points réguliers ont été fait en CSE et CSSCT et l’année a également été marquée par les élections professionnelles des représentants du personnel au CSE et conseil de discipline.</w:t>
      </w:r>
      <w:r w:rsidR="001E457F" w:rsidRPr="009D4CD4">
        <w:rPr>
          <w:rFonts w:asciiTheme="minorHAnsi" w:hAnsiTheme="minorHAnsi" w:cs="Arial"/>
        </w:rPr>
        <w:t xml:space="preserve"> Cette année</w:t>
      </w:r>
      <w:r w:rsidR="001805E9" w:rsidRPr="009D4CD4">
        <w:rPr>
          <w:rFonts w:asciiTheme="minorHAnsi" w:hAnsiTheme="minorHAnsi" w:cs="Arial"/>
        </w:rPr>
        <w:t xml:space="preserve">, les accords et ou avenants signés portent notamment sur </w:t>
      </w:r>
      <w:r w:rsidRPr="009D4CD4">
        <w:rPr>
          <w:rFonts w:asciiTheme="minorHAnsi" w:hAnsiTheme="minorHAnsi" w:cs="Arial"/>
        </w:rPr>
        <w:t>le système d'astreinte sécurité, sur le droit à la déconnexion, sur l'égalité professionnelle entre les hommes et les femmes, la formation professionnelle, sur les conditions d'indemnisation des  astreintes et interventions professionnelles  exceptionnelles hors des jours habituel</w:t>
      </w:r>
      <w:r w:rsidR="00680A75">
        <w:rPr>
          <w:rFonts w:asciiTheme="minorHAnsi" w:hAnsiTheme="minorHAnsi" w:cs="Arial"/>
        </w:rPr>
        <w:t>s</w:t>
      </w:r>
      <w:r w:rsidRPr="009D4CD4">
        <w:rPr>
          <w:rFonts w:asciiTheme="minorHAnsi" w:hAnsiTheme="minorHAnsi" w:cs="Arial"/>
        </w:rPr>
        <w:t xml:space="preserve"> de travail, intéressement, partici</w:t>
      </w:r>
      <w:r w:rsidR="0039562E">
        <w:rPr>
          <w:rFonts w:asciiTheme="minorHAnsi" w:hAnsiTheme="minorHAnsi" w:cs="Arial"/>
        </w:rPr>
        <w:t>pation, PEE,  sur mise en</w:t>
      </w:r>
      <w:r w:rsidRPr="009D4CD4">
        <w:rPr>
          <w:rFonts w:asciiTheme="minorHAnsi" w:hAnsiTheme="minorHAnsi" w:cs="Arial"/>
        </w:rPr>
        <w:t xml:space="preserve"> place d’un</w:t>
      </w:r>
      <w:r w:rsidRPr="009D4CD4">
        <w:rPr>
          <w:rFonts w:ascii="Arial" w:hAnsi="Arial" w:cs="Arial"/>
          <w:color w:val="202124"/>
          <w:shd w:val="clear" w:color="auto" w:fill="FFFFFF"/>
        </w:rPr>
        <w:t xml:space="preserve"> </w:t>
      </w:r>
      <w:r w:rsidRPr="0039562E">
        <w:rPr>
          <w:rFonts w:asciiTheme="minorHAnsi" w:hAnsiTheme="minorHAnsi" w:cs="Arial"/>
        </w:rPr>
        <w:t>dispositif d'épargne salariale </w:t>
      </w:r>
      <w:r w:rsidRPr="009D4CD4">
        <w:rPr>
          <w:rFonts w:asciiTheme="minorHAnsi" w:hAnsiTheme="minorHAnsi" w:cs="Arial"/>
        </w:rPr>
        <w:t xml:space="preserve"> PERCOL, sur le compte épargne temps, sur </w:t>
      </w:r>
      <w:r w:rsidR="0039562E">
        <w:rPr>
          <w:rFonts w:asciiTheme="minorHAnsi" w:hAnsiTheme="minorHAnsi" w:cs="Arial"/>
        </w:rPr>
        <w:t xml:space="preserve">la </w:t>
      </w:r>
      <w:r w:rsidRPr="009D4CD4">
        <w:rPr>
          <w:rFonts w:asciiTheme="minorHAnsi" w:hAnsiTheme="minorHAnsi" w:cs="Arial"/>
        </w:rPr>
        <w:t>mise en œuvre de la participation des employeurs agricoles  à l'effort de construction, sur le télétravail, sur le travail déplacé.</w:t>
      </w:r>
    </w:p>
    <w:p w14:paraId="68ED0E41" w14:textId="77777777" w:rsidR="00B72A61" w:rsidRPr="009D4CD4" w:rsidRDefault="00B72A61" w:rsidP="00B72A61">
      <w:pPr>
        <w:spacing w:after="0" w:line="240" w:lineRule="auto"/>
        <w:jc w:val="left"/>
        <w:rPr>
          <w:rFonts w:asciiTheme="minorHAnsi" w:hAnsiTheme="minorHAnsi" w:cs="Arial"/>
        </w:rPr>
      </w:pPr>
      <w:r w:rsidRPr="009D4CD4">
        <w:rPr>
          <w:rFonts w:asciiTheme="minorHAnsi" w:hAnsiTheme="minorHAnsi"/>
        </w:rPr>
        <w:t xml:space="preserve">Un espace dédié aux </w:t>
      </w:r>
      <w:r w:rsidR="008E299B" w:rsidRPr="009D4CD4">
        <w:rPr>
          <w:rFonts w:asciiTheme="minorHAnsi" w:hAnsiTheme="minorHAnsi"/>
        </w:rPr>
        <w:t>Instances Représentatives du P</w:t>
      </w:r>
      <w:r w:rsidRPr="009D4CD4">
        <w:rPr>
          <w:rFonts w:asciiTheme="minorHAnsi" w:hAnsiTheme="minorHAnsi"/>
        </w:rPr>
        <w:t>ersonnel est à disposition des salariés dans l'intranet. Cet espace permet d'accéder à des informations concernant les résultats des élections professionnelles, la liste des accords d'entreprise, les procès-verbaux du CSE.</w:t>
      </w:r>
      <w:r w:rsidR="00D81772" w:rsidRPr="009D4CD4">
        <w:rPr>
          <w:rFonts w:asciiTheme="minorHAnsi" w:hAnsiTheme="minorHAnsi"/>
        </w:rPr>
        <w:t xml:space="preserve"> </w:t>
      </w:r>
      <w:r w:rsidR="008E299B" w:rsidRPr="009D4CD4">
        <w:rPr>
          <w:rFonts w:asciiTheme="minorHAnsi" w:hAnsiTheme="minorHAnsi" w:cs="Arial"/>
        </w:rPr>
        <w:t>C</w:t>
      </w:r>
      <w:r w:rsidRPr="009D4CD4">
        <w:rPr>
          <w:rFonts w:asciiTheme="minorHAnsi" w:hAnsiTheme="minorHAnsi" w:cs="Arial"/>
        </w:rPr>
        <w:t xml:space="preserve">et espace comporte </w:t>
      </w:r>
      <w:r w:rsidR="008E299B" w:rsidRPr="009D4CD4">
        <w:rPr>
          <w:rFonts w:asciiTheme="minorHAnsi" w:hAnsiTheme="minorHAnsi" w:cs="Arial"/>
        </w:rPr>
        <w:t xml:space="preserve">également </w:t>
      </w:r>
      <w:r w:rsidRPr="009D4CD4">
        <w:rPr>
          <w:rFonts w:asciiTheme="minorHAnsi" w:hAnsiTheme="minorHAnsi" w:cs="Arial"/>
        </w:rPr>
        <w:t>une rubrique pour l'affichage électronique des publications syndicales dans laquelle les organisations syndicales présentes dans l'entreprise peuvent publier leurs tracts.</w:t>
      </w:r>
    </w:p>
    <w:p w14:paraId="2757B26C" w14:textId="77777777" w:rsidR="00FC2E95" w:rsidRPr="009D4CD4" w:rsidRDefault="00FC2E95" w:rsidP="00FC2E95">
      <w:pPr>
        <w:spacing w:after="0" w:line="240" w:lineRule="auto"/>
        <w:jc w:val="left"/>
        <w:rPr>
          <w:rFonts w:cs="Arial"/>
        </w:rPr>
      </w:pPr>
    </w:p>
    <w:p w14:paraId="6A6496F9" w14:textId="3595FE77" w:rsidR="00FC2E95" w:rsidRPr="009D4CD4" w:rsidRDefault="00FC2E95" w:rsidP="009606B1">
      <w:pPr>
        <w:spacing w:after="0" w:line="240" w:lineRule="auto"/>
        <w:jc w:val="left"/>
        <w:rPr>
          <w:rFonts w:asciiTheme="minorHAnsi" w:hAnsiTheme="minorHAnsi" w:cs="Arial"/>
        </w:rPr>
      </w:pPr>
      <w:r w:rsidRPr="009D4CD4">
        <w:rPr>
          <w:rFonts w:asciiTheme="minorHAnsi" w:hAnsiTheme="minorHAnsi" w:cs="Arial"/>
        </w:rPr>
        <w:t>Les filiales Edokial et Inforsud Technologies</w:t>
      </w:r>
      <w:r w:rsidR="004D466B" w:rsidRPr="009D4CD4">
        <w:rPr>
          <w:rFonts w:asciiTheme="minorHAnsi" w:hAnsiTheme="minorHAnsi" w:cs="Arial"/>
        </w:rPr>
        <w:t xml:space="preserve"> (IST)</w:t>
      </w:r>
    </w:p>
    <w:p w14:paraId="3000CD93" w14:textId="544F5496" w:rsidR="00FC2E95" w:rsidRPr="009D4CD4" w:rsidRDefault="00FC2E95" w:rsidP="00FC2E95">
      <w:pPr>
        <w:spacing w:after="0" w:line="240" w:lineRule="auto"/>
        <w:jc w:val="left"/>
        <w:rPr>
          <w:rFonts w:asciiTheme="minorHAnsi" w:hAnsiTheme="minorHAnsi" w:cs="Arial"/>
        </w:rPr>
      </w:pPr>
    </w:p>
    <w:p w14:paraId="110C7B42" w14:textId="4E3AF114" w:rsidR="009606B1" w:rsidRPr="009D4CD4" w:rsidRDefault="009606B1" w:rsidP="009606B1">
      <w:pPr>
        <w:spacing w:after="0" w:line="240" w:lineRule="auto"/>
        <w:jc w:val="left"/>
        <w:rPr>
          <w:rFonts w:asciiTheme="minorHAnsi" w:hAnsiTheme="minorHAnsi" w:cs="Arial"/>
        </w:rPr>
      </w:pPr>
      <w:r w:rsidRPr="009D4CD4">
        <w:rPr>
          <w:rFonts w:asciiTheme="minorHAnsi" w:hAnsiTheme="minorHAnsi" w:cs="Arial"/>
        </w:rPr>
        <w:t xml:space="preserve">Edokial : En 2021, les différents accords signés ont porté sur les Négociations Annuelles Obligatoires ; le télétravail ; Accord </w:t>
      </w:r>
      <w:r w:rsidR="00B26544" w:rsidRPr="009D4CD4">
        <w:rPr>
          <w:rFonts w:asciiTheme="minorHAnsi" w:hAnsiTheme="minorHAnsi" w:cs="Arial"/>
        </w:rPr>
        <w:t xml:space="preserve">Egalité </w:t>
      </w:r>
      <w:r w:rsidRPr="009D4CD4">
        <w:rPr>
          <w:rFonts w:asciiTheme="minorHAnsi" w:hAnsiTheme="minorHAnsi" w:cs="Arial"/>
        </w:rPr>
        <w:t xml:space="preserve">femmes - hommes. </w:t>
      </w:r>
    </w:p>
    <w:p w14:paraId="026CD124" w14:textId="5E54EB16" w:rsidR="009606B1" w:rsidRPr="009D4CD4" w:rsidRDefault="009606B1" w:rsidP="009606B1">
      <w:pPr>
        <w:spacing w:after="0" w:line="240" w:lineRule="auto"/>
        <w:jc w:val="left"/>
        <w:rPr>
          <w:rFonts w:asciiTheme="minorHAnsi" w:hAnsiTheme="minorHAnsi" w:cs="Arial"/>
        </w:rPr>
      </w:pPr>
    </w:p>
    <w:p w14:paraId="29DB4CFB" w14:textId="4BE207F9" w:rsidR="00FC2E95" w:rsidRPr="009D4CD4" w:rsidRDefault="009606B1" w:rsidP="009606B1">
      <w:pPr>
        <w:spacing w:after="0" w:line="240" w:lineRule="auto"/>
        <w:jc w:val="left"/>
        <w:rPr>
          <w:rFonts w:asciiTheme="minorHAnsi" w:hAnsiTheme="minorHAnsi" w:cs="Arial"/>
        </w:rPr>
      </w:pPr>
      <w:r w:rsidRPr="009D4CD4">
        <w:rPr>
          <w:rFonts w:asciiTheme="minorHAnsi" w:hAnsiTheme="minorHAnsi" w:cs="Arial"/>
        </w:rPr>
        <w:t xml:space="preserve">IST : </w:t>
      </w:r>
      <w:r w:rsidR="00FC2E95" w:rsidRPr="009D4CD4">
        <w:rPr>
          <w:rFonts w:asciiTheme="minorHAnsi" w:hAnsiTheme="minorHAnsi" w:cs="Arial"/>
        </w:rPr>
        <w:t xml:space="preserve">En 2021, 13 accords sont en cours et 3 nouveaux accords ont porté sur : les Négociations Annuelles Obligatoires, l’interessement et la mutuelle. </w:t>
      </w:r>
    </w:p>
    <w:p w14:paraId="26EAED82" w14:textId="2C87D678" w:rsidR="005C4C31" w:rsidRPr="009D4CD4" w:rsidRDefault="005C4C31" w:rsidP="00B72A61">
      <w:pPr>
        <w:spacing w:after="0" w:line="240" w:lineRule="auto"/>
        <w:jc w:val="left"/>
        <w:rPr>
          <w:rFonts w:cs="Arial"/>
          <w:u w:val="single"/>
        </w:rPr>
      </w:pPr>
    </w:p>
    <w:p w14:paraId="723B9321" w14:textId="77777777" w:rsidR="009606B1" w:rsidRPr="009D4CD4" w:rsidRDefault="009606B1" w:rsidP="00B72A61">
      <w:pPr>
        <w:spacing w:after="0" w:line="240" w:lineRule="auto"/>
        <w:jc w:val="left"/>
        <w:rPr>
          <w:rFonts w:cs="Arial"/>
          <w:u w:val="single"/>
        </w:rPr>
      </w:pPr>
    </w:p>
    <w:p w14:paraId="60C7B7FF" w14:textId="72EF5FA2" w:rsidR="00B72A61" w:rsidRPr="009D4CD4" w:rsidRDefault="00B72A61" w:rsidP="00326D6D">
      <w:pPr>
        <w:pStyle w:val="Titre3"/>
      </w:pPr>
      <w:bookmarkStart w:id="108" w:name="_Toc32416036"/>
      <w:bookmarkStart w:id="109" w:name="_Toc59444712"/>
      <w:bookmarkStart w:id="110" w:name="_Toc96698022"/>
      <w:r w:rsidRPr="009D4CD4">
        <w:t>Garantir les conditions de santé et de sécurité au travail</w:t>
      </w:r>
      <w:bookmarkEnd w:id="108"/>
      <w:bookmarkEnd w:id="109"/>
      <w:bookmarkEnd w:id="110"/>
    </w:p>
    <w:p w14:paraId="68EA8A20" w14:textId="77777777" w:rsidR="00B72A61" w:rsidRPr="009D4CD4" w:rsidRDefault="00B72A61" w:rsidP="00B72A61">
      <w:pPr>
        <w:spacing w:after="0" w:line="240" w:lineRule="auto"/>
        <w:jc w:val="left"/>
        <w:rPr>
          <w:rFonts w:cs="Arial"/>
        </w:rPr>
      </w:pPr>
    </w:p>
    <w:tbl>
      <w:tblPr>
        <w:tblW w:w="9351" w:type="dxa"/>
        <w:tblLayout w:type="fixed"/>
        <w:tblCellMar>
          <w:left w:w="70" w:type="dxa"/>
          <w:right w:w="70" w:type="dxa"/>
        </w:tblCellMar>
        <w:tblLook w:val="04A0" w:firstRow="1" w:lastRow="0" w:firstColumn="1" w:lastColumn="0" w:noHBand="0" w:noVBand="1"/>
      </w:tblPr>
      <w:tblGrid>
        <w:gridCol w:w="3823"/>
        <w:gridCol w:w="850"/>
        <w:gridCol w:w="709"/>
        <w:gridCol w:w="850"/>
        <w:gridCol w:w="709"/>
        <w:gridCol w:w="851"/>
        <w:gridCol w:w="708"/>
        <w:gridCol w:w="851"/>
      </w:tblGrid>
      <w:tr w:rsidR="00AD300A" w:rsidRPr="009D4CD4" w14:paraId="5C2023A9" w14:textId="77777777" w:rsidTr="00AD300A">
        <w:trPr>
          <w:trHeight w:val="225"/>
        </w:trPr>
        <w:tc>
          <w:tcPr>
            <w:tcW w:w="382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C1DB53" w14:textId="77777777" w:rsidR="00AD300A" w:rsidRPr="009D4CD4" w:rsidRDefault="00AD300A" w:rsidP="00CE08D2">
            <w:pPr>
              <w:spacing w:after="0" w:line="240" w:lineRule="auto"/>
              <w:jc w:val="left"/>
              <w:rPr>
                <w:rFonts w:eastAsia="Times New Roman"/>
                <w:sz w:val="20"/>
                <w:szCs w:val="20"/>
                <w:lang w:eastAsia="fr-FR"/>
              </w:rPr>
            </w:pPr>
            <w:r w:rsidRPr="009D4CD4">
              <w:rPr>
                <w:rFonts w:asciiTheme="minorHAnsi" w:hAnsiTheme="minorHAnsi" w:cs="Arial"/>
                <w:b/>
                <w:i/>
              </w:rPr>
              <w:t>Les chiffres - clé</w:t>
            </w:r>
          </w:p>
        </w:tc>
        <w:tc>
          <w:tcPr>
            <w:tcW w:w="850" w:type="dxa"/>
            <w:tcBorders>
              <w:top w:val="single" w:sz="4" w:space="0" w:color="auto"/>
              <w:left w:val="single" w:sz="4" w:space="0" w:color="auto"/>
              <w:bottom w:val="single" w:sz="4" w:space="0" w:color="auto"/>
            </w:tcBorders>
            <w:shd w:val="clear" w:color="auto" w:fill="auto"/>
            <w:noWrap/>
          </w:tcPr>
          <w:p w14:paraId="1007AFA2" w14:textId="77777777" w:rsidR="00AD300A" w:rsidRPr="009D4CD4" w:rsidRDefault="00AD300A" w:rsidP="00CE08D2">
            <w:pPr>
              <w:spacing w:after="0" w:line="240" w:lineRule="auto"/>
              <w:jc w:val="left"/>
              <w:rPr>
                <w:rFonts w:eastAsia="Times New Roman"/>
                <w:b/>
                <w:sz w:val="20"/>
                <w:szCs w:val="20"/>
                <w:lang w:eastAsia="fr-FR"/>
              </w:rPr>
            </w:pPr>
            <w:r w:rsidRPr="009D4CD4">
              <w:rPr>
                <w:rFonts w:eastAsia="Times New Roman"/>
                <w:b/>
                <w:sz w:val="20"/>
                <w:szCs w:val="20"/>
                <w:lang w:eastAsia="fr-FR"/>
              </w:rPr>
              <w:t>NMP</w:t>
            </w:r>
          </w:p>
        </w:tc>
        <w:tc>
          <w:tcPr>
            <w:tcW w:w="709" w:type="dxa"/>
            <w:tcBorders>
              <w:top w:val="single" w:sz="4" w:space="0" w:color="auto"/>
              <w:bottom w:val="single" w:sz="4" w:space="0" w:color="auto"/>
            </w:tcBorders>
            <w:shd w:val="clear" w:color="auto" w:fill="auto"/>
            <w:noWrap/>
          </w:tcPr>
          <w:p w14:paraId="11E9A156" w14:textId="77777777" w:rsidR="00AD300A" w:rsidRPr="009D4CD4" w:rsidRDefault="00AD300A" w:rsidP="006A29EF">
            <w:pPr>
              <w:spacing w:after="0" w:line="240" w:lineRule="auto"/>
              <w:jc w:val="left"/>
              <w:rPr>
                <w:rFonts w:eastAsia="Times New Roman"/>
                <w:b/>
                <w:sz w:val="20"/>
                <w:szCs w:val="20"/>
                <w:lang w:eastAsia="fr-FR"/>
              </w:rPr>
            </w:pPr>
          </w:p>
        </w:tc>
        <w:tc>
          <w:tcPr>
            <w:tcW w:w="850" w:type="dxa"/>
            <w:tcBorders>
              <w:top w:val="single" w:sz="4" w:space="0" w:color="auto"/>
              <w:bottom w:val="single" w:sz="4" w:space="0" w:color="auto"/>
              <w:right w:val="single" w:sz="4" w:space="0" w:color="auto"/>
            </w:tcBorders>
            <w:shd w:val="clear" w:color="auto" w:fill="auto"/>
            <w:noWrap/>
          </w:tcPr>
          <w:p w14:paraId="4ADF1EA8" w14:textId="77777777" w:rsidR="00AD300A" w:rsidRPr="009D4CD4" w:rsidRDefault="00AD300A" w:rsidP="006A29EF">
            <w:pPr>
              <w:spacing w:after="0" w:line="240" w:lineRule="auto"/>
              <w:jc w:val="left"/>
              <w:rPr>
                <w:rFonts w:eastAsia="Times New Roman"/>
                <w:b/>
                <w:sz w:val="20"/>
                <w:szCs w:val="20"/>
                <w:lang w:eastAsia="fr-FR"/>
              </w:rPr>
            </w:pPr>
          </w:p>
        </w:tc>
        <w:tc>
          <w:tcPr>
            <w:tcW w:w="709" w:type="dxa"/>
            <w:tcBorders>
              <w:top w:val="single" w:sz="4" w:space="0" w:color="auto"/>
              <w:left w:val="single" w:sz="4" w:space="0" w:color="auto"/>
              <w:bottom w:val="single" w:sz="4" w:space="0" w:color="auto"/>
            </w:tcBorders>
          </w:tcPr>
          <w:p w14:paraId="6CA7F8A2" w14:textId="77777777" w:rsidR="00AD300A" w:rsidRPr="009D4CD4" w:rsidRDefault="00AD300A" w:rsidP="006A29EF">
            <w:pPr>
              <w:spacing w:after="0" w:line="240" w:lineRule="auto"/>
              <w:jc w:val="left"/>
              <w:rPr>
                <w:rFonts w:eastAsia="Times New Roman"/>
                <w:b/>
                <w:sz w:val="20"/>
                <w:szCs w:val="20"/>
                <w:lang w:eastAsia="fr-FR"/>
              </w:rPr>
            </w:pPr>
            <w:r w:rsidRPr="009D4CD4">
              <w:rPr>
                <w:rFonts w:eastAsia="Times New Roman"/>
                <w:b/>
                <w:sz w:val="20"/>
                <w:szCs w:val="20"/>
                <w:lang w:eastAsia="fr-FR"/>
              </w:rPr>
              <w:t>IS</w:t>
            </w:r>
          </w:p>
        </w:tc>
        <w:tc>
          <w:tcPr>
            <w:tcW w:w="851" w:type="dxa"/>
            <w:tcBorders>
              <w:top w:val="single" w:sz="4" w:space="0" w:color="auto"/>
              <w:bottom w:val="single" w:sz="4" w:space="0" w:color="auto"/>
            </w:tcBorders>
          </w:tcPr>
          <w:p w14:paraId="05BA8B6F" w14:textId="77777777" w:rsidR="00AD300A" w:rsidRPr="009D4CD4" w:rsidRDefault="00AD300A" w:rsidP="006A29EF">
            <w:pPr>
              <w:spacing w:after="0" w:line="240" w:lineRule="auto"/>
              <w:jc w:val="left"/>
              <w:rPr>
                <w:rFonts w:eastAsia="Times New Roman"/>
                <w:b/>
                <w:sz w:val="20"/>
                <w:szCs w:val="20"/>
                <w:lang w:eastAsia="fr-FR"/>
              </w:rPr>
            </w:pPr>
          </w:p>
        </w:tc>
        <w:tc>
          <w:tcPr>
            <w:tcW w:w="708" w:type="dxa"/>
            <w:tcBorders>
              <w:top w:val="single" w:sz="4" w:space="0" w:color="auto"/>
              <w:bottom w:val="single" w:sz="4" w:space="0" w:color="auto"/>
            </w:tcBorders>
          </w:tcPr>
          <w:p w14:paraId="02FA4462" w14:textId="656F9BD8" w:rsidR="00AD300A" w:rsidRPr="009D4CD4" w:rsidRDefault="00AD300A" w:rsidP="006A29EF">
            <w:pPr>
              <w:spacing w:after="0" w:line="240" w:lineRule="auto"/>
              <w:jc w:val="left"/>
              <w:rPr>
                <w:rFonts w:eastAsia="Times New Roman"/>
                <w:b/>
                <w:sz w:val="20"/>
                <w:szCs w:val="20"/>
                <w:lang w:eastAsia="fr-FR"/>
              </w:rPr>
            </w:pPr>
          </w:p>
        </w:tc>
        <w:tc>
          <w:tcPr>
            <w:tcW w:w="851" w:type="dxa"/>
            <w:tcBorders>
              <w:top w:val="single" w:sz="4" w:space="0" w:color="auto"/>
              <w:bottom w:val="single" w:sz="4" w:space="0" w:color="auto"/>
              <w:right w:val="single" w:sz="4" w:space="0" w:color="auto"/>
            </w:tcBorders>
          </w:tcPr>
          <w:p w14:paraId="561E1BDF" w14:textId="77777777" w:rsidR="00AD300A" w:rsidRPr="009D4CD4" w:rsidRDefault="00AD300A" w:rsidP="006A29EF">
            <w:pPr>
              <w:spacing w:after="0" w:line="240" w:lineRule="auto"/>
              <w:jc w:val="left"/>
              <w:rPr>
                <w:rFonts w:eastAsia="Times New Roman"/>
                <w:b/>
                <w:sz w:val="20"/>
                <w:szCs w:val="20"/>
                <w:lang w:eastAsia="fr-FR"/>
              </w:rPr>
            </w:pPr>
          </w:p>
        </w:tc>
      </w:tr>
      <w:tr w:rsidR="00AD300A" w:rsidRPr="009D4CD4" w14:paraId="05038E1F" w14:textId="77777777" w:rsidTr="00AD300A">
        <w:trPr>
          <w:trHeight w:val="225"/>
        </w:trPr>
        <w:tc>
          <w:tcPr>
            <w:tcW w:w="382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F0C4B4" w14:textId="77777777" w:rsidR="00AD300A" w:rsidRPr="009D4CD4" w:rsidRDefault="00AD300A" w:rsidP="00D94808">
            <w:pPr>
              <w:spacing w:after="0" w:line="240" w:lineRule="auto"/>
              <w:jc w:val="left"/>
              <w:rPr>
                <w:rFonts w:eastAsia="Times New Roman"/>
                <w:sz w:val="20"/>
                <w:szCs w:val="20"/>
                <w:lang w:eastAsia="fr-FR"/>
              </w:rPr>
            </w:pPr>
          </w:p>
        </w:tc>
        <w:tc>
          <w:tcPr>
            <w:tcW w:w="850" w:type="dxa"/>
            <w:tcBorders>
              <w:top w:val="single" w:sz="4" w:space="0" w:color="auto"/>
              <w:left w:val="nil"/>
              <w:bottom w:val="single" w:sz="4" w:space="0" w:color="auto"/>
              <w:right w:val="single" w:sz="4" w:space="0" w:color="auto"/>
            </w:tcBorders>
            <w:shd w:val="clear" w:color="auto" w:fill="auto"/>
            <w:noWrap/>
          </w:tcPr>
          <w:p w14:paraId="14B6F83F" w14:textId="38CA6F38" w:rsidR="00AD300A" w:rsidRPr="009D4CD4" w:rsidRDefault="00AD300A" w:rsidP="00D94808">
            <w:pPr>
              <w:spacing w:after="0" w:line="240" w:lineRule="auto"/>
              <w:jc w:val="left"/>
              <w:rPr>
                <w:rFonts w:eastAsia="Times New Roman"/>
                <w:b/>
                <w:sz w:val="20"/>
                <w:szCs w:val="20"/>
                <w:lang w:eastAsia="fr-FR"/>
              </w:rPr>
            </w:pPr>
            <w:r w:rsidRPr="009D4CD4">
              <w:rPr>
                <w:rFonts w:eastAsia="Times New Roman"/>
                <w:b/>
                <w:sz w:val="20"/>
                <w:szCs w:val="20"/>
                <w:lang w:eastAsia="fr-FR"/>
              </w:rPr>
              <w:t>2021</w:t>
            </w:r>
          </w:p>
        </w:tc>
        <w:tc>
          <w:tcPr>
            <w:tcW w:w="709" w:type="dxa"/>
            <w:tcBorders>
              <w:top w:val="single" w:sz="4" w:space="0" w:color="auto"/>
              <w:left w:val="nil"/>
              <w:bottom w:val="single" w:sz="4" w:space="0" w:color="auto"/>
              <w:right w:val="single" w:sz="4" w:space="0" w:color="auto"/>
            </w:tcBorders>
            <w:shd w:val="clear" w:color="auto" w:fill="auto"/>
            <w:noWrap/>
          </w:tcPr>
          <w:p w14:paraId="4A5E4DF8" w14:textId="5CC075F5" w:rsidR="00AD300A" w:rsidRPr="009D4CD4" w:rsidRDefault="00AD300A" w:rsidP="00D94808">
            <w:pPr>
              <w:spacing w:after="0" w:line="240" w:lineRule="auto"/>
              <w:jc w:val="left"/>
              <w:rPr>
                <w:rFonts w:eastAsia="Times New Roman"/>
                <w:b/>
                <w:sz w:val="20"/>
                <w:szCs w:val="20"/>
                <w:lang w:eastAsia="fr-FR"/>
              </w:rPr>
            </w:pPr>
            <w:r w:rsidRPr="009D4CD4">
              <w:rPr>
                <w:rFonts w:eastAsia="Times New Roman"/>
                <w:b/>
                <w:sz w:val="20"/>
                <w:szCs w:val="20"/>
                <w:lang w:eastAsia="fr-FR"/>
              </w:rPr>
              <w:t>2020</w:t>
            </w:r>
          </w:p>
        </w:tc>
        <w:tc>
          <w:tcPr>
            <w:tcW w:w="850" w:type="dxa"/>
            <w:tcBorders>
              <w:top w:val="single" w:sz="4" w:space="0" w:color="auto"/>
              <w:left w:val="nil"/>
              <w:bottom w:val="single" w:sz="4" w:space="0" w:color="auto"/>
              <w:right w:val="single" w:sz="4" w:space="0" w:color="auto"/>
            </w:tcBorders>
            <w:shd w:val="clear" w:color="auto" w:fill="auto"/>
            <w:noWrap/>
          </w:tcPr>
          <w:p w14:paraId="1EE20F11" w14:textId="0F6116BC" w:rsidR="00AD300A" w:rsidRPr="009D4CD4" w:rsidRDefault="00AD300A" w:rsidP="00D94808">
            <w:pPr>
              <w:spacing w:after="0" w:line="240" w:lineRule="auto"/>
              <w:jc w:val="left"/>
              <w:rPr>
                <w:rFonts w:eastAsia="Times New Roman"/>
                <w:b/>
                <w:sz w:val="20"/>
                <w:szCs w:val="20"/>
                <w:lang w:eastAsia="fr-FR"/>
              </w:rPr>
            </w:pPr>
            <w:r w:rsidRPr="009D4CD4">
              <w:rPr>
                <w:rFonts w:eastAsia="Times New Roman"/>
                <w:b/>
                <w:sz w:val="20"/>
                <w:szCs w:val="20"/>
                <w:lang w:eastAsia="fr-FR"/>
              </w:rPr>
              <w:t>2019</w:t>
            </w:r>
          </w:p>
        </w:tc>
        <w:tc>
          <w:tcPr>
            <w:tcW w:w="709" w:type="dxa"/>
            <w:tcBorders>
              <w:top w:val="single" w:sz="4" w:space="0" w:color="auto"/>
              <w:left w:val="nil"/>
              <w:bottom w:val="single" w:sz="4" w:space="0" w:color="auto"/>
              <w:right w:val="single" w:sz="4" w:space="0" w:color="auto"/>
            </w:tcBorders>
          </w:tcPr>
          <w:p w14:paraId="6168CF33" w14:textId="32D49759" w:rsidR="00AD300A" w:rsidRPr="009D4CD4" w:rsidRDefault="00AD300A" w:rsidP="00D94808">
            <w:pPr>
              <w:spacing w:after="0" w:line="240" w:lineRule="auto"/>
              <w:jc w:val="left"/>
              <w:rPr>
                <w:rFonts w:eastAsia="Times New Roman"/>
                <w:b/>
                <w:sz w:val="20"/>
                <w:szCs w:val="20"/>
                <w:lang w:eastAsia="fr-FR"/>
              </w:rPr>
            </w:pPr>
            <w:r w:rsidRPr="009D4CD4">
              <w:rPr>
                <w:rFonts w:eastAsia="Times New Roman"/>
                <w:b/>
                <w:sz w:val="20"/>
                <w:szCs w:val="20"/>
                <w:lang w:eastAsia="fr-FR"/>
              </w:rPr>
              <w:t>21 IST</w:t>
            </w:r>
          </w:p>
        </w:tc>
        <w:tc>
          <w:tcPr>
            <w:tcW w:w="851" w:type="dxa"/>
            <w:tcBorders>
              <w:top w:val="single" w:sz="4" w:space="0" w:color="auto"/>
              <w:left w:val="nil"/>
              <w:bottom w:val="single" w:sz="4" w:space="0" w:color="auto"/>
              <w:right w:val="nil"/>
            </w:tcBorders>
          </w:tcPr>
          <w:p w14:paraId="3B3FDCE3" w14:textId="2B21827C" w:rsidR="00AD300A" w:rsidRPr="009D4CD4" w:rsidRDefault="00AD300A" w:rsidP="00D94808">
            <w:pPr>
              <w:spacing w:after="0" w:line="240" w:lineRule="auto"/>
              <w:jc w:val="left"/>
              <w:rPr>
                <w:rFonts w:eastAsia="Times New Roman"/>
                <w:b/>
                <w:sz w:val="20"/>
                <w:szCs w:val="20"/>
                <w:lang w:eastAsia="fr-FR"/>
              </w:rPr>
            </w:pPr>
            <w:r w:rsidRPr="009D4CD4">
              <w:rPr>
                <w:rFonts w:eastAsia="Times New Roman"/>
                <w:b/>
                <w:sz w:val="20"/>
                <w:szCs w:val="20"/>
                <w:lang w:eastAsia="fr-FR"/>
              </w:rPr>
              <w:t>21 EDK</w:t>
            </w:r>
          </w:p>
        </w:tc>
        <w:tc>
          <w:tcPr>
            <w:tcW w:w="708" w:type="dxa"/>
            <w:tcBorders>
              <w:top w:val="single" w:sz="4" w:space="0" w:color="auto"/>
              <w:left w:val="nil"/>
              <w:bottom w:val="single" w:sz="4" w:space="0" w:color="auto"/>
              <w:right w:val="single" w:sz="4" w:space="0" w:color="auto"/>
            </w:tcBorders>
          </w:tcPr>
          <w:p w14:paraId="0CE1B112" w14:textId="6083CC42" w:rsidR="00AD300A" w:rsidRPr="009D4CD4" w:rsidRDefault="00AD300A" w:rsidP="00D94808">
            <w:pPr>
              <w:spacing w:after="0" w:line="240" w:lineRule="auto"/>
              <w:jc w:val="left"/>
              <w:rPr>
                <w:rFonts w:eastAsia="Times New Roman"/>
                <w:b/>
                <w:sz w:val="20"/>
                <w:szCs w:val="20"/>
                <w:lang w:eastAsia="fr-FR"/>
              </w:rPr>
            </w:pPr>
            <w:r w:rsidRPr="009D4CD4">
              <w:rPr>
                <w:rFonts w:eastAsia="Times New Roman"/>
                <w:b/>
                <w:sz w:val="20"/>
                <w:szCs w:val="20"/>
                <w:lang w:eastAsia="fr-FR"/>
              </w:rPr>
              <w:t>2020</w:t>
            </w:r>
          </w:p>
        </w:tc>
        <w:tc>
          <w:tcPr>
            <w:tcW w:w="851" w:type="dxa"/>
            <w:tcBorders>
              <w:top w:val="single" w:sz="4" w:space="0" w:color="auto"/>
              <w:left w:val="nil"/>
              <w:bottom w:val="single" w:sz="4" w:space="0" w:color="auto"/>
              <w:right w:val="single" w:sz="4" w:space="0" w:color="auto"/>
            </w:tcBorders>
          </w:tcPr>
          <w:p w14:paraId="4952B556" w14:textId="64774696" w:rsidR="00AD300A" w:rsidRPr="009D4CD4" w:rsidRDefault="00AD300A" w:rsidP="00D94808">
            <w:pPr>
              <w:spacing w:after="0" w:line="240" w:lineRule="auto"/>
              <w:jc w:val="left"/>
              <w:rPr>
                <w:rFonts w:eastAsia="Times New Roman"/>
                <w:b/>
                <w:sz w:val="20"/>
                <w:szCs w:val="20"/>
                <w:lang w:eastAsia="fr-FR"/>
              </w:rPr>
            </w:pPr>
            <w:r w:rsidRPr="009D4CD4">
              <w:rPr>
                <w:rFonts w:eastAsia="Times New Roman"/>
                <w:b/>
                <w:sz w:val="20"/>
                <w:szCs w:val="20"/>
                <w:lang w:eastAsia="fr-FR"/>
              </w:rPr>
              <w:t>2019</w:t>
            </w:r>
          </w:p>
        </w:tc>
      </w:tr>
      <w:tr w:rsidR="00AD300A" w:rsidRPr="009D4CD4" w14:paraId="57916F8E" w14:textId="77777777" w:rsidTr="00AD300A">
        <w:trPr>
          <w:trHeight w:val="225"/>
        </w:trPr>
        <w:tc>
          <w:tcPr>
            <w:tcW w:w="382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04FF95" w14:textId="77777777"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Absentéisme</w:t>
            </w:r>
          </w:p>
        </w:tc>
        <w:tc>
          <w:tcPr>
            <w:tcW w:w="850" w:type="dxa"/>
            <w:tcBorders>
              <w:top w:val="single" w:sz="4" w:space="0" w:color="auto"/>
              <w:left w:val="nil"/>
              <w:bottom w:val="single" w:sz="4" w:space="0" w:color="auto"/>
              <w:right w:val="single" w:sz="4" w:space="0" w:color="auto"/>
            </w:tcBorders>
            <w:shd w:val="clear" w:color="auto" w:fill="auto"/>
            <w:noWrap/>
          </w:tcPr>
          <w:p w14:paraId="52CDD444" w14:textId="3EDD45F2"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7,24 %</w:t>
            </w:r>
          </w:p>
        </w:tc>
        <w:tc>
          <w:tcPr>
            <w:tcW w:w="709" w:type="dxa"/>
            <w:tcBorders>
              <w:top w:val="single" w:sz="4" w:space="0" w:color="auto"/>
              <w:left w:val="nil"/>
              <w:bottom w:val="single" w:sz="4" w:space="0" w:color="auto"/>
              <w:right w:val="single" w:sz="4" w:space="0" w:color="auto"/>
            </w:tcBorders>
            <w:shd w:val="clear" w:color="auto" w:fill="auto"/>
            <w:noWrap/>
          </w:tcPr>
          <w:p w14:paraId="3D550613" w14:textId="1AB1E0FF"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8,46 %</w:t>
            </w:r>
          </w:p>
        </w:tc>
        <w:tc>
          <w:tcPr>
            <w:tcW w:w="850" w:type="dxa"/>
            <w:tcBorders>
              <w:top w:val="single" w:sz="4" w:space="0" w:color="auto"/>
              <w:left w:val="nil"/>
              <w:bottom w:val="single" w:sz="4" w:space="0" w:color="auto"/>
              <w:right w:val="single" w:sz="4" w:space="0" w:color="auto"/>
            </w:tcBorders>
            <w:shd w:val="clear" w:color="auto" w:fill="auto"/>
            <w:noWrap/>
          </w:tcPr>
          <w:p w14:paraId="01D6EAC9" w14:textId="76C4A4A1"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7,0 %</w:t>
            </w:r>
          </w:p>
        </w:tc>
        <w:tc>
          <w:tcPr>
            <w:tcW w:w="709" w:type="dxa"/>
            <w:tcBorders>
              <w:top w:val="single" w:sz="4" w:space="0" w:color="auto"/>
              <w:left w:val="nil"/>
              <w:bottom w:val="single" w:sz="4" w:space="0" w:color="auto"/>
              <w:right w:val="single" w:sz="4" w:space="0" w:color="auto"/>
            </w:tcBorders>
          </w:tcPr>
          <w:p w14:paraId="2CF9D95E" w14:textId="3D9212EC"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4,2 %</w:t>
            </w:r>
          </w:p>
        </w:tc>
        <w:tc>
          <w:tcPr>
            <w:tcW w:w="851" w:type="dxa"/>
            <w:tcBorders>
              <w:top w:val="single" w:sz="4" w:space="0" w:color="auto"/>
              <w:left w:val="nil"/>
              <w:bottom w:val="single" w:sz="4" w:space="0" w:color="auto"/>
              <w:right w:val="nil"/>
            </w:tcBorders>
          </w:tcPr>
          <w:p w14:paraId="3FFBD47D" w14:textId="4ACBD62E" w:rsidR="00AD300A" w:rsidRPr="009D4CD4" w:rsidRDefault="00420D52" w:rsidP="00D94808">
            <w:pPr>
              <w:spacing w:after="0" w:line="240" w:lineRule="auto"/>
              <w:jc w:val="left"/>
              <w:rPr>
                <w:rFonts w:eastAsia="Times New Roman"/>
                <w:sz w:val="20"/>
                <w:szCs w:val="20"/>
                <w:lang w:eastAsia="fr-FR"/>
              </w:rPr>
            </w:pPr>
            <w:r w:rsidRPr="009D4CD4">
              <w:rPr>
                <w:rFonts w:eastAsia="Times New Roman"/>
                <w:sz w:val="20"/>
                <w:szCs w:val="20"/>
                <w:lang w:eastAsia="fr-FR"/>
              </w:rPr>
              <w:t>6,33 %</w:t>
            </w:r>
          </w:p>
        </w:tc>
        <w:tc>
          <w:tcPr>
            <w:tcW w:w="708" w:type="dxa"/>
            <w:tcBorders>
              <w:top w:val="single" w:sz="4" w:space="0" w:color="auto"/>
              <w:left w:val="nil"/>
              <w:bottom w:val="single" w:sz="4" w:space="0" w:color="auto"/>
              <w:right w:val="single" w:sz="4" w:space="0" w:color="auto"/>
            </w:tcBorders>
          </w:tcPr>
          <w:p w14:paraId="0814B569" w14:textId="1C09D34C"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4.72%</w:t>
            </w:r>
          </w:p>
        </w:tc>
        <w:tc>
          <w:tcPr>
            <w:tcW w:w="851" w:type="dxa"/>
            <w:tcBorders>
              <w:top w:val="single" w:sz="4" w:space="0" w:color="auto"/>
              <w:left w:val="nil"/>
              <w:bottom w:val="single" w:sz="4" w:space="0" w:color="auto"/>
              <w:right w:val="single" w:sz="4" w:space="0" w:color="auto"/>
            </w:tcBorders>
          </w:tcPr>
          <w:p w14:paraId="1D80217D" w14:textId="035A4324"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5.14%</w:t>
            </w:r>
          </w:p>
        </w:tc>
      </w:tr>
      <w:tr w:rsidR="00AD300A" w:rsidRPr="009D4CD4" w14:paraId="5F9C8879" w14:textId="77777777" w:rsidTr="00AD300A">
        <w:trPr>
          <w:trHeight w:val="240"/>
        </w:trPr>
        <w:tc>
          <w:tcPr>
            <w:tcW w:w="3823" w:type="dxa"/>
            <w:tcBorders>
              <w:top w:val="nil"/>
              <w:left w:val="single" w:sz="4" w:space="0" w:color="auto"/>
              <w:bottom w:val="single" w:sz="4" w:space="0" w:color="auto"/>
              <w:right w:val="single" w:sz="4" w:space="0" w:color="auto"/>
            </w:tcBorders>
            <w:shd w:val="clear" w:color="auto" w:fill="auto"/>
            <w:noWrap/>
            <w:vAlign w:val="bottom"/>
            <w:hideMark/>
          </w:tcPr>
          <w:p w14:paraId="01718ECE" w14:textId="77777777"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dont : absentéisme pour maladie, accident du travail et trajet</w:t>
            </w:r>
          </w:p>
        </w:tc>
        <w:tc>
          <w:tcPr>
            <w:tcW w:w="850" w:type="dxa"/>
            <w:tcBorders>
              <w:top w:val="nil"/>
              <w:left w:val="nil"/>
              <w:bottom w:val="single" w:sz="4" w:space="0" w:color="auto"/>
              <w:right w:val="single" w:sz="4" w:space="0" w:color="auto"/>
            </w:tcBorders>
            <w:shd w:val="clear" w:color="auto" w:fill="auto"/>
            <w:noWrap/>
          </w:tcPr>
          <w:p w14:paraId="7C801DBE" w14:textId="3276208B"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3,95 %</w:t>
            </w:r>
          </w:p>
        </w:tc>
        <w:tc>
          <w:tcPr>
            <w:tcW w:w="709" w:type="dxa"/>
            <w:tcBorders>
              <w:top w:val="nil"/>
              <w:left w:val="nil"/>
              <w:bottom w:val="single" w:sz="4" w:space="0" w:color="auto"/>
              <w:right w:val="single" w:sz="4" w:space="0" w:color="auto"/>
            </w:tcBorders>
            <w:shd w:val="clear" w:color="auto" w:fill="auto"/>
            <w:noWrap/>
          </w:tcPr>
          <w:p w14:paraId="5A0208F8" w14:textId="70ECB92F"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4,62 %</w:t>
            </w:r>
          </w:p>
        </w:tc>
        <w:tc>
          <w:tcPr>
            <w:tcW w:w="850" w:type="dxa"/>
            <w:tcBorders>
              <w:top w:val="nil"/>
              <w:left w:val="nil"/>
              <w:bottom w:val="single" w:sz="4" w:space="0" w:color="auto"/>
              <w:right w:val="single" w:sz="4" w:space="0" w:color="auto"/>
            </w:tcBorders>
            <w:shd w:val="clear" w:color="auto" w:fill="auto"/>
            <w:noWrap/>
            <w:hideMark/>
          </w:tcPr>
          <w:p w14:paraId="1B1EFCB8" w14:textId="343A5803"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3,7 %</w:t>
            </w:r>
          </w:p>
        </w:tc>
        <w:tc>
          <w:tcPr>
            <w:tcW w:w="709" w:type="dxa"/>
            <w:tcBorders>
              <w:top w:val="nil"/>
              <w:left w:val="nil"/>
              <w:bottom w:val="single" w:sz="4" w:space="0" w:color="auto"/>
              <w:right w:val="single" w:sz="4" w:space="0" w:color="auto"/>
            </w:tcBorders>
          </w:tcPr>
          <w:p w14:paraId="0ED1E488" w14:textId="3205CB4F"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2.5%</w:t>
            </w:r>
          </w:p>
        </w:tc>
        <w:tc>
          <w:tcPr>
            <w:tcW w:w="851" w:type="dxa"/>
            <w:tcBorders>
              <w:top w:val="nil"/>
              <w:left w:val="nil"/>
              <w:bottom w:val="single" w:sz="4" w:space="0" w:color="auto"/>
              <w:right w:val="nil"/>
            </w:tcBorders>
          </w:tcPr>
          <w:p w14:paraId="7A7AB774" w14:textId="7A43F048" w:rsidR="00AD300A" w:rsidRPr="009D4CD4" w:rsidRDefault="00420D52" w:rsidP="00D94808">
            <w:pPr>
              <w:spacing w:after="0" w:line="240" w:lineRule="auto"/>
              <w:jc w:val="left"/>
              <w:rPr>
                <w:rFonts w:eastAsia="Times New Roman"/>
                <w:sz w:val="20"/>
                <w:szCs w:val="20"/>
                <w:lang w:eastAsia="fr-FR"/>
              </w:rPr>
            </w:pPr>
            <w:r w:rsidRPr="009D4CD4">
              <w:rPr>
                <w:rFonts w:eastAsia="Times New Roman"/>
                <w:sz w:val="20"/>
                <w:szCs w:val="20"/>
                <w:lang w:eastAsia="fr-FR"/>
              </w:rPr>
              <w:t>5,28 %</w:t>
            </w:r>
          </w:p>
        </w:tc>
        <w:tc>
          <w:tcPr>
            <w:tcW w:w="708" w:type="dxa"/>
            <w:tcBorders>
              <w:top w:val="nil"/>
              <w:left w:val="nil"/>
              <w:bottom w:val="single" w:sz="4" w:space="0" w:color="auto"/>
              <w:right w:val="single" w:sz="4" w:space="0" w:color="auto"/>
            </w:tcBorders>
          </w:tcPr>
          <w:p w14:paraId="2538E609" w14:textId="3B139CFF"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3.65%</w:t>
            </w:r>
          </w:p>
        </w:tc>
        <w:tc>
          <w:tcPr>
            <w:tcW w:w="851" w:type="dxa"/>
            <w:tcBorders>
              <w:top w:val="nil"/>
              <w:left w:val="nil"/>
              <w:bottom w:val="single" w:sz="4" w:space="0" w:color="auto"/>
              <w:right w:val="single" w:sz="4" w:space="0" w:color="auto"/>
            </w:tcBorders>
          </w:tcPr>
          <w:p w14:paraId="12DDBCB1" w14:textId="515E2EE5"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4.71%</w:t>
            </w:r>
          </w:p>
        </w:tc>
      </w:tr>
      <w:tr w:rsidR="00AD300A" w:rsidRPr="009D4CD4" w14:paraId="289CFF2C" w14:textId="77777777" w:rsidTr="00AD300A">
        <w:trPr>
          <w:trHeight w:val="240"/>
        </w:trPr>
        <w:tc>
          <w:tcPr>
            <w:tcW w:w="3823" w:type="dxa"/>
            <w:tcBorders>
              <w:top w:val="nil"/>
              <w:left w:val="single" w:sz="4" w:space="0" w:color="auto"/>
              <w:bottom w:val="single" w:sz="4" w:space="0" w:color="auto"/>
              <w:right w:val="single" w:sz="4" w:space="0" w:color="auto"/>
            </w:tcBorders>
            <w:shd w:val="clear" w:color="auto" w:fill="auto"/>
            <w:noWrap/>
            <w:vAlign w:val="bottom"/>
            <w:hideMark/>
          </w:tcPr>
          <w:p w14:paraId="132C7050" w14:textId="77777777"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dont : absentéisme autres motifs (maternité, congés parentaux, congés paternité, évènements familiaux, congés sans solde)</w:t>
            </w:r>
          </w:p>
        </w:tc>
        <w:tc>
          <w:tcPr>
            <w:tcW w:w="850" w:type="dxa"/>
            <w:tcBorders>
              <w:top w:val="nil"/>
              <w:left w:val="nil"/>
              <w:bottom w:val="single" w:sz="4" w:space="0" w:color="auto"/>
              <w:right w:val="single" w:sz="4" w:space="0" w:color="auto"/>
            </w:tcBorders>
            <w:shd w:val="clear" w:color="auto" w:fill="auto"/>
            <w:noWrap/>
          </w:tcPr>
          <w:p w14:paraId="2ADD652F" w14:textId="3B69A7D5"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3,29 %</w:t>
            </w:r>
          </w:p>
        </w:tc>
        <w:tc>
          <w:tcPr>
            <w:tcW w:w="709" w:type="dxa"/>
            <w:tcBorders>
              <w:top w:val="nil"/>
              <w:left w:val="nil"/>
              <w:bottom w:val="single" w:sz="4" w:space="0" w:color="auto"/>
              <w:right w:val="single" w:sz="4" w:space="0" w:color="auto"/>
            </w:tcBorders>
            <w:shd w:val="clear" w:color="auto" w:fill="auto"/>
            <w:noWrap/>
          </w:tcPr>
          <w:p w14:paraId="0A7F97CA" w14:textId="660620FC"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3,84 %</w:t>
            </w:r>
          </w:p>
        </w:tc>
        <w:tc>
          <w:tcPr>
            <w:tcW w:w="850" w:type="dxa"/>
            <w:tcBorders>
              <w:top w:val="nil"/>
              <w:left w:val="nil"/>
              <w:bottom w:val="single" w:sz="4" w:space="0" w:color="auto"/>
              <w:right w:val="single" w:sz="4" w:space="0" w:color="auto"/>
            </w:tcBorders>
            <w:shd w:val="clear" w:color="auto" w:fill="auto"/>
            <w:noWrap/>
            <w:hideMark/>
          </w:tcPr>
          <w:p w14:paraId="5BEEE072" w14:textId="29768102"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3,3 %</w:t>
            </w:r>
          </w:p>
        </w:tc>
        <w:tc>
          <w:tcPr>
            <w:tcW w:w="709" w:type="dxa"/>
            <w:tcBorders>
              <w:top w:val="nil"/>
              <w:left w:val="nil"/>
              <w:bottom w:val="single" w:sz="4" w:space="0" w:color="auto"/>
              <w:right w:val="single" w:sz="4" w:space="0" w:color="auto"/>
            </w:tcBorders>
          </w:tcPr>
          <w:p w14:paraId="76255ADD" w14:textId="67E3C0B1"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1,7 %</w:t>
            </w:r>
          </w:p>
        </w:tc>
        <w:tc>
          <w:tcPr>
            <w:tcW w:w="851" w:type="dxa"/>
            <w:tcBorders>
              <w:top w:val="nil"/>
              <w:left w:val="nil"/>
              <w:bottom w:val="single" w:sz="4" w:space="0" w:color="auto"/>
              <w:right w:val="nil"/>
            </w:tcBorders>
          </w:tcPr>
          <w:p w14:paraId="41F0E410" w14:textId="33234F0B" w:rsidR="00AD300A" w:rsidRPr="009D4CD4" w:rsidRDefault="00420D52" w:rsidP="00D94808">
            <w:pPr>
              <w:spacing w:after="0" w:line="240" w:lineRule="auto"/>
              <w:jc w:val="left"/>
              <w:rPr>
                <w:rFonts w:eastAsia="Times New Roman"/>
                <w:sz w:val="20"/>
                <w:szCs w:val="20"/>
                <w:lang w:eastAsia="fr-FR"/>
              </w:rPr>
            </w:pPr>
            <w:r w:rsidRPr="009D4CD4">
              <w:rPr>
                <w:rFonts w:eastAsia="Times New Roman"/>
                <w:sz w:val="20"/>
                <w:szCs w:val="20"/>
                <w:lang w:eastAsia="fr-FR"/>
              </w:rPr>
              <w:t>1,05 %</w:t>
            </w:r>
          </w:p>
        </w:tc>
        <w:tc>
          <w:tcPr>
            <w:tcW w:w="708" w:type="dxa"/>
            <w:tcBorders>
              <w:top w:val="nil"/>
              <w:left w:val="nil"/>
              <w:bottom w:val="single" w:sz="4" w:space="0" w:color="auto"/>
              <w:right w:val="single" w:sz="4" w:space="0" w:color="auto"/>
            </w:tcBorders>
          </w:tcPr>
          <w:p w14:paraId="121BCE3E" w14:textId="50DCCEA8"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ND</w:t>
            </w:r>
          </w:p>
        </w:tc>
        <w:tc>
          <w:tcPr>
            <w:tcW w:w="851" w:type="dxa"/>
            <w:tcBorders>
              <w:top w:val="nil"/>
              <w:left w:val="nil"/>
              <w:bottom w:val="single" w:sz="4" w:space="0" w:color="auto"/>
              <w:right w:val="single" w:sz="4" w:space="0" w:color="auto"/>
            </w:tcBorders>
          </w:tcPr>
          <w:p w14:paraId="4FC3E109" w14:textId="7951DAC6"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ND</w:t>
            </w:r>
          </w:p>
        </w:tc>
      </w:tr>
      <w:tr w:rsidR="00AD300A" w:rsidRPr="009D4CD4" w14:paraId="6201D365" w14:textId="77777777" w:rsidTr="00AD300A">
        <w:trPr>
          <w:trHeight w:val="240"/>
        </w:trPr>
        <w:tc>
          <w:tcPr>
            <w:tcW w:w="3823" w:type="dxa"/>
            <w:tcBorders>
              <w:top w:val="nil"/>
              <w:left w:val="single" w:sz="4" w:space="0" w:color="auto"/>
              <w:bottom w:val="single" w:sz="4" w:space="0" w:color="auto"/>
              <w:right w:val="single" w:sz="4" w:space="0" w:color="auto"/>
            </w:tcBorders>
            <w:shd w:val="clear" w:color="auto" w:fill="auto"/>
            <w:noWrap/>
            <w:vAlign w:val="bottom"/>
            <w:hideMark/>
          </w:tcPr>
          <w:p w14:paraId="29F5F9DA" w14:textId="77777777"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Accidents du travail</w:t>
            </w:r>
          </w:p>
        </w:tc>
        <w:tc>
          <w:tcPr>
            <w:tcW w:w="850" w:type="dxa"/>
            <w:tcBorders>
              <w:top w:val="nil"/>
              <w:left w:val="nil"/>
              <w:bottom w:val="single" w:sz="4" w:space="0" w:color="auto"/>
              <w:right w:val="single" w:sz="4" w:space="0" w:color="auto"/>
            </w:tcBorders>
            <w:shd w:val="clear" w:color="auto" w:fill="auto"/>
            <w:noWrap/>
          </w:tcPr>
          <w:p w14:paraId="5C7EE2E1" w14:textId="146929F2"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23</w:t>
            </w:r>
          </w:p>
        </w:tc>
        <w:tc>
          <w:tcPr>
            <w:tcW w:w="709" w:type="dxa"/>
            <w:tcBorders>
              <w:top w:val="nil"/>
              <w:left w:val="nil"/>
              <w:bottom w:val="single" w:sz="4" w:space="0" w:color="auto"/>
              <w:right w:val="single" w:sz="4" w:space="0" w:color="auto"/>
            </w:tcBorders>
            <w:shd w:val="clear" w:color="auto" w:fill="auto"/>
            <w:noWrap/>
          </w:tcPr>
          <w:p w14:paraId="0AD2C4E8" w14:textId="1999A114"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24</w:t>
            </w:r>
          </w:p>
        </w:tc>
        <w:tc>
          <w:tcPr>
            <w:tcW w:w="850" w:type="dxa"/>
            <w:tcBorders>
              <w:top w:val="nil"/>
              <w:left w:val="nil"/>
              <w:bottom w:val="single" w:sz="4" w:space="0" w:color="auto"/>
              <w:right w:val="single" w:sz="4" w:space="0" w:color="auto"/>
            </w:tcBorders>
            <w:shd w:val="clear" w:color="auto" w:fill="auto"/>
            <w:noWrap/>
            <w:hideMark/>
          </w:tcPr>
          <w:p w14:paraId="52D8B2B9" w14:textId="67D1170E"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29</w:t>
            </w:r>
          </w:p>
        </w:tc>
        <w:tc>
          <w:tcPr>
            <w:tcW w:w="709" w:type="dxa"/>
            <w:tcBorders>
              <w:top w:val="nil"/>
              <w:left w:val="nil"/>
              <w:bottom w:val="single" w:sz="4" w:space="0" w:color="auto"/>
              <w:right w:val="single" w:sz="4" w:space="0" w:color="auto"/>
            </w:tcBorders>
          </w:tcPr>
          <w:p w14:paraId="5E4D571F" w14:textId="55D6A665"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2</w:t>
            </w:r>
          </w:p>
        </w:tc>
        <w:tc>
          <w:tcPr>
            <w:tcW w:w="851" w:type="dxa"/>
            <w:tcBorders>
              <w:top w:val="nil"/>
              <w:left w:val="nil"/>
              <w:bottom w:val="single" w:sz="4" w:space="0" w:color="auto"/>
              <w:right w:val="nil"/>
            </w:tcBorders>
          </w:tcPr>
          <w:p w14:paraId="6ECB5077" w14:textId="7533883F" w:rsidR="00AD300A" w:rsidRPr="009D4CD4" w:rsidRDefault="00420D52" w:rsidP="00D94808">
            <w:pPr>
              <w:spacing w:after="0" w:line="240" w:lineRule="auto"/>
              <w:jc w:val="left"/>
              <w:rPr>
                <w:rFonts w:eastAsia="Times New Roman"/>
                <w:sz w:val="20"/>
                <w:szCs w:val="20"/>
                <w:lang w:eastAsia="fr-FR"/>
              </w:rPr>
            </w:pPr>
            <w:r w:rsidRPr="009D4CD4">
              <w:rPr>
                <w:rFonts w:eastAsia="Times New Roman"/>
                <w:sz w:val="20"/>
                <w:szCs w:val="20"/>
                <w:lang w:eastAsia="fr-FR"/>
              </w:rPr>
              <w:t>6</w:t>
            </w:r>
          </w:p>
        </w:tc>
        <w:tc>
          <w:tcPr>
            <w:tcW w:w="708" w:type="dxa"/>
            <w:tcBorders>
              <w:top w:val="nil"/>
              <w:left w:val="nil"/>
              <w:bottom w:val="single" w:sz="4" w:space="0" w:color="auto"/>
              <w:right w:val="single" w:sz="4" w:space="0" w:color="auto"/>
            </w:tcBorders>
          </w:tcPr>
          <w:p w14:paraId="58141A06" w14:textId="516A1C44"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8</w:t>
            </w:r>
          </w:p>
        </w:tc>
        <w:tc>
          <w:tcPr>
            <w:tcW w:w="851" w:type="dxa"/>
            <w:tcBorders>
              <w:top w:val="nil"/>
              <w:left w:val="nil"/>
              <w:bottom w:val="single" w:sz="4" w:space="0" w:color="auto"/>
              <w:right w:val="single" w:sz="4" w:space="0" w:color="auto"/>
            </w:tcBorders>
          </w:tcPr>
          <w:p w14:paraId="16374940" w14:textId="7B4B0B6D"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12</w:t>
            </w:r>
          </w:p>
        </w:tc>
      </w:tr>
      <w:tr w:rsidR="00AD300A" w:rsidRPr="009D4CD4" w14:paraId="10B1DA63" w14:textId="77777777" w:rsidTr="00AD300A">
        <w:trPr>
          <w:trHeight w:val="240"/>
        </w:trPr>
        <w:tc>
          <w:tcPr>
            <w:tcW w:w="38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17BDE7" w14:textId="77777777"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Dont accidents de trajets</w:t>
            </w:r>
          </w:p>
        </w:tc>
        <w:tc>
          <w:tcPr>
            <w:tcW w:w="850" w:type="dxa"/>
            <w:tcBorders>
              <w:top w:val="single" w:sz="4" w:space="0" w:color="auto"/>
              <w:left w:val="nil"/>
              <w:bottom w:val="single" w:sz="4" w:space="0" w:color="auto"/>
              <w:right w:val="single" w:sz="4" w:space="0" w:color="auto"/>
            </w:tcBorders>
            <w:shd w:val="clear" w:color="auto" w:fill="auto"/>
            <w:noWrap/>
          </w:tcPr>
          <w:p w14:paraId="58DD3C8E" w14:textId="5C91FF41"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15</w:t>
            </w:r>
          </w:p>
        </w:tc>
        <w:tc>
          <w:tcPr>
            <w:tcW w:w="709" w:type="dxa"/>
            <w:tcBorders>
              <w:top w:val="single" w:sz="4" w:space="0" w:color="auto"/>
              <w:left w:val="nil"/>
              <w:bottom w:val="single" w:sz="4" w:space="0" w:color="auto"/>
              <w:right w:val="single" w:sz="4" w:space="0" w:color="auto"/>
            </w:tcBorders>
            <w:shd w:val="clear" w:color="auto" w:fill="auto"/>
            <w:noWrap/>
          </w:tcPr>
          <w:p w14:paraId="3A68F452" w14:textId="5B6E5591"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10</w:t>
            </w:r>
          </w:p>
        </w:tc>
        <w:tc>
          <w:tcPr>
            <w:tcW w:w="850" w:type="dxa"/>
            <w:tcBorders>
              <w:top w:val="single" w:sz="4" w:space="0" w:color="auto"/>
              <w:left w:val="nil"/>
              <w:bottom w:val="single" w:sz="4" w:space="0" w:color="auto"/>
              <w:right w:val="single" w:sz="4" w:space="0" w:color="auto"/>
            </w:tcBorders>
            <w:shd w:val="clear" w:color="auto" w:fill="auto"/>
            <w:noWrap/>
            <w:hideMark/>
          </w:tcPr>
          <w:p w14:paraId="6771B45F" w14:textId="43D8E5CE"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8</w:t>
            </w:r>
          </w:p>
        </w:tc>
        <w:tc>
          <w:tcPr>
            <w:tcW w:w="709" w:type="dxa"/>
            <w:tcBorders>
              <w:top w:val="single" w:sz="4" w:space="0" w:color="auto"/>
              <w:left w:val="nil"/>
              <w:bottom w:val="single" w:sz="4" w:space="0" w:color="auto"/>
              <w:right w:val="single" w:sz="4" w:space="0" w:color="auto"/>
            </w:tcBorders>
          </w:tcPr>
          <w:p w14:paraId="10217E66" w14:textId="12145081"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1</w:t>
            </w:r>
          </w:p>
        </w:tc>
        <w:tc>
          <w:tcPr>
            <w:tcW w:w="851" w:type="dxa"/>
            <w:tcBorders>
              <w:top w:val="single" w:sz="4" w:space="0" w:color="auto"/>
              <w:left w:val="nil"/>
              <w:bottom w:val="single" w:sz="4" w:space="0" w:color="auto"/>
              <w:right w:val="nil"/>
            </w:tcBorders>
          </w:tcPr>
          <w:p w14:paraId="4E871D2E" w14:textId="2857075B" w:rsidR="00AD300A" w:rsidRPr="009D4CD4" w:rsidRDefault="00420D52" w:rsidP="00D94808">
            <w:pPr>
              <w:spacing w:after="0" w:line="240" w:lineRule="auto"/>
              <w:jc w:val="left"/>
              <w:rPr>
                <w:rFonts w:eastAsia="Times New Roman"/>
                <w:sz w:val="20"/>
                <w:szCs w:val="20"/>
                <w:lang w:eastAsia="fr-FR"/>
              </w:rPr>
            </w:pPr>
            <w:r w:rsidRPr="009D4CD4">
              <w:rPr>
                <w:rFonts w:eastAsia="Times New Roman"/>
                <w:sz w:val="20"/>
                <w:szCs w:val="20"/>
                <w:lang w:eastAsia="fr-FR"/>
              </w:rPr>
              <w:t>3</w:t>
            </w:r>
          </w:p>
        </w:tc>
        <w:tc>
          <w:tcPr>
            <w:tcW w:w="708" w:type="dxa"/>
            <w:tcBorders>
              <w:top w:val="single" w:sz="4" w:space="0" w:color="auto"/>
              <w:left w:val="nil"/>
              <w:bottom w:val="single" w:sz="4" w:space="0" w:color="auto"/>
              <w:right w:val="single" w:sz="4" w:space="0" w:color="auto"/>
            </w:tcBorders>
          </w:tcPr>
          <w:p w14:paraId="6FFAD962" w14:textId="08DAD76D"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1</w:t>
            </w:r>
          </w:p>
        </w:tc>
        <w:tc>
          <w:tcPr>
            <w:tcW w:w="851" w:type="dxa"/>
            <w:tcBorders>
              <w:top w:val="single" w:sz="4" w:space="0" w:color="auto"/>
              <w:left w:val="nil"/>
              <w:bottom w:val="single" w:sz="4" w:space="0" w:color="auto"/>
              <w:right w:val="single" w:sz="4" w:space="0" w:color="auto"/>
            </w:tcBorders>
          </w:tcPr>
          <w:p w14:paraId="057265A3" w14:textId="37E161AC" w:rsidR="00AD300A" w:rsidRPr="009D4CD4" w:rsidRDefault="00AD300A" w:rsidP="00D94808">
            <w:pPr>
              <w:spacing w:after="0" w:line="240" w:lineRule="auto"/>
              <w:jc w:val="left"/>
              <w:rPr>
                <w:rFonts w:eastAsia="Times New Roman"/>
                <w:sz w:val="20"/>
                <w:szCs w:val="20"/>
                <w:lang w:eastAsia="fr-FR"/>
              </w:rPr>
            </w:pPr>
            <w:r w:rsidRPr="009D4CD4">
              <w:rPr>
                <w:rFonts w:eastAsia="Times New Roman"/>
                <w:sz w:val="20"/>
                <w:szCs w:val="20"/>
                <w:lang w:eastAsia="fr-FR"/>
              </w:rPr>
              <w:t>3</w:t>
            </w:r>
          </w:p>
        </w:tc>
      </w:tr>
    </w:tbl>
    <w:p w14:paraId="6DE7E14F" w14:textId="77777777" w:rsidR="00041339" w:rsidRPr="009D4CD4" w:rsidRDefault="00041339" w:rsidP="00B72A61">
      <w:pPr>
        <w:spacing w:after="0" w:line="240" w:lineRule="auto"/>
        <w:jc w:val="left"/>
      </w:pPr>
    </w:p>
    <w:p w14:paraId="34EFF394" w14:textId="34318529" w:rsidR="00B72A61" w:rsidRPr="009D4CD4" w:rsidRDefault="00B72A61" w:rsidP="00F41917">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446D61E7" w14:textId="77777777" w:rsidR="005E2849" w:rsidRPr="009D4CD4" w:rsidRDefault="005E2849" w:rsidP="00B72A61">
      <w:pPr>
        <w:autoSpaceDE w:val="0"/>
        <w:autoSpaceDN w:val="0"/>
        <w:adjustRightInd w:val="0"/>
        <w:spacing w:after="0" w:line="240" w:lineRule="auto"/>
        <w:jc w:val="left"/>
        <w:rPr>
          <w:color w:val="FF0000"/>
        </w:rPr>
      </w:pPr>
    </w:p>
    <w:p w14:paraId="2D9D6304" w14:textId="3520F0C0" w:rsidR="00B72A61" w:rsidRPr="009D4CD4" w:rsidRDefault="00B72A61" w:rsidP="00B72A61">
      <w:pPr>
        <w:autoSpaceDE w:val="0"/>
        <w:autoSpaceDN w:val="0"/>
        <w:adjustRightInd w:val="0"/>
        <w:spacing w:after="0" w:line="240" w:lineRule="auto"/>
        <w:jc w:val="left"/>
        <w:rPr>
          <w:rFonts w:cs="Arial"/>
        </w:rPr>
      </w:pPr>
      <w:r w:rsidRPr="009D4CD4">
        <w:rPr>
          <w:rFonts w:cs="Arial"/>
        </w:rPr>
        <w:t xml:space="preserve">La </w:t>
      </w:r>
      <w:r w:rsidR="00A7717F">
        <w:rPr>
          <w:rFonts w:cs="Arial"/>
        </w:rPr>
        <w:t>Caisse Régionale</w:t>
      </w:r>
      <w:r w:rsidRPr="009D4CD4">
        <w:rPr>
          <w:rFonts w:cs="Arial"/>
        </w:rPr>
        <w:t xml:space="preserve"> porte une attention particulière à la prévention et à la prise en comp</w:t>
      </w:r>
      <w:r w:rsidR="0039562E">
        <w:rPr>
          <w:rFonts w:cs="Arial"/>
        </w:rPr>
        <w:t xml:space="preserve">te des risques professionnels. </w:t>
      </w:r>
      <w:r w:rsidRPr="009D4CD4">
        <w:rPr>
          <w:rFonts w:cs="Arial"/>
        </w:rPr>
        <w:t xml:space="preserve">Elle </w:t>
      </w:r>
      <w:r w:rsidR="007F6A53" w:rsidRPr="009D4CD4">
        <w:rPr>
          <w:rFonts w:cs="Arial"/>
        </w:rPr>
        <w:t>sensibilise</w:t>
      </w:r>
      <w:r w:rsidRPr="009D4CD4">
        <w:rPr>
          <w:rFonts w:cs="Arial"/>
        </w:rPr>
        <w:t xml:space="preserve"> réguliè</w:t>
      </w:r>
      <w:r w:rsidR="007F6A53" w:rsidRPr="009D4CD4">
        <w:rPr>
          <w:rFonts w:cs="Arial"/>
        </w:rPr>
        <w:t>rement les salariés aux problématiques de sécurité, notamment routière</w:t>
      </w:r>
      <w:r w:rsidRPr="009D4CD4">
        <w:rPr>
          <w:rFonts w:cs="Arial"/>
        </w:rPr>
        <w:t xml:space="preserve">. </w:t>
      </w:r>
    </w:p>
    <w:p w14:paraId="09EC649A" w14:textId="5FDE81FF" w:rsidR="00B72A61" w:rsidRPr="009D4CD4" w:rsidRDefault="007F6A53" w:rsidP="00B72A61">
      <w:pPr>
        <w:autoSpaceDE w:val="0"/>
        <w:autoSpaceDN w:val="0"/>
        <w:adjustRightInd w:val="0"/>
        <w:spacing w:after="0" w:line="240" w:lineRule="auto"/>
        <w:jc w:val="left"/>
        <w:rPr>
          <w:rFonts w:cs="Arial"/>
        </w:rPr>
      </w:pPr>
      <w:r w:rsidRPr="009D4CD4">
        <w:t xml:space="preserve">La </w:t>
      </w:r>
      <w:r w:rsidR="00A7717F">
        <w:t>Caisse Régionale</w:t>
      </w:r>
      <w:r w:rsidRPr="009D4CD4">
        <w:t xml:space="preserve"> veille à la </w:t>
      </w:r>
      <w:r w:rsidR="00B72A61" w:rsidRPr="009D4CD4">
        <w:t xml:space="preserve">santé et </w:t>
      </w:r>
      <w:r w:rsidRPr="009D4CD4">
        <w:t xml:space="preserve">à la </w:t>
      </w:r>
      <w:r w:rsidR="00B72A61" w:rsidRPr="009D4CD4">
        <w:t>sécurité au travail à travers différents moyens. En</w:t>
      </w:r>
      <w:r w:rsidR="00B72A61" w:rsidRPr="009D4CD4">
        <w:rPr>
          <w:rFonts w:cs="Arial"/>
        </w:rPr>
        <w:t xml:space="preserve"> premier lieu, elle se conforme aux dispositions de l’accord </w:t>
      </w:r>
      <w:r w:rsidR="00914221" w:rsidRPr="009D4CD4">
        <w:rPr>
          <w:rFonts w:cs="Arial"/>
        </w:rPr>
        <w:t>de branche</w:t>
      </w:r>
      <w:r w:rsidR="00B72A61" w:rsidRPr="009D4CD4">
        <w:rPr>
          <w:rFonts w:cs="Arial"/>
        </w:rPr>
        <w:t xml:space="preserve"> sur les Conditions de travail. Cet accord pose un cadre pour les transformations de l’entreprise autour de sept axes : organis</w:t>
      </w:r>
      <w:r w:rsidR="006A29EF" w:rsidRPr="009D4CD4">
        <w:rPr>
          <w:rFonts w:cs="Arial"/>
        </w:rPr>
        <w:t xml:space="preserve">ation du travail et changement </w:t>
      </w:r>
      <w:r w:rsidR="00B72A61" w:rsidRPr="009D4CD4">
        <w:rPr>
          <w:rFonts w:cs="Arial"/>
        </w:rPr>
        <w:t>d’organisa</w:t>
      </w:r>
      <w:r w:rsidR="006A29EF" w:rsidRPr="009D4CD4">
        <w:rPr>
          <w:rFonts w:cs="Arial"/>
        </w:rPr>
        <w:t xml:space="preserve">tion ; système d’information ; </w:t>
      </w:r>
      <w:r w:rsidR="00B72A61" w:rsidRPr="009D4CD4">
        <w:rPr>
          <w:rFonts w:cs="Arial"/>
        </w:rPr>
        <w:t>sens au travail et compréhension de la stratégie ; réalisation dans le travail ; promotion d’un management favorisant les collectifs de travail ; préparation des managers ; association des partenaires sociaux.</w:t>
      </w:r>
    </w:p>
    <w:p w14:paraId="4CDC1ABF" w14:textId="77777777" w:rsidR="00B72A61" w:rsidRPr="009D4CD4" w:rsidRDefault="00B72A61" w:rsidP="00B72A61">
      <w:pPr>
        <w:autoSpaceDE w:val="0"/>
        <w:autoSpaceDN w:val="0"/>
        <w:adjustRightInd w:val="0"/>
        <w:spacing w:after="0" w:line="240" w:lineRule="auto"/>
        <w:jc w:val="left"/>
        <w:rPr>
          <w:rFonts w:cs="Arial"/>
        </w:rPr>
      </w:pPr>
    </w:p>
    <w:p w14:paraId="32FAF112" w14:textId="530ADF92" w:rsidR="00830963" w:rsidRPr="009D4CD4" w:rsidRDefault="00B72A61" w:rsidP="00D81772">
      <w:pPr>
        <w:autoSpaceDE w:val="0"/>
        <w:autoSpaceDN w:val="0"/>
        <w:adjustRightInd w:val="0"/>
        <w:spacing w:after="0" w:line="240" w:lineRule="auto"/>
        <w:jc w:val="left"/>
        <w:rPr>
          <w:rFonts w:cs="Tahoma"/>
        </w:rPr>
      </w:pPr>
      <w:r w:rsidRPr="009D4CD4">
        <w:rPr>
          <w:rFonts w:cs="Arial"/>
        </w:rPr>
        <w:t>Par ailleurs, la</w:t>
      </w:r>
      <w:r w:rsidRPr="009D4CD4">
        <w:rPr>
          <w:rFonts w:cs="Tahoma"/>
        </w:rPr>
        <w:t xml:space="preserve"> procédure</w:t>
      </w:r>
      <w:r w:rsidR="006A29EF" w:rsidRPr="009D4CD4">
        <w:rPr>
          <w:rFonts w:cs="Tahoma"/>
        </w:rPr>
        <w:t xml:space="preserve"> « Traiter</w:t>
      </w:r>
      <w:r w:rsidRPr="009D4CD4">
        <w:rPr>
          <w:rFonts w:cs="Tahoma"/>
        </w:rPr>
        <w:t xml:space="preserve"> une incivilité, une agression, une menace d'un client », en ligne dans l’intranet, permet d’expliquer aux salariés comment faire face aux altercations, injures, diffamations, outrages, et autres menaces. Les salariés peuvent déclarer une incivilité en toute autonomie sur le poste de travail. Un soutien psychologique est systé</w:t>
      </w:r>
      <w:r w:rsidR="00D81772" w:rsidRPr="009D4CD4">
        <w:rPr>
          <w:rFonts w:cs="Tahoma"/>
        </w:rPr>
        <w:t xml:space="preserve">matiquement proposé dans ce cas. </w:t>
      </w:r>
    </w:p>
    <w:p w14:paraId="632FB4CF" w14:textId="77777777" w:rsidR="00DE756C" w:rsidRPr="009D4CD4" w:rsidRDefault="00DE756C" w:rsidP="00D81772">
      <w:pPr>
        <w:autoSpaceDE w:val="0"/>
        <w:autoSpaceDN w:val="0"/>
        <w:adjustRightInd w:val="0"/>
        <w:spacing w:after="0" w:line="240" w:lineRule="auto"/>
        <w:jc w:val="left"/>
        <w:rPr>
          <w:rFonts w:cs="Tahoma"/>
        </w:rPr>
      </w:pPr>
    </w:p>
    <w:p w14:paraId="5FFF17A7" w14:textId="23F37639" w:rsidR="00B72A61" w:rsidRPr="009D4CD4" w:rsidRDefault="00B72A61" w:rsidP="00B72A61">
      <w:pPr>
        <w:pStyle w:val="NormalWeb"/>
        <w:spacing w:before="0" w:beforeAutospacing="0" w:after="0" w:afterAutospacing="0"/>
        <w:rPr>
          <w:rFonts w:ascii="Calibri" w:eastAsia="Calibri" w:hAnsi="Calibri" w:cs="Arial"/>
          <w:sz w:val="22"/>
          <w:szCs w:val="22"/>
          <w:lang w:eastAsia="en-US"/>
        </w:rPr>
      </w:pPr>
      <w:r w:rsidRPr="009D4CD4">
        <w:rPr>
          <w:rFonts w:ascii="Calibri" w:eastAsia="Calibri" w:hAnsi="Calibri" w:cs="Arial"/>
          <w:sz w:val="22"/>
          <w:szCs w:val="22"/>
          <w:lang w:eastAsia="en-US"/>
        </w:rPr>
        <w:t xml:space="preserve">D'autre part et conformément à la réglementation, la </w:t>
      </w:r>
      <w:r w:rsidR="00A7717F">
        <w:rPr>
          <w:rFonts w:ascii="Calibri" w:eastAsia="Calibri" w:hAnsi="Calibri" w:cs="Arial"/>
          <w:sz w:val="22"/>
          <w:szCs w:val="22"/>
          <w:lang w:eastAsia="en-US"/>
        </w:rPr>
        <w:t>Caisse Régionale</w:t>
      </w:r>
      <w:r w:rsidRPr="009D4CD4">
        <w:rPr>
          <w:rFonts w:ascii="Calibri" w:eastAsia="Calibri" w:hAnsi="Calibri" w:cs="Arial"/>
          <w:sz w:val="22"/>
          <w:szCs w:val="22"/>
          <w:lang w:eastAsia="en-US"/>
        </w:rPr>
        <w:t xml:space="preserve"> tient à jour dans l’intranet un Document Unique d</w:t>
      </w:r>
      <w:r w:rsidR="007F6A53" w:rsidRPr="009D4CD4">
        <w:rPr>
          <w:rFonts w:ascii="Calibri" w:eastAsia="Calibri" w:hAnsi="Calibri" w:cs="Arial"/>
          <w:sz w:val="22"/>
          <w:szCs w:val="22"/>
          <w:lang w:eastAsia="en-US"/>
        </w:rPr>
        <w:t xml:space="preserve">’Evaluation des Risques </w:t>
      </w:r>
      <w:r w:rsidRPr="009D4CD4">
        <w:rPr>
          <w:rFonts w:ascii="Calibri" w:eastAsia="Calibri" w:hAnsi="Calibri" w:cs="Arial"/>
          <w:sz w:val="22"/>
          <w:szCs w:val="22"/>
          <w:lang w:eastAsia="en-US"/>
        </w:rPr>
        <w:t>présentant les résultats de l’évaluation des risques pour la sécurité et la santé des travailleurs. Cette évaluation comporte un inventaire des risques identifiés dans chaque unité de travail de l’entreprise. Le bilan des accidents du travail et des incivilités est communiqué à chaque séance de la CSSCT, et fait l'objet d'un bilan annuel. Plus généralement, une veille permanente des questions de sécurité et santé est réalisée par la Direction des Ressources Humaines, en concerta</w:t>
      </w:r>
      <w:r w:rsidR="007F6A53" w:rsidRPr="009D4CD4">
        <w:rPr>
          <w:rFonts w:ascii="Calibri" w:eastAsia="Calibri" w:hAnsi="Calibri" w:cs="Arial"/>
          <w:sz w:val="22"/>
          <w:szCs w:val="22"/>
          <w:lang w:eastAsia="en-US"/>
        </w:rPr>
        <w:t>tion étroite avec la CSSCT et la</w:t>
      </w:r>
      <w:r w:rsidRPr="009D4CD4">
        <w:rPr>
          <w:rFonts w:ascii="Calibri" w:eastAsia="Calibri" w:hAnsi="Calibri" w:cs="Arial"/>
          <w:sz w:val="22"/>
          <w:szCs w:val="22"/>
          <w:lang w:eastAsia="en-US"/>
        </w:rPr>
        <w:t xml:space="preserve"> médecin</w:t>
      </w:r>
      <w:r w:rsidR="007F6A53" w:rsidRPr="009D4CD4">
        <w:rPr>
          <w:rFonts w:ascii="Calibri" w:eastAsia="Calibri" w:hAnsi="Calibri" w:cs="Arial"/>
          <w:sz w:val="22"/>
          <w:szCs w:val="22"/>
          <w:lang w:eastAsia="en-US"/>
        </w:rPr>
        <w:t>e</w:t>
      </w:r>
      <w:r w:rsidRPr="009D4CD4">
        <w:rPr>
          <w:rFonts w:ascii="Calibri" w:eastAsia="Calibri" w:hAnsi="Calibri" w:cs="Arial"/>
          <w:sz w:val="22"/>
          <w:szCs w:val="22"/>
          <w:lang w:eastAsia="en-US"/>
        </w:rPr>
        <w:t xml:space="preserve"> du travail.</w:t>
      </w:r>
    </w:p>
    <w:p w14:paraId="5198AE72" w14:textId="7B2DA138" w:rsidR="00914221" w:rsidRPr="009D4CD4" w:rsidRDefault="007F6A53" w:rsidP="00914221">
      <w:pPr>
        <w:autoSpaceDE w:val="0"/>
        <w:autoSpaceDN w:val="0"/>
        <w:adjustRightInd w:val="0"/>
        <w:spacing w:after="0" w:line="240" w:lineRule="auto"/>
        <w:jc w:val="left"/>
        <w:rPr>
          <w:rFonts w:asciiTheme="minorHAnsi" w:hAnsiTheme="minorHAnsi" w:cs="Arial"/>
        </w:rPr>
      </w:pPr>
      <w:r w:rsidRPr="009D4CD4">
        <w:rPr>
          <w:rFonts w:asciiTheme="minorHAnsi" w:hAnsiTheme="minorHAnsi" w:cs="Arial"/>
        </w:rPr>
        <w:t xml:space="preserve">Depuis 2017, un </w:t>
      </w:r>
      <w:r w:rsidR="00B72A61" w:rsidRPr="009D4CD4">
        <w:rPr>
          <w:rFonts w:asciiTheme="minorHAnsi" w:hAnsiTheme="minorHAnsi" w:cs="Arial"/>
        </w:rPr>
        <w:t>accord spécifique</w:t>
      </w:r>
      <w:r w:rsidRPr="009D4CD4">
        <w:rPr>
          <w:rFonts w:asciiTheme="minorHAnsi" w:hAnsiTheme="minorHAnsi" w:cs="Arial"/>
        </w:rPr>
        <w:t xml:space="preserve"> sur le droit à la déconnexion a été signé avec les organisations syndicales.</w:t>
      </w:r>
      <w:r w:rsidR="00914221" w:rsidRPr="009D4CD4">
        <w:rPr>
          <w:rFonts w:asciiTheme="minorHAnsi" w:hAnsiTheme="minorHAnsi" w:cs="Arial"/>
        </w:rPr>
        <w:t xml:space="preserve"> Dans le cas de la crise sanitaire COVID 19, la CR a régulièrement mis à jour les protocoles sanitaires applicables dans l’entreprise conformément aux préconisations gouvernementales et en concertation avec le médecin du travail et les partenaires sociaux. Les consignes sanitaires et organisations du travail mises en place sont rappelées régulièrement à l’ensemble des salariés par mail et l’ensemble des consignes (actuelles et historiques) est également accessible dans l’intranet de l’entreprise.</w:t>
      </w:r>
    </w:p>
    <w:p w14:paraId="208ED303" w14:textId="17012D39" w:rsidR="00041339" w:rsidRPr="009D4CD4" w:rsidRDefault="00041339" w:rsidP="00914221">
      <w:pPr>
        <w:autoSpaceDE w:val="0"/>
        <w:autoSpaceDN w:val="0"/>
        <w:adjustRightInd w:val="0"/>
        <w:spacing w:after="0" w:line="240" w:lineRule="auto"/>
        <w:jc w:val="left"/>
        <w:rPr>
          <w:rFonts w:asciiTheme="minorHAnsi" w:hAnsiTheme="minorHAnsi" w:cs="Arial"/>
        </w:rPr>
      </w:pPr>
    </w:p>
    <w:p w14:paraId="67E6D332" w14:textId="6797D219" w:rsidR="00491932" w:rsidRPr="009D4CD4" w:rsidRDefault="00041339" w:rsidP="00491932">
      <w:pPr>
        <w:autoSpaceDE w:val="0"/>
        <w:autoSpaceDN w:val="0"/>
        <w:adjustRightInd w:val="0"/>
        <w:spacing w:after="0" w:line="240" w:lineRule="auto"/>
        <w:jc w:val="left"/>
        <w:rPr>
          <w:rFonts w:asciiTheme="minorHAnsi" w:hAnsiTheme="minorHAnsi" w:cs="Arial"/>
        </w:rPr>
      </w:pPr>
      <w:r w:rsidRPr="009D4CD4">
        <w:rPr>
          <w:rFonts w:asciiTheme="minorHAnsi" w:hAnsiTheme="minorHAnsi" w:cs="Arial"/>
        </w:rPr>
        <w:t>Enfin, en 2021, 3 accords avec les partenaires sociaux sont en cours en matière de santé et sécurité : Télétravail, Travail déplacé et Droit à la Déconnexion.</w:t>
      </w:r>
    </w:p>
    <w:p w14:paraId="1D410659" w14:textId="77777777" w:rsidR="00491932" w:rsidRPr="009D4CD4" w:rsidRDefault="00491932" w:rsidP="00491932">
      <w:pPr>
        <w:autoSpaceDE w:val="0"/>
        <w:autoSpaceDN w:val="0"/>
        <w:adjustRightInd w:val="0"/>
        <w:spacing w:after="0" w:line="240" w:lineRule="auto"/>
        <w:jc w:val="left"/>
        <w:rPr>
          <w:rFonts w:asciiTheme="minorHAnsi" w:hAnsiTheme="minorHAnsi" w:cs="Arial"/>
        </w:rPr>
      </w:pPr>
    </w:p>
    <w:p w14:paraId="629D4E5C" w14:textId="0ED28C57" w:rsidR="00491932" w:rsidRPr="009D4CD4" w:rsidRDefault="00491932" w:rsidP="00491932">
      <w:pPr>
        <w:numPr>
          <w:ilvl w:val="0"/>
          <w:numId w:val="4"/>
        </w:numPr>
        <w:spacing w:after="0" w:line="240" w:lineRule="auto"/>
        <w:jc w:val="left"/>
        <w:rPr>
          <w:rFonts w:cs="Arial"/>
        </w:rPr>
      </w:pPr>
      <w:r w:rsidRPr="009D4CD4">
        <w:rPr>
          <w:rFonts w:cs="Arial"/>
        </w:rPr>
        <w:t>Les filiales Edokial et Inforsud Technologies</w:t>
      </w:r>
      <w:r w:rsidR="004D466B" w:rsidRPr="009D4CD4">
        <w:rPr>
          <w:rFonts w:cs="Arial"/>
        </w:rPr>
        <w:t xml:space="preserve"> (IST)</w:t>
      </w:r>
    </w:p>
    <w:p w14:paraId="47D40AF2" w14:textId="6BF4576C" w:rsidR="00491932" w:rsidRPr="009D4CD4" w:rsidRDefault="00491932" w:rsidP="00491932">
      <w:pPr>
        <w:spacing w:after="0" w:line="240" w:lineRule="auto"/>
        <w:jc w:val="left"/>
        <w:rPr>
          <w:rFonts w:asciiTheme="minorHAnsi" w:hAnsiTheme="minorHAnsi" w:cs="Arial"/>
        </w:rPr>
      </w:pPr>
    </w:p>
    <w:p w14:paraId="506D7941" w14:textId="77777777" w:rsidR="002776C4" w:rsidRPr="009D4CD4" w:rsidRDefault="002776C4" w:rsidP="002776C4">
      <w:pPr>
        <w:spacing w:after="0" w:line="240" w:lineRule="auto"/>
        <w:jc w:val="left"/>
        <w:rPr>
          <w:rFonts w:cs="Arial"/>
          <w:i/>
        </w:rPr>
      </w:pPr>
      <w:r w:rsidRPr="009D4CD4">
        <w:rPr>
          <w:rFonts w:cs="Arial"/>
          <w:i/>
        </w:rPr>
        <w:t>Edokial</w:t>
      </w:r>
    </w:p>
    <w:p w14:paraId="12D19659" w14:textId="77777777" w:rsidR="002776C4" w:rsidRPr="009D4CD4" w:rsidRDefault="002776C4" w:rsidP="002776C4">
      <w:pPr>
        <w:spacing w:after="0" w:line="240" w:lineRule="auto"/>
        <w:jc w:val="left"/>
        <w:rPr>
          <w:rFonts w:asciiTheme="minorHAnsi" w:hAnsiTheme="minorHAnsi" w:cs="Arial"/>
        </w:rPr>
      </w:pPr>
    </w:p>
    <w:p w14:paraId="3BE81185" w14:textId="631D4AF1" w:rsidR="002776C4" w:rsidRPr="009D4CD4" w:rsidRDefault="002776C4" w:rsidP="002776C4">
      <w:pPr>
        <w:spacing w:after="0" w:line="240" w:lineRule="auto"/>
        <w:jc w:val="left"/>
      </w:pPr>
      <w:r w:rsidRPr="009D4CD4">
        <w:t>Les actions conduites visent à prévenir et diminuer les risques chimiques, mécaniques, psychosociaux, liés au bruit, à l’ergonomie des postes ou encore les risques routiers. Ces actions sont validées en Commission Hygiène et Sécurité, à travers la mise en œuvre et le suivi du Document unique d’évaluation des risques professionnels.</w:t>
      </w:r>
    </w:p>
    <w:p w14:paraId="50F4F4A1" w14:textId="5FA89A86" w:rsidR="002776C4" w:rsidRPr="009D4CD4" w:rsidRDefault="002776C4" w:rsidP="002776C4">
      <w:pPr>
        <w:pStyle w:val="Commentaire"/>
        <w:rPr>
          <w:sz w:val="22"/>
          <w:szCs w:val="22"/>
        </w:rPr>
      </w:pPr>
      <w:r w:rsidRPr="009D4CD4">
        <w:rPr>
          <w:sz w:val="22"/>
          <w:szCs w:val="22"/>
        </w:rPr>
        <w:t>Les critères de pénibilité sont eux aussi évalués.</w:t>
      </w:r>
    </w:p>
    <w:p w14:paraId="623CFF9D" w14:textId="519F790C" w:rsidR="002776C4" w:rsidRPr="009D4CD4" w:rsidRDefault="002776C4" w:rsidP="002776C4">
      <w:pPr>
        <w:pStyle w:val="Commentaire"/>
        <w:rPr>
          <w:sz w:val="22"/>
          <w:szCs w:val="22"/>
        </w:rPr>
      </w:pPr>
      <w:r w:rsidRPr="009D4CD4">
        <w:rPr>
          <w:sz w:val="22"/>
          <w:szCs w:val="22"/>
        </w:rPr>
        <w:t>La démarche est la suivante</w:t>
      </w:r>
      <w:r w:rsidR="0039562E">
        <w:rPr>
          <w:sz w:val="22"/>
          <w:szCs w:val="22"/>
        </w:rPr>
        <w:t> :</w:t>
      </w:r>
    </w:p>
    <w:p w14:paraId="3EBCDE16" w14:textId="67217E42" w:rsidR="002776C4" w:rsidRPr="009D4CD4" w:rsidRDefault="002776C4" w:rsidP="002776C4">
      <w:pPr>
        <w:spacing w:after="0" w:line="240" w:lineRule="auto"/>
        <w:jc w:val="left"/>
      </w:pPr>
      <w:r w:rsidRPr="009D4CD4">
        <w:t>&gt; Gestion d’un outil d’analyse des accidents de travail déployé à chaque accident de travail,</w:t>
      </w:r>
      <w:r w:rsidRPr="009D4CD4">
        <w:br/>
        <w:t>&gt; Animation de la démarche ATEX (atmosphère explosive) sur les différents sites, (mission engagée avec l’APAVE</w:t>
      </w:r>
      <w:r w:rsidR="0039562E">
        <w:t>),</w:t>
      </w:r>
      <w:r w:rsidR="0039562E">
        <w:br/>
        <w:t>&gt; V</w:t>
      </w:r>
      <w:r w:rsidRPr="009D4CD4">
        <w:t>isites sécurité sur sites,</w:t>
      </w:r>
      <w:r w:rsidRPr="009D4CD4">
        <w:br/>
        <w:t>&gt; Sensibilisation des collaborateurs au travail sur écran,</w:t>
      </w:r>
      <w:r w:rsidRPr="009D4CD4">
        <w:br/>
        <w:t>&gt; Sensibilisation, dans les ateliers, aux manutentions manuelles.</w:t>
      </w:r>
      <w:r w:rsidRPr="009D4CD4">
        <w:br/>
      </w:r>
    </w:p>
    <w:p w14:paraId="235F13F7" w14:textId="77777777" w:rsidR="002776C4" w:rsidRPr="009D4CD4" w:rsidRDefault="002776C4" w:rsidP="002776C4">
      <w:pPr>
        <w:spacing w:after="0" w:line="240" w:lineRule="auto"/>
        <w:jc w:val="left"/>
        <w:rPr>
          <w:bCs/>
          <w:i/>
        </w:rPr>
      </w:pPr>
      <w:r w:rsidRPr="009D4CD4">
        <w:rPr>
          <w:bCs/>
          <w:i/>
        </w:rPr>
        <w:t>Equipement de protection individuel et nuisance sonores</w:t>
      </w:r>
      <w:r w:rsidRPr="009D4CD4">
        <w:rPr>
          <w:bCs/>
          <w:i/>
        </w:rPr>
        <w:br/>
      </w:r>
    </w:p>
    <w:p w14:paraId="02935691" w14:textId="04D49072" w:rsidR="002776C4" w:rsidRPr="009D4CD4" w:rsidRDefault="002776C4" w:rsidP="002776C4">
      <w:pPr>
        <w:spacing w:after="0" w:line="240" w:lineRule="auto"/>
        <w:jc w:val="left"/>
      </w:pPr>
      <w:r w:rsidRPr="009D4CD4">
        <w:t xml:space="preserve">Pour le personnel exposé aux sources de bruit, l’entreprise fournit à chaque salarié les équipements de protection individuelle (EPI) adaptés aux risques auxquels ils font face. Notamment, les salariés travaillant sur machine ou en atelier dans lequel une nuisance sonore peut être constatée, sont équipés de bouchons d’oreille personnels adaptés à leur empreinte auriculaire. </w:t>
      </w:r>
    </w:p>
    <w:p w14:paraId="696CA1F6" w14:textId="77777777" w:rsidR="002776C4" w:rsidRPr="009D4CD4" w:rsidRDefault="002776C4" w:rsidP="002776C4">
      <w:pPr>
        <w:spacing w:after="0" w:line="240" w:lineRule="auto"/>
        <w:jc w:val="left"/>
      </w:pPr>
      <w:r w:rsidRPr="009D4CD4">
        <w:t>Des études de l’ambiance sonore des ateliers ont été réalisées afin d’évaluer l’exposition au bruit des salariés. Ces démarches sont mises en œuvre par des entreprises privées spécialisées ou par des organismes affiliés à la médecine du travail. Les résultats ont mis en évidence un bon niveau de protection des salariés. Les machines sont majoritairement équipées de protecteurs afin de réduire la nuisance sonore.</w:t>
      </w:r>
      <w:r w:rsidRPr="009D4CD4">
        <w:t/>
      </w:r>
    </w:p>
    <w:p w14:paraId="4150C0D4" w14:textId="3BB61C54" w:rsidR="002776C4" w:rsidRPr="009D4CD4" w:rsidRDefault="002776C4" w:rsidP="00491932">
      <w:pPr>
        <w:spacing w:after="0" w:line="240" w:lineRule="auto"/>
        <w:jc w:val="left"/>
        <w:rPr>
          <w:rFonts w:asciiTheme="minorHAnsi" w:hAnsiTheme="minorHAnsi" w:cs="Arial"/>
        </w:rPr>
      </w:pPr>
    </w:p>
    <w:p w14:paraId="5469A98B" w14:textId="7D9F4CD0" w:rsidR="002776C4" w:rsidRPr="009D4CD4" w:rsidRDefault="002776C4" w:rsidP="00491932">
      <w:pPr>
        <w:spacing w:after="0" w:line="240" w:lineRule="auto"/>
        <w:jc w:val="left"/>
        <w:rPr>
          <w:rFonts w:asciiTheme="minorHAnsi" w:hAnsiTheme="minorHAnsi" w:cs="Arial"/>
        </w:rPr>
      </w:pPr>
      <w:r w:rsidRPr="009D4CD4">
        <w:rPr>
          <w:rFonts w:asciiTheme="minorHAnsi" w:hAnsiTheme="minorHAnsi" w:cs="Arial"/>
        </w:rPr>
        <w:t>IST</w:t>
      </w:r>
    </w:p>
    <w:p w14:paraId="2B3057AD" w14:textId="408682FD" w:rsidR="00491932" w:rsidRPr="009D4CD4" w:rsidRDefault="00491932" w:rsidP="00491932">
      <w:pPr>
        <w:spacing w:after="0" w:line="240" w:lineRule="auto"/>
        <w:jc w:val="left"/>
      </w:pPr>
      <w:r w:rsidRPr="009D4CD4">
        <w:t>Les actions conduites visent à prévenir et diminuer les risques mécaniques, psychosociaux, à l’ergonomie des postes ou encore les risques routiers.  Elles portent également sur la protection de ses salariés en matière d’hygiène, de sécurité et de pénibilité au travail.</w:t>
      </w:r>
    </w:p>
    <w:p w14:paraId="78A061C2" w14:textId="77777777" w:rsidR="00491932" w:rsidRPr="009D4CD4" w:rsidRDefault="00491932" w:rsidP="00491932">
      <w:pPr>
        <w:spacing w:after="0" w:line="240" w:lineRule="auto"/>
        <w:jc w:val="left"/>
      </w:pPr>
    </w:p>
    <w:p w14:paraId="3BD34E7B" w14:textId="18E7EE27" w:rsidR="00491932" w:rsidRPr="009D4CD4" w:rsidRDefault="00491932" w:rsidP="00491932">
      <w:pPr>
        <w:widowControl w:val="0"/>
        <w:spacing w:after="0" w:line="240" w:lineRule="auto"/>
        <w:jc w:val="left"/>
      </w:pPr>
      <w:r w:rsidRPr="009D4CD4">
        <w:t>Le Chargé de Sécurité mène différentes actions :</w:t>
      </w:r>
      <w:r w:rsidRPr="009D4CD4">
        <w:br/>
        <w:t>&gt; Gestion d’un outil d’analyse des accidents de travail déployé à chaque accident de travail,</w:t>
      </w:r>
      <w:r w:rsidRPr="009D4CD4">
        <w:br/>
        <w:t>&gt; Visites Sécurité sur les sites,</w:t>
      </w:r>
      <w:r w:rsidRPr="009D4CD4">
        <w:br/>
        <w:t>&gt; Communication Sécurité ,</w:t>
      </w:r>
      <w:r w:rsidRPr="009D4CD4">
        <w:br/>
        <w:t>&gt; Sensibilisation des collaborateurs au travail sur écran,</w:t>
      </w:r>
      <w:r w:rsidRPr="009D4CD4">
        <w:br/>
        <w:t>&gt; Veille réglementaire.</w:t>
      </w:r>
    </w:p>
    <w:p w14:paraId="34769A07" w14:textId="77777777" w:rsidR="00491932" w:rsidRPr="009D4CD4" w:rsidRDefault="00491932" w:rsidP="00491932">
      <w:pPr>
        <w:widowControl w:val="0"/>
        <w:spacing w:after="0" w:line="240" w:lineRule="auto"/>
        <w:jc w:val="left"/>
      </w:pPr>
    </w:p>
    <w:p w14:paraId="44FFD41C" w14:textId="1059F6F4" w:rsidR="00491932" w:rsidRPr="009D4CD4" w:rsidRDefault="00491932" w:rsidP="00491932">
      <w:pPr>
        <w:widowControl w:val="0"/>
        <w:spacing w:after="0" w:line="240" w:lineRule="auto"/>
        <w:jc w:val="left"/>
      </w:pPr>
      <w:r w:rsidRPr="009D4CD4">
        <w:t xml:space="preserve">Depuis la crise sanitaire de 2020, le télétravail a été généralisé pour l’ensemble des collaborateurs de l’entreprise. Pour les personnes ne pouvant télétravailler, un protocole sanitaire a été mis en place et adapté à chaque métier. </w:t>
      </w:r>
    </w:p>
    <w:p w14:paraId="22C120C9" w14:textId="77777777" w:rsidR="00B72A61" w:rsidRPr="009D4CD4" w:rsidRDefault="00B72A61" w:rsidP="00B72A61">
      <w:pPr>
        <w:spacing w:after="0" w:line="240" w:lineRule="auto"/>
        <w:jc w:val="left"/>
        <w:rPr>
          <w:rFonts w:eastAsia="Times New Roman"/>
          <w:lang w:eastAsia="fr-FR"/>
        </w:rPr>
      </w:pPr>
    </w:p>
    <w:p w14:paraId="6613762A" w14:textId="7B055427" w:rsidR="0078371D" w:rsidRPr="009D4CD4" w:rsidRDefault="0078371D" w:rsidP="00B72A61">
      <w:pPr>
        <w:spacing w:after="0" w:line="240" w:lineRule="auto"/>
        <w:jc w:val="left"/>
        <w:rPr>
          <w:rFonts w:eastAsia="Times New Roman"/>
          <w:lang w:eastAsia="fr-FR"/>
        </w:rPr>
      </w:pPr>
    </w:p>
    <w:p w14:paraId="17529B8F" w14:textId="617E00C2" w:rsidR="00350FE3" w:rsidRPr="009D4CD4" w:rsidRDefault="00350FE3" w:rsidP="00326D6D">
      <w:pPr>
        <w:pStyle w:val="Titre3"/>
        <w:rPr>
          <w:lang w:eastAsia="fr-FR"/>
        </w:rPr>
      </w:pPr>
      <w:bookmarkStart w:id="111" w:name="_Toc96698023"/>
      <w:r w:rsidRPr="009D4CD4">
        <w:rPr>
          <w:lang w:eastAsia="fr-FR"/>
        </w:rPr>
        <w:t>Le projet managérial</w:t>
      </w:r>
      <w:r w:rsidR="002E21E7" w:rsidRPr="009D4CD4">
        <w:rPr>
          <w:lang w:eastAsia="fr-FR"/>
        </w:rPr>
        <w:t xml:space="preserve"> « 100% manager »</w:t>
      </w:r>
      <w:bookmarkEnd w:id="111"/>
    </w:p>
    <w:p w14:paraId="7107FFE1" w14:textId="69522AF6" w:rsidR="00134005" w:rsidRPr="009D4CD4" w:rsidRDefault="00134005" w:rsidP="00B72A61">
      <w:pPr>
        <w:spacing w:after="0" w:line="240" w:lineRule="auto"/>
        <w:jc w:val="left"/>
        <w:rPr>
          <w:rFonts w:eastAsia="Times New Roman"/>
          <w:lang w:eastAsia="fr-FR"/>
        </w:rPr>
      </w:pPr>
    </w:p>
    <w:p w14:paraId="4F1C20B0" w14:textId="44585373" w:rsidR="002C5DC2" w:rsidRPr="009D4CD4" w:rsidRDefault="00914221" w:rsidP="00524BF2">
      <w:pPr>
        <w:spacing w:after="0" w:line="240" w:lineRule="auto"/>
        <w:jc w:val="left"/>
        <w:rPr>
          <w:rFonts w:cs="Arial"/>
        </w:rPr>
      </w:pPr>
      <w:r w:rsidRPr="009D4CD4">
        <w:rPr>
          <w:rFonts w:asciiTheme="minorHAnsi" w:hAnsiTheme="minorHAnsi" w:cstheme="minorBidi"/>
          <w:color w:val="000000" w:themeColor="text1"/>
        </w:rPr>
        <w:t>Lancé</w:t>
      </w:r>
      <w:r w:rsidR="00454100" w:rsidRPr="009D4CD4">
        <w:rPr>
          <w:rFonts w:asciiTheme="minorHAnsi" w:hAnsiTheme="minorHAnsi" w:cstheme="minorBidi"/>
          <w:color w:val="000000" w:themeColor="text1"/>
        </w:rPr>
        <w:t xml:space="preserve"> en </w:t>
      </w:r>
      <w:r w:rsidR="00454100" w:rsidRPr="009D4CD4">
        <w:rPr>
          <w:rFonts w:cs="Arial"/>
        </w:rPr>
        <w:t>2021, le projet managérial 100% Manager</w:t>
      </w:r>
      <w:r w:rsidRPr="009D4CD4">
        <w:rPr>
          <w:rFonts w:cs="Arial"/>
        </w:rPr>
        <w:t xml:space="preserve"> portant sur l’accompagnement des managers,</w:t>
      </w:r>
      <w:r w:rsidR="00454100" w:rsidRPr="009D4CD4">
        <w:rPr>
          <w:rFonts w:cs="Arial"/>
        </w:rPr>
        <w:t xml:space="preserve"> a été alimenté par les propositions </w:t>
      </w:r>
      <w:r w:rsidRPr="009D4CD4">
        <w:rPr>
          <w:rFonts w:cs="Arial"/>
        </w:rPr>
        <w:t>formulées</w:t>
      </w:r>
      <w:r w:rsidR="00454100" w:rsidRPr="009D4CD4">
        <w:rPr>
          <w:rFonts w:cs="Arial"/>
        </w:rPr>
        <w:t xml:space="preserve"> par un </w:t>
      </w:r>
      <w:r w:rsidR="00134005" w:rsidRPr="009D4CD4">
        <w:rPr>
          <w:rFonts w:cs="Arial"/>
        </w:rPr>
        <w:t xml:space="preserve">groupe de travail </w:t>
      </w:r>
      <w:r w:rsidRPr="009D4CD4">
        <w:rPr>
          <w:rFonts w:cs="Arial"/>
        </w:rPr>
        <w:t xml:space="preserve">pluridisciplinaire </w:t>
      </w:r>
      <w:r w:rsidR="00134005" w:rsidRPr="009D4CD4">
        <w:rPr>
          <w:rFonts w:cs="Arial"/>
        </w:rPr>
        <w:t>de 16 person</w:t>
      </w:r>
      <w:r w:rsidRPr="009D4CD4">
        <w:rPr>
          <w:rFonts w:cs="Arial"/>
        </w:rPr>
        <w:t>nes</w:t>
      </w:r>
      <w:r w:rsidR="00524BF2" w:rsidRPr="009D4CD4">
        <w:rPr>
          <w:rFonts w:cs="Arial"/>
        </w:rPr>
        <w:t xml:space="preserve">.  </w:t>
      </w:r>
    </w:p>
    <w:p w14:paraId="2A6FFFCC" w14:textId="5D7D510B" w:rsidR="003A2996" w:rsidRPr="009D4CD4" w:rsidRDefault="003A2996" w:rsidP="003A2996">
      <w:pPr>
        <w:spacing w:after="0" w:line="240" w:lineRule="auto"/>
        <w:jc w:val="left"/>
      </w:pPr>
      <w:r w:rsidRPr="009D4CD4">
        <w:t xml:space="preserve">L’objectif </w:t>
      </w:r>
      <w:r w:rsidRPr="009D4CD4">
        <w:rPr>
          <w:color w:val="000000" w:themeColor="text1"/>
        </w:rPr>
        <w:t xml:space="preserve">du projet </w:t>
      </w:r>
      <w:r w:rsidRPr="009D4CD4">
        <w:t>vise à créer une communauté de managers partageant des valeurs et une vision commune.</w:t>
      </w:r>
    </w:p>
    <w:p w14:paraId="7ABD39C1" w14:textId="77777777" w:rsidR="003A2996" w:rsidRPr="009D4CD4" w:rsidRDefault="003A2996" w:rsidP="00524BF2">
      <w:pPr>
        <w:spacing w:after="0" w:line="240" w:lineRule="auto"/>
        <w:jc w:val="left"/>
        <w:rPr>
          <w:rFonts w:cs="Arial"/>
        </w:rPr>
      </w:pPr>
    </w:p>
    <w:p w14:paraId="24E69442" w14:textId="487CE72B" w:rsidR="00524BF2" w:rsidRPr="009D4CD4" w:rsidRDefault="00134005" w:rsidP="00524BF2">
      <w:pPr>
        <w:spacing w:after="0" w:line="240" w:lineRule="auto"/>
        <w:jc w:val="left"/>
        <w:rPr>
          <w:rFonts w:cs="Arial"/>
        </w:rPr>
      </w:pPr>
      <w:r w:rsidRPr="009D4CD4">
        <w:rPr>
          <w:rFonts w:cs="Arial"/>
        </w:rPr>
        <w:t>Les enjeux</w:t>
      </w:r>
      <w:r w:rsidR="00524BF2" w:rsidRPr="009D4CD4">
        <w:rPr>
          <w:rFonts w:cs="Arial"/>
        </w:rPr>
        <w:t xml:space="preserve"> du projet reposent sur plusieurs axes</w:t>
      </w:r>
      <w:r w:rsidR="002C5DC2" w:rsidRPr="009D4CD4">
        <w:rPr>
          <w:rFonts w:cs="Arial"/>
        </w:rPr>
        <w:t xml:space="preserve"> : </w:t>
      </w:r>
    </w:p>
    <w:p w14:paraId="7611597D" w14:textId="77777777" w:rsidR="003A2996" w:rsidRPr="009D4CD4" w:rsidRDefault="003A2996" w:rsidP="003A2996">
      <w:pPr>
        <w:spacing w:after="0" w:line="240" w:lineRule="auto"/>
        <w:jc w:val="left"/>
        <w:rPr>
          <w:rFonts w:cs="Arial"/>
        </w:rPr>
      </w:pPr>
      <w:r w:rsidRPr="009D4CD4">
        <w:rPr>
          <w:rFonts w:cs="Arial"/>
        </w:rPr>
        <w:t>&gt; Homogénéiser les pratiques managériales,</w:t>
      </w:r>
    </w:p>
    <w:p w14:paraId="12A31303" w14:textId="129706EC" w:rsidR="003A2996" w:rsidRPr="009D4CD4" w:rsidRDefault="003A2996" w:rsidP="003A2996">
      <w:pPr>
        <w:spacing w:after="0" w:line="240" w:lineRule="auto"/>
        <w:jc w:val="left"/>
        <w:rPr>
          <w:rFonts w:cs="Arial"/>
        </w:rPr>
      </w:pPr>
      <w:r w:rsidRPr="009D4CD4">
        <w:rPr>
          <w:rFonts w:cs="Arial"/>
        </w:rPr>
        <w:t>&gt; Donner du sens au travers des valeurs managériales</w:t>
      </w:r>
      <w:r w:rsidR="0039562E">
        <w:rPr>
          <w:rFonts w:cs="Arial"/>
        </w:rPr>
        <w:t>,</w:t>
      </w:r>
    </w:p>
    <w:p w14:paraId="151D24A5" w14:textId="00A47846" w:rsidR="003A2996" w:rsidRPr="009D4CD4" w:rsidRDefault="003A2996" w:rsidP="003A2996">
      <w:pPr>
        <w:spacing w:after="0" w:line="240" w:lineRule="auto"/>
        <w:jc w:val="left"/>
        <w:rPr>
          <w:rFonts w:cs="Arial"/>
        </w:rPr>
      </w:pPr>
      <w:r w:rsidRPr="009D4CD4">
        <w:rPr>
          <w:rFonts w:cs="Arial"/>
        </w:rPr>
        <w:t xml:space="preserve">&gt; Développer les compétences et postures requises : connaissances transversales (ex : mutualisme et RSE, risques ; financier) ; compétences et postures managériales (entretiens, animation réunions, accompagnement du changement…) ; </w:t>
      </w:r>
      <w:r w:rsidR="0039562E">
        <w:rPr>
          <w:rFonts w:cs="Arial"/>
        </w:rPr>
        <w:t>nouveaux modes de communication,</w:t>
      </w:r>
      <w:r w:rsidRPr="009D4CD4">
        <w:rPr>
          <w:rFonts w:cs="Arial"/>
        </w:rPr>
        <w:br/>
        <w:t xml:space="preserve">&gt; Avoir un dispositif visible pour </w:t>
      </w:r>
      <w:r w:rsidR="0039562E">
        <w:rPr>
          <w:rFonts w:cs="Arial"/>
        </w:rPr>
        <w:t>notamment attirer les talents,</w:t>
      </w:r>
    </w:p>
    <w:p w14:paraId="1E58BF9E" w14:textId="71B03159" w:rsidR="00134005" w:rsidRPr="009D4CD4" w:rsidRDefault="003A2996" w:rsidP="003A2996">
      <w:pPr>
        <w:spacing w:after="0" w:line="240" w:lineRule="auto"/>
        <w:jc w:val="left"/>
        <w:rPr>
          <w:rFonts w:cs="Arial"/>
        </w:rPr>
      </w:pPr>
      <w:r w:rsidRPr="009D4CD4">
        <w:rPr>
          <w:rFonts w:cs="Arial"/>
        </w:rPr>
        <w:t>&gt; Créer un espace d’échanges et de partage au travers d’une commun</w:t>
      </w:r>
      <w:r w:rsidR="0039562E">
        <w:rPr>
          <w:rFonts w:cs="Arial"/>
        </w:rPr>
        <w:t>auté managériale.</w:t>
      </w:r>
    </w:p>
    <w:p w14:paraId="47B21C8F" w14:textId="77777777" w:rsidR="001520B5" w:rsidRPr="009D4CD4" w:rsidRDefault="001520B5" w:rsidP="001520B5">
      <w:pPr>
        <w:spacing w:after="0" w:line="240" w:lineRule="auto"/>
        <w:jc w:val="left"/>
        <w:rPr>
          <w:rFonts w:cs="Arial"/>
        </w:rPr>
      </w:pPr>
    </w:p>
    <w:p w14:paraId="4DBBCC0A" w14:textId="6F6665A4" w:rsidR="00134005" w:rsidRPr="009D4CD4" w:rsidRDefault="002C5DC2" w:rsidP="001520B5">
      <w:pPr>
        <w:spacing w:after="0" w:line="240" w:lineRule="auto"/>
        <w:jc w:val="left"/>
        <w:rPr>
          <w:rFonts w:cs="Arial"/>
        </w:rPr>
      </w:pPr>
      <w:r w:rsidRPr="009D4CD4">
        <w:rPr>
          <w:rFonts w:cs="Arial"/>
        </w:rPr>
        <w:t>En ligne avec ces enjeux, l</w:t>
      </w:r>
      <w:r w:rsidR="001520B5" w:rsidRPr="009D4CD4">
        <w:rPr>
          <w:rFonts w:cs="Arial"/>
        </w:rPr>
        <w:t xml:space="preserve">e projet 100% Manager </w:t>
      </w:r>
      <w:r w:rsidRPr="009D4CD4">
        <w:rPr>
          <w:rFonts w:cs="Arial"/>
        </w:rPr>
        <w:t xml:space="preserve">porte </w:t>
      </w:r>
      <w:r w:rsidR="001520B5" w:rsidRPr="009D4CD4">
        <w:rPr>
          <w:rFonts w:cs="Arial"/>
        </w:rPr>
        <w:t xml:space="preserve">des réponses sur les 3 points suivants </w:t>
      </w:r>
      <w:r w:rsidR="00134005" w:rsidRPr="009D4CD4">
        <w:rPr>
          <w:rFonts w:cs="Arial"/>
        </w:rPr>
        <w:t xml:space="preserve">: </w:t>
      </w:r>
    </w:p>
    <w:p w14:paraId="7226F7B6" w14:textId="77777777" w:rsidR="003A2996" w:rsidRPr="009D4CD4" w:rsidRDefault="003A2996" w:rsidP="003A2996">
      <w:pPr>
        <w:spacing w:after="0" w:line="240" w:lineRule="auto"/>
        <w:rPr>
          <w:rFonts w:cs="Arial"/>
        </w:rPr>
      </w:pPr>
      <w:r w:rsidRPr="009D4CD4">
        <w:rPr>
          <w:rFonts w:cs="Arial"/>
        </w:rPr>
        <w:t>&gt; le recrutement des nouveaux managers</w:t>
      </w:r>
    </w:p>
    <w:p w14:paraId="5BF9E61F" w14:textId="77777777" w:rsidR="003A2996" w:rsidRPr="009D4CD4" w:rsidRDefault="003A2996" w:rsidP="003A2996">
      <w:pPr>
        <w:spacing w:after="0" w:line="240" w:lineRule="auto"/>
        <w:rPr>
          <w:rFonts w:cs="Arial"/>
        </w:rPr>
      </w:pPr>
      <w:r w:rsidRPr="009D4CD4">
        <w:rPr>
          <w:rFonts w:cs="Arial"/>
        </w:rPr>
        <w:t>&gt; la revisite du parcours de prise de poste : soutien et accompagnement à la nomination</w:t>
      </w:r>
    </w:p>
    <w:p w14:paraId="64FD3513" w14:textId="42C52ED3" w:rsidR="00134005" w:rsidRPr="009D4CD4" w:rsidRDefault="003A2996" w:rsidP="003A2996">
      <w:pPr>
        <w:spacing w:after="0" w:line="240" w:lineRule="auto"/>
        <w:jc w:val="left"/>
        <w:rPr>
          <w:rFonts w:cs="Arial"/>
        </w:rPr>
      </w:pPr>
      <w:r w:rsidRPr="009D4CD4">
        <w:rPr>
          <w:rFonts w:cs="Arial"/>
        </w:rPr>
        <w:t>&gt; l’accompagnement des managers en poste : accompagnement et solutions personnalisées.</w:t>
      </w:r>
    </w:p>
    <w:p w14:paraId="3766C87D" w14:textId="77777777" w:rsidR="003A2996" w:rsidRPr="009D4CD4" w:rsidRDefault="003A2996" w:rsidP="001520B5">
      <w:pPr>
        <w:spacing w:after="0" w:line="240" w:lineRule="auto"/>
        <w:rPr>
          <w:rFonts w:cs="Arial"/>
          <w:i/>
        </w:rPr>
      </w:pPr>
    </w:p>
    <w:p w14:paraId="722BE127" w14:textId="248C5A09" w:rsidR="001520B5" w:rsidRPr="009D4CD4" w:rsidRDefault="001520B5" w:rsidP="001520B5">
      <w:pPr>
        <w:spacing w:after="0" w:line="240" w:lineRule="auto"/>
        <w:rPr>
          <w:rFonts w:cs="Arial"/>
          <w:i/>
        </w:rPr>
      </w:pPr>
      <w:r w:rsidRPr="009D4CD4">
        <w:rPr>
          <w:rFonts w:cs="Arial"/>
          <w:i/>
        </w:rPr>
        <w:t>Recrutement</w:t>
      </w:r>
    </w:p>
    <w:p w14:paraId="717B05EA" w14:textId="0F5D4846" w:rsidR="001520B5" w:rsidRPr="009D4CD4" w:rsidRDefault="003A2996" w:rsidP="001520B5">
      <w:pPr>
        <w:spacing w:after="0" w:line="240" w:lineRule="auto"/>
        <w:rPr>
          <w:rFonts w:cs="Arial"/>
        </w:rPr>
      </w:pPr>
      <w:r w:rsidRPr="009D4CD4">
        <w:rPr>
          <w:rFonts w:cs="Arial"/>
        </w:rPr>
        <w:t xml:space="preserve">Le recrutement est revisité avec l’homogénéisation des process </w:t>
      </w:r>
      <w:r w:rsidR="0039562E">
        <w:rPr>
          <w:rFonts w:cs="Arial"/>
        </w:rPr>
        <w:t>et</w:t>
      </w:r>
      <w:r w:rsidR="001520B5" w:rsidRPr="009D4CD4">
        <w:rPr>
          <w:rFonts w:cs="Arial"/>
        </w:rPr>
        <w:t xml:space="preserve"> intégration d’une production écrite du candidat (bilan et projet personnel ; diagnosti</w:t>
      </w:r>
      <w:r w:rsidR="002C5DC2" w:rsidRPr="009D4CD4">
        <w:rPr>
          <w:rFonts w:cs="Arial"/>
        </w:rPr>
        <w:t>c</w:t>
      </w:r>
      <w:r w:rsidR="001520B5" w:rsidRPr="009D4CD4">
        <w:rPr>
          <w:rFonts w:cs="Arial"/>
        </w:rPr>
        <w:t xml:space="preserve"> de l’unité/service/agence ; vision du développement)</w:t>
      </w:r>
      <w:r w:rsidR="0039562E">
        <w:rPr>
          <w:rFonts w:cs="Arial"/>
        </w:rPr>
        <w:t>.</w:t>
      </w:r>
    </w:p>
    <w:p w14:paraId="39062F60" w14:textId="70A69923" w:rsidR="001520B5" w:rsidRPr="009D4CD4" w:rsidRDefault="001520B5" w:rsidP="001520B5">
      <w:pPr>
        <w:spacing w:after="0" w:line="240" w:lineRule="auto"/>
        <w:jc w:val="left"/>
        <w:rPr>
          <w:rFonts w:cs="Arial"/>
        </w:rPr>
      </w:pPr>
    </w:p>
    <w:p w14:paraId="04D75DB0" w14:textId="675E7BBF" w:rsidR="001520B5" w:rsidRPr="009D4CD4" w:rsidRDefault="001520B5" w:rsidP="001520B5">
      <w:pPr>
        <w:pStyle w:val="CAA-N"/>
        <w:spacing w:after="0"/>
        <w:jc w:val="left"/>
        <w:rPr>
          <w:rFonts w:ascii="Calibri" w:hAnsi="Calibri" w:cs="Arial"/>
          <w:color w:val="auto"/>
          <w:sz w:val="22"/>
          <w:szCs w:val="22"/>
        </w:rPr>
      </w:pPr>
      <w:r w:rsidRPr="009D4CD4">
        <w:rPr>
          <w:rFonts w:ascii="Calibri" w:hAnsi="Calibri" w:cs="Arial"/>
          <w:i/>
          <w:color w:val="auto"/>
          <w:sz w:val="22"/>
          <w:szCs w:val="22"/>
        </w:rPr>
        <w:t>Parcours de prise de poste</w:t>
      </w:r>
    </w:p>
    <w:p w14:paraId="7F096479" w14:textId="77777777" w:rsidR="003A2996" w:rsidRPr="009D4CD4" w:rsidRDefault="003A2996" w:rsidP="003A2996">
      <w:pPr>
        <w:pStyle w:val="CAA-N"/>
        <w:spacing w:after="0"/>
        <w:jc w:val="left"/>
        <w:rPr>
          <w:rFonts w:ascii="Calibri" w:hAnsi="Calibri" w:cs="Arial"/>
          <w:color w:val="auto"/>
          <w:sz w:val="22"/>
          <w:szCs w:val="22"/>
        </w:rPr>
      </w:pPr>
      <w:r w:rsidRPr="009D4CD4">
        <w:rPr>
          <w:rFonts w:ascii="Calibri" w:hAnsi="Calibri" w:cs="Arial"/>
          <w:color w:val="auto"/>
          <w:sz w:val="22"/>
          <w:szCs w:val="22"/>
        </w:rPr>
        <w:t>D’une durée de 12 mois, le parcours démarre par une journée d’accueil pour les nouveaux managers des sites et des réseaux, animée par une personne experte. Le parcours est jalonné de plusieurs étapes et des formations spécifiques sont dispensées tout au long du parcours. La titularisation intervient à M+12 au terme du parcours.</w:t>
      </w:r>
    </w:p>
    <w:p w14:paraId="53DF4268" w14:textId="53421385" w:rsidR="001520B5" w:rsidRPr="009D4CD4" w:rsidRDefault="001520B5" w:rsidP="001520B5">
      <w:pPr>
        <w:pStyle w:val="CAA-N"/>
        <w:spacing w:after="0"/>
        <w:jc w:val="left"/>
        <w:rPr>
          <w:rFonts w:ascii="Calibri" w:hAnsi="Calibri" w:cs="Arial"/>
          <w:color w:val="auto"/>
          <w:sz w:val="22"/>
          <w:szCs w:val="22"/>
        </w:rPr>
      </w:pPr>
    </w:p>
    <w:p w14:paraId="6059D41F" w14:textId="77777777" w:rsidR="001520B5" w:rsidRPr="009D4CD4" w:rsidRDefault="00947E95" w:rsidP="00524BF2">
      <w:pPr>
        <w:spacing w:after="0" w:line="240" w:lineRule="auto"/>
        <w:jc w:val="left"/>
        <w:rPr>
          <w:rFonts w:cs="Arial"/>
          <w:i/>
        </w:rPr>
      </w:pPr>
      <w:r w:rsidRPr="009D4CD4">
        <w:rPr>
          <w:rFonts w:cs="Arial"/>
          <w:i/>
        </w:rPr>
        <w:t>Managers en poste :</w:t>
      </w:r>
      <w:r w:rsidR="00CA06D2" w:rsidRPr="009D4CD4">
        <w:rPr>
          <w:rFonts w:cs="Arial"/>
          <w:i/>
        </w:rPr>
        <w:t xml:space="preserve"> </w:t>
      </w:r>
    </w:p>
    <w:p w14:paraId="46A679D0" w14:textId="25AA0957" w:rsidR="006D6A6D" w:rsidRPr="009D4CD4" w:rsidRDefault="001520B5" w:rsidP="00524BF2">
      <w:pPr>
        <w:spacing w:after="0" w:line="240" w:lineRule="auto"/>
        <w:jc w:val="left"/>
        <w:rPr>
          <w:rFonts w:cs="Arial"/>
        </w:rPr>
      </w:pPr>
      <w:r w:rsidRPr="009D4CD4">
        <w:rPr>
          <w:rFonts w:cs="Arial"/>
        </w:rPr>
        <w:t>L</w:t>
      </w:r>
      <w:r w:rsidR="00CA06D2" w:rsidRPr="009D4CD4">
        <w:rPr>
          <w:rFonts w:cs="Arial"/>
        </w:rPr>
        <w:t xml:space="preserve">e référentiel managérial </w:t>
      </w:r>
      <w:r w:rsidR="00D75A19" w:rsidRPr="009D4CD4">
        <w:rPr>
          <w:rFonts w:cs="Arial"/>
        </w:rPr>
        <w:t xml:space="preserve">de 100% Manager </w:t>
      </w:r>
      <w:r w:rsidR="00CA06D2" w:rsidRPr="009D4CD4">
        <w:rPr>
          <w:rFonts w:cs="Arial"/>
        </w:rPr>
        <w:t xml:space="preserve">est articulé autour de 5 </w:t>
      </w:r>
      <w:r w:rsidR="00D75A19" w:rsidRPr="009D4CD4">
        <w:rPr>
          <w:rFonts w:cs="Arial"/>
        </w:rPr>
        <w:t>thématiques</w:t>
      </w:r>
      <w:r w:rsidRPr="009D4CD4">
        <w:rPr>
          <w:rFonts w:cs="Arial"/>
        </w:rPr>
        <w:t xml:space="preserve"> : </w:t>
      </w:r>
    </w:p>
    <w:p w14:paraId="596D8211" w14:textId="79CADD01" w:rsidR="001F73EA" w:rsidRPr="009D4CD4" w:rsidRDefault="001520B5" w:rsidP="00524BF2">
      <w:pPr>
        <w:spacing w:after="0" w:line="240" w:lineRule="auto"/>
        <w:jc w:val="left"/>
        <w:rPr>
          <w:rFonts w:cs="Arial"/>
        </w:rPr>
      </w:pPr>
      <w:r w:rsidRPr="009D4CD4">
        <w:rPr>
          <w:rFonts w:cs="Arial"/>
        </w:rPr>
        <w:t>&gt;</w:t>
      </w:r>
      <w:r w:rsidR="001F73EA" w:rsidRPr="009D4CD4">
        <w:rPr>
          <w:rFonts w:cs="Arial"/>
        </w:rPr>
        <w:t>Porter attention</w:t>
      </w:r>
      <w:r w:rsidR="0039562E">
        <w:rPr>
          <w:rFonts w:cs="Arial"/>
        </w:rPr>
        <w:t> : intégrer la démarche QVT ; f</w:t>
      </w:r>
      <w:r w:rsidR="00CA06D2" w:rsidRPr="009D4CD4">
        <w:rPr>
          <w:rFonts w:cs="Arial"/>
        </w:rPr>
        <w:t>aire preuve d’équité et de clarté ; animer le collectif et la solidarité</w:t>
      </w:r>
    </w:p>
    <w:p w14:paraId="5923B90A" w14:textId="055B75B9" w:rsidR="001F73EA" w:rsidRPr="009D4CD4" w:rsidRDefault="003A2996" w:rsidP="00524BF2">
      <w:pPr>
        <w:spacing w:after="0" w:line="240" w:lineRule="auto"/>
        <w:jc w:val="left"/>
        <w:rPr>
          <w:rFonts w:cs="Arial"/>
        </w:rPr>
      </w:pPr>
      <w:r w:rsidRPr="009D4CD4">
        <w:rPr>
          <w:rFonts w:cs="Arial"/>
        </w:rPr>
        <w:t>&gt;</w:t>
      </w:r>
      <w:r w:rsidR="001F73EA" w:rsidRPr="009D4CD4">
        <w:rPr>
          <w:rFonts w:cs="Arial"/>
        </w:rPr>
        <w:t>Écouter et reconnaître</w:t>
      </w:r>
      <w:r w:rsidR="00CA06D2" w:rsidRPr="009D4CD4">
        <w:rPr>
          <w:rFonts w:cs="Arial"/>
        </w:rPr>
        <w:t> : faire preuve d’écoute et d’attention ; développer la culture du feed</w:t>
      </w:r>
      <w:r w:rsidR="002C5DC2" w:rsidRPr="009D4CD4">
        <w:rPr>
          <w:rFonts w:cs="Arial"/>
        </w:rPr>
        <w:t>-</w:t>
      </w:r>
      <w:r w:rsidR="00CA06D2" w:rsidRPr="009D4CD4">
        <w:rPr>
          <w:rFonts w:cs="Arial"/>
        </w:rPr>
        <w:t>back</w:t>
      </w:r>
    </w:p>
    <w:p w14:paraId="4A7E9FEE" w14:textId="719D45FD" w:rsidR="001F73EA" w:rsidRPr="009D4CD4" w:rsidRDefault="001520B5" w:rsidP="00524BF2">
      <w:pPr>
        <w:spacing w:after="0" w:line="240" w:lineRule="auto"/>
        <w:jc w:val="left"/>
        <w:rPr>
          <w:rFonts w:cs="Arial"/>
        </w:rPr>
      </w:pPr>
      <w:r w:rsidRPr="009D4CD4">
        <w:rPr>
          <w:rFonts w:cs="Arial"/>
        </w:rPr>
        <w:t>&gt;</w:t>
      </w:r>
      <w:r w:rsidR="001F73EA" w:rsidRPr="009D4CD4">
        <w:rPr>
          <w:rFonts w:cs="Arial"/>
        </w:rPr>
        <w:t>Grandir et faire grandir</w:t>
      </w:r>
      <w:r w:rsidR="00CA06D2" w:rsidRPr="009D4CD4">
        <w:rPr>
          <w:rFonts w:cs="Arial"/>
        </w:rPr>
        <w:t> : développer ses compé</w:t>
      </w:r>
      <w:r w:rsidRPr="009D4CD4">
        <w:rPr>
          <w:rFonts w:cs="Arial"/>
        </w:rPr>
        <w:t>t</w:t>
      </w:r>
      <w:r w:rsidR="00CA06D2" w:rsidRPr="009D4CD4">
        <w:rPr>
          <w:rFonts w:cs="Arial"/>
        </w:rPr>
        <w:t>ences et celles de collaborateurs ; donner de l’autonomie ; faire preuve de résilience et d’adaptation</w:t>
      </w:r>
    </w:p>
    <w:p w14:paraId="76CA4B7E" w14:textId="07E0A749" w:rsidR="001F73EA" w:rsidRPr="009D4CD4" w:rsidRDefault="001520B5" w:rsidP="001520B5">
      <w:pPr>
        <w:spacing w:after="0" w:line="240" w:lineRule="auto"/>
        <w:jc w:val="left"/>
        <w:rPr>
          <w:rFonts w:cs="Arial"/>
        </w:rPr>
      </w:pPr>
      <w:r w:rsidRPr="009D4CD4">
        <w:rPr>
          <w:rFonts w:cs="Arial"/>
        </w:rPr>
        <w:t>&gt;</w:t>
      </w:r>
      <w:r w:rsidR="001F73EA" w:rsidRPr="009D4CD4">
        <w:rPr>
          <w:rFonts w:cs="Arial"/>
        </w:rPr>
        <w:t>Transformer et favoriser l’initiative</w:t>
      </w:r>
      <w:r w:rsidR="00CA06D2" w:rsidRPr="009D4CD4">
        <w:rPr>
          <w:rFonts w:cs="Arial"/>
        </w:rPr>
        <w:t> : accompagner la transformation et faire des colla</w:t>
      </w:r>
      <w:r w:rsidRPr="009D4CD4">
        <w:rPr>
          <w:rFonts w:cs="Arial"/>
        </w:rPr>
        <w:t>b</w:t>
      </w:r>
      <w:r w:rsidR="00CA06D2" w:rsidRPr="009D4CD4">
        <w:rPr>
          <w:rFonts w:cs="Arial"/>
        </w:rPr>
        <w:t>orateurs des acteurs du changement ; promo</w:t>
      </w:r>
      <w:r w:rsidRPr="009D4CD4">
        <w:rPr>
          <w:rFonts w:cs="Arial"/>
        </w:rPr>
        <w:t>u</w:t>
      </w:r>
      <w:r w:rsidR="00CA06D2" w:rsidRPr="009D4CD4">
        <w:rPr>
          <w:rFonts w:cs="Arial"/>
        </w:rPr>
        <w:t>voir l’innovation, améliorer en continu les organisations</w:t>
      </w:r>
    </w:p>
    <w:p w14:paraId="0E5EAD21" w14:textId="44868062" w:rsidR="001F73EA" w:rsidRPr="009D4CD4" w:rsidRDefault="001520B5" w:rsidP="00524BF2">
      <w:pPr>
        <w:spacing w:after="0" w:line="240" w:lineRule="auto"/>
        <w:rPr>
          <w:rFonts w:cs="Arial"/>
        </w:rPr>
      </w:pPr>
      <w:r w:rsidRPr="009D4CD4">
        <w:rPr>
          <w:rFonts w:cs="Arial"/>
        </w:rPr>
        <w:t>&gt;</w:t>
      </w:r>
      <w:r w:rsidR="001F73EA" w:rsidRPr="009D4CD4">
        <w:rPr>
          <w:rFonts w:cs="Arial"/>
        </w:rPr>
        <w:t>Agir pour la performance</w:t>
      </w:r>
      <w:r w:rsidR="00CA06D2" w:rsidRPr="009D4CD4">
        <w:rPr>
          <w:rFonts w:cs="Arial"/>
        </w:rPr>
        <w:t xml:space="preserve"> : porter la stratégie et donner du sens ; encourager </w:t>
      </w:r>
      <w:r w:rsidRPr="009D4CD4">
        <w:rPr>
          <w:rFonts w:cs="Arial"/>
        </w:rPr>
        <w:t xml:space="preserve">l’innovation et </w:t>
      </w:r>
      <w:r w:rsidR="00CA06D2" w:rsidRPr="009D4CD4">
        <w:rPr>
          <w:rFonts w:cs="Arial"/>
        </w:rPr>
        <w:t>piloter efficacement ; mettre le client au cœur ; favoriser les synergies et la tra</w:t>
      </w:r>
      <w:r w:rsidRPr="009D4CD4">
        <w:rPr>
          <w:rFonts w:cs="Arial"/>
        </w:rPr>
        <w:t>n</w:t>
      </w:r>
      <w:r w:rsidR="00CA06D2" w:rsidRPr="009D4CD4">
        <w:rPr>
          <w:rFonts w:cs="Arial"/>
        </w:rPr>
        <w:t>sversalité</w:t>
      </w:r>
    </w:p>
    <w:p w14:paraId="3D6A0F63" w14:textId="2AAEB1D9" w:rsidR="001F73EA" w:rsidRPr="009D4CD4" w:rsidRDefault="001F73EA" w:rsidP="00524BF2">
      <w:pPr>
        <w:spacing w:after="0" w:line="240" w:lineRule="auto"/>
        <w:rPr>
          <w:rFonts w:cs="Arial"/>
        </w:rPr>
      </w:pPr>
    </w:p>
    <w:p w14:paraId="3FD2F33D" w14:textId="43491A25" w:rsidR="003A2996" w:rsidRPr="009D4CD4" w:rsidRDefault="003A2996" w:rsidP="003A2996">
      <w:pPr>
        <w:spacing w:after="0" w:line="240" w:lineRule="auto"/>
        <w:rPr>
          <w:rFonts w:cs="Arial"/>
        </w:rPr>
      </w:pPr>
      <w:r w:rsidRPr="009D4CD4">
        <w:rPr>
          <w:rFonts w:cs="Arial"/>
        </w:rPr>
        <w:t>Sur la base de ce référentiel commun, chaque manager profite d’un parcours personnalisé mobilisant des ressources internes et externes.</w:t>
      </w:r>
    </w:p>
    <w:p w14:paraId="222883D4" w14:textId="3578A0AF" w:rsidR="003A2996" w:rsidRPr="009D4CD4" w:rsidRDefault="003A2996" w:rsidP="003A2996">
      <w:pPr>
        <w:spacing w:after="0" w:line="240" w:lineRule="auto"/>
        <w:jc w:val="left"/>
      </w:pPr>
    </w:p>
    <w:p w14:paraId="6FB91DD5" w14:textId="77777777" w:rsidR="003A2996" w:rsidRPr="009D4CD4" w:rsidRDefault="003A2996" w:rsidP="003A2996">
      <w:pPr>
        <w:spacing w:after="0" w:line="240" w:lineRule="auto"/>
        <w:jc w:val="left"/>
        <w:rPr>
          <w:rFonts w:eastAsia="Times New Roman"/>
          <w:lang w:eastAsia="fr-FR"/>
        </w:rPr>
      </w:pPr>
    </w:p>
    <w:p w14:paraId="13A91D7A" w14:textId="24BB7B2E" w:rsidR="00B72A61" w:rsidRPr="009D4CD4" w:rsidRDefault="00B72A61" w:rsidP="00326D6D">
      <w:pPr>
        <w:pStyle w:val="Titre3"/>
      </w:pPr>
      <w:bookmarkStart w:id="112" w:name="_Toc32416037"/>
      <w:bookmarkStart w:id="113" w:name="_Toc59444713"/>
      <w:bookmarkStart w:id="114" w:name="_Toc96698024"/>
      <w:r w:rsidRPr="009D4CD4">
        <w:t>Favoriser la qualité de vie au travail</w:t>
      </w:r>
      <w:bookmarkEnd w:id="112"/>
      <w:bookmarkEnd w:id="113"/>
      <w:bookmarkEnd w:id="114"/>
    </w:p>
    <w:p w14:paraId="59DC7A3B" w14:textId="152F4F26" w:rsidR="00510ABE" w:rsidRPr="009D4CD4" w:rsidRDefault="00510ABE" w:rsidP="00510ABE">
      <w:pPr>
        <w:pStyle w:val="Titre4"/>
        <w:rPr>
          <w:rFonts w:asciiTheme="minorHAnsi" w:hAnsiTheme="minorHAnsi" w:cstheme="minorHAnsi"/>
          <w:lang w:eastAsia="fr-FR"/>
        </w:rPr>
      </w:pPr>
      <w:bookmarkStart w:id="115" w:name="_Toc96698025"/>
      <w:r w:rsidRPr="009D4CD4">
        <w:rPr>
          <w:lang w:eastAsia="fr-FR"/>
        </w:rPr>
        <w:t>Une démarche QVT structurée</w:t>
      </w:r>
      <w:bookmarkEnd w:id="115"/>
    </w:p>
    <w:p w14:paraId="2ABE5E7E" w14:textId="3802BA10" w:rsidR="0037579F" w:rsidRPr="009D4CD4" w:rsidRDefault="00A7717F" w:rsidP="00E53E45">
      <w:pPr>
        <w:pStyle w:val="Paragraphedeliste"/>
        <w:numPr>
          <w:ilvl w:val="0"/>
          <w:numId w:val="4"/>
        </w:numPr>
        <w:rPr>
          <w:rFonts w:asciiTheme="minorHAnsi" w:hAnsiTheme="minorHAnsi" w:cstheme="minorHAnsi"/>
        </w:rPr>
      </w:pPr>
      <w:r>
        <w:rPr>
          <w:rFonts w:asciiTheme="minorHAnsi" w:hAnsiTheme="minorHAnsi" w:cstheme="minorHAnsi"/>
        </w:rPr>
        <w:t>Caisse Régionale</w:t>
      </w:r>
    </w:p>
    <w:p w14:paraId="0FFF2645" w14:textId="77777777" w:rsidR="00E53E45" w:rsidRPr="009D4CD4" w:rsidRDefault="00E53E45" w:rsidP="0037579F">
      <w:pPr>
        <w:spacing w:after="0" w:line="240" w:lineRule="auto"/>
        <w:jc w:val="left"/>
        <w:rPr>
          <w:rFonts w:cs="Arial"/>
        </w:rPr>
      </w:pPr>
    </w:p>
    <w:tbl>
      <w:tblPr>
        <w:tblW w:w="6723" w:type="dxa"/>
        <w:tblCellMar>
          <w:left w:w="70" w:type="dxa"/>
          <w:right w:w="70" w:type="dxa"/>
        </w:tblCellMar>
        <w:tblLook w:val="04A0" w:firstRow="1" w:lastRow="0" w:firstColumn="1" w:lastColumn="0" w:noHBand="0" w:noVBand="1"/>
      </w:tblPr>
      <w:tblGrid>
        <w:gridCol w:w="3823"/>
        <w:gridCol w:w="820"/>
        <w:gridCol w:w="1040"/>
        <w:gridCol w:w="1040"/>
      </w:tblGrid>
      <w:tr w:rsidR="008F0790" w:rsidRPr="009D4CD4" w14:paraId="48EE7421" w14:textId="77777777" w:rsidTr="008F0790">
        <w:trPr>
          <w:trHeight w:val="225"/>
        </w:trPr>
        <w:tc>
          <w:tcPr>
            <w:tcW w:w="382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3BD8FE" w14:textId="77777777" w:rsidR="008F0790" w:rsidRPr="009D4CD4" w:rsidRDefault="008F0790" w:rsidP="002736B2">
            <w:pPr>
              <w:spacing w:after="0" w:line="240" w:lineRule="auto"/>
              <w:jc w:val="left"/>
              <w:rPr>
                <w:rFonts w:eastAsia="Times New Roman"/>
                <w:sz w:val="20"/>
                <w:szCs w:val="20"/>
                <w:lang w:eastAsia="fr-FR"/>
              </w:rPr>
            </w:pPr>
            <w:r w:rsidRPr="009D4CD4">
              <w:rPr>
                <w:rFonts w:asciiTheme="minorHAnsi" w:hAnsiTheme="minorHAnsi" w:cs="Arial"/>
                <w:b/>
                <w:i/>
              </w:rPr>
              <w:t>Les chiffres - clé</w:t>
            </w:r>
          </w:p>
        </w:tc>
        <w:tc>
          <w:tcPr>
            <w:tcW w:w="820" w:type="dxa"/>
            <w:tcBorders>
              <w:top w:val="single" w:sz="4" w:space="0" w:color="auto"/>
              <w:left w:val="single" w:sz="4" w:space="0" w:color="auto"/>
              <w:bottom w:val="single" w:sz="4" w:space="0" w:color="auto"/>
            </w:tcBorders>
            <w:shd w:val="clear" w:color="auto" w:fill="auto"/>
            <w:noWrap/>
          </w:tcPr>
          <w:p w14:paraId="67008494" w14:textId="77777777" w:rsidR="008F0790" w:rsidRPr="009D4CD4" w:rsidRDefault="008F0790" w:rsidP="002736B2">
            <w:pPr>
              <w:spacing w:after="0" w:line="240" w:lineRule="auto"/>
              <w:jc w:val="left"/>
              <w:rPr>
                <w:rFonts w:eastAsia="Times New Roman"/>
                <w:b/>
                <w:sz w:val="20"/>
                <w:szCs w:val="20"/>
                <w:lang w:eastAsia="fr-FR"/>
              </w:rPr>
            </w:pPr>
            <w:r w:rsidRPr="009D4CD4">
              <w:rPr>
                <w:rFonts w:eastAsia="Times New Roman"/>
                <w:b/>
                <w:sz w:val="20"/>
                <w:szCs w:val="20"/>
                <w:lang w:eastAsia="fr-FR"/>
              </w:rPr>
              <w:t>NMP</w:t>
            </w:r>
          </w:p>
        </w:tc>
        <w:tc>
          <w:tcPr>
            <w:tcW w:w="1040" w:type="dxa"/>
            <w:tcBorders>
              <w:top w:val="single" w:sz="4" w:space="0" w:color="auto"/>
              <w:bottom w:val="single" w:sz="4" w:space="0" w:color="auto"/>
            </w:tcBorders>
            <w:shd w:val="clear" w:color="auto" w:fill="auto"/>
            <w:noWrap/>
          </w:tcPr>
          <w:p w14:paraId="19EB08B8" w14:textId="77777777" w:rsidR="008F0790" w:rsidRPr="009D4CD4" w:rsidRDefault="008F0790" w:rsidP="002736B2">
            <w:pPr>
              <w:spacing w:after="0" w:line="240" w:lineRule="auto"/>
              <w:jc w:val="left"/>
              <w:rPr>
                <w:rFonts w:eastAsia="Times New Roman"/>
                <w:b/>
                <w:sz w:val="20"/>
                <w:szCs w:val="20"/>
                <w:lang w:eastAsia="fr-FR"/>
              </w:rPr>
            </w:pPr>
          </w:p>
        </w:tc>
        <w:tc>
          <w:tcPr>
            <w:tcW w:w="1040" w:type="dxa"/>
            <w:tcBorders>
              <w:top w:val="single" w:sz="4" w:space="0" w:color="auto"/>
              <w:bottom w:val="single" w:sz="4" w:space="0" w:color="auto"/>
              <w:right w:val="single" w:sz="4" w:space="0" w:color="auto"/>
            </w:tcBorders>
            <w:shd w:val="clear" w:color="auto" w:fill="auto"/>
            <w:noWrap/>
          </w:tcPr>
          <w:p w14:paraId="68BA4459" w14:textId="77777777" w:rsidR="008F0790" w:rsidRPr="009D4CD4" w:rsidRDefault="008F0790" w:rsidP="002736B2">
            <w:pPr>
              <w:spacing w:after="0" w:line="240" w:lineRule="auto"/>
              <w:jc w:val="left"/>
              <w:rPr>
                <w:rFonts w:eastAsia="Times New Roman"/>
                <w:b/>
                <w:sz w:val="20"/>
                <w:szCs w:val="20"/>
                <w:lang w:eastAsia="fr-FR"/>
              </w:rPr>
            </w:pPr>
          </w:p>
        </w:tc>
      </w:tr>
      <w:tr w:rsidR="008F0790" w:rsidRPr="009D4CD4" w14:paraId="5FAA5BA1" w14:textId="77777777" w:rsidTr="008F0790">
        <w:trPr>
          <w:trHeight w:val="225"/>
        </w:trPr>
        <w:tc>
          <w:tcPr>
            <w:tcW w:w="382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E9E569" w14:textId="77777777" w:rsidR="008F0790" w:rsidRPr="009D4CD4" w:rsidRDefault="008F0790" w:rsidP="0037579F">
            <w:pPr>
              <w:spacing w:after="0" w:line="240" w:lineRule="auto"/>
              <w:jc w:val="left"/>
              <w:rPr>
                <w:rFonts w:eastAsia="Times New Roman"/>
                <w:sz w:val="20"/>
                <w:szCs w:val="20"/>
                <w:lang w:eastAsia="fr-FR"/>
              </w:rPr>
            </w:pPr>
          </w:p>
        </w:tc>
        <w:tc>
          <w:tcPr>
            <w:tcW w:w="820" w:type="dxa"/>
            <w:tcBorders>
              <w:top w:val="single" w:sz="4" w:space="0" w:color="auto"/>
              <w:left w:val="nil"/>
              <w:bottom w:val="single" w:sz="4" w:space="0" w:color="auto"/>
              <w:right w:val="single" w:sz="4" w:space="0" w:color="auto"/>
            </w:tcBorders>
            <w:shd w:val="clear" w:color="auto" w:fill="auto"/>
            <w:noWrap/>
          </w:tcPr>
          <w:p w14:paraId="6E12DBA9" w14:textId="4F99DDF9" w:rsidR="008F0790" w:rsidRPr="009D4CD4" w:rsidRDefault="008F0790" w:rsidP="0037579F">
            <w:pPr>
              <w:spacing w:after="0" w:line="240" w:lineRule="auto"/>
              <w:jc w:val="left"/>
              <w:rPr>
                <w:rFonts w:eastAsia="Times New Roman"/>
                <w:b/>
                <w:sz w:val="20"/>
                <w:szCs w:val="20"/>
                <w:lang w:eastAsia="fr-FR"/>
              </w:rPr>
            </w:pPr>
            <w:r w:rsidRPr="009D4CD4">
              <w:rPr>
                <w:rFonts w:eastAsia="Times New Roman"/>
                <w:b/>
                <w:sz w:val="20"/>
                <w:szCs w:val="20"/>
                <w:lang w:eastAsia="fr-FR"/>
              </w:rPr>
              <w:t>2021</w:t>
            </w:r>
          </w:p>
        </w:tc>
        <w:tc>
          <w:tcPr>
            <w:tcW w:w="1040" w:type="dxa"/>
            <w:tcBorders>
              <w:top w:val="single" w:sz="4" w:space="0" w:color="auto"/>
              <w:left w:val="nil"/>
              <w:bottom w:val="single" w:sz="4" w:space="0" w:color="auto"/>
              <w:right w:val="single" w:sz="4" w:space="0" w:color="auto"/>
            </w:tcBorders>
            <w:shd w:val="clear" w:color="auto" w:fill="auto"/>
            <w:noWrap/>
          </w:tcPr>
          <w:p w14:paraId="6481DF99" w14:textId="2AC0289F" w:rsidR="008F0790" w:rsidRPr="009D4CD4" w:rsidRDefault="008F0790" w:rsidP="0037579F">
            <w:pPr>
              <w:spacing w:after="0" w:line="240" w:lineRule="auto"/>
              <w:jc w:val="left"/>
              <w:rPr>
                <w:rFonts w:eastAsia="Times New Roman"/>
                <w:b/>
                <w:sz w:val="20"/>
                <w:szCs w:val="20"/>
                <w:lang w:eastAsia="fr-FR"/>
              </w:rPr>
            </w:pPr>
            <w:r w:rsidRPr="009D4CD4">
              <w:rPr>
                <w:rFonts w:eastAsia="Times New Roman"/>
                <w:b/>
                <w:sz w:val="20"/>
                <w:szCs w:val="20"/>
                <w:lang w:eastAsia="fr-FR"/>
              </w:rPr>
              <w:t>2020</w:t>
            </w:r>
          </w:p>
        </w:tc>
        <w:tc>
          <w:tcPr>
            <w:tcW w:w="1040" w:type="dxa"/>
            <w:tcBorders>
              <w:top w:val="single" w:sz="4" w:space="0" w:color="auto"/>
              <w:left w:val="nil"/>
              <w:bottom w:val="single" w:sz="4" w:space="0" w:color="auto"/>
              <w:right w:val="single" w:sz="4" w:space="0" w:color="auto"/>
            </w:tcBorders>
            <w:shd w:val="clear" w:color="auto" w:fill="auto"/>
            <w:noWrap/>
          </w:tcPr>
          <w:p w14:paraId="656BDE80" w14:textId="2CEB84E2" w:rsidR="008F0790" w:rsidRPr="009D4CD4" w:rsidRDefault="008F0790" w:rsidP="0037579F">
            <w:pPr>
              <w:spacing w:after="0" w:line="240" w:lineRule="auto"/>
              <w:jc w:val="left"/>
              <w:rPr>
                <w:rFonts w:eastAsia="Times New Roman"/>
                <w:b/>
                <w:sz w:val="20"/>
                <w:szCs w:val="20"/>
                <w:lang w:eastAsia="fr-FR"/>
              </w:rPr>
            </w:pPr>
            <w:r w:rsidRPr="009D4CD4">
              <w:rPr>
                <w:rFonts w:eastAsia="Times New Roman"/>
                <w:b/>
                <w:sz w:val="20"/>
                <w:szCs w:val="20"/>
                <w:lang w:eastAsia="fr-FR"/>
              </w:rPr>
              <w:t>2019</w:t>
            </w:r>
          </w:p>
        </w:tc>
      </w:tr>
      <w:tr w:rsidR="008F0790" w:rsidRPr="009D4CD4" w14:paraId="1B82824E" w14:textId="77777777" w:rsidTr="008F0790">
        <w:trPr>
          <w:trHeight w:val="225"/>
        </w:trPr>
        <w:tc>
          <w:tcPr>
            <w:tcW w:w="382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8A1FCF" w14:textId="650DBAC8" w:rsidR="008F0790" w:rsidRPr="009D4CD4" w:rsidRDefault="00747D08" w:rsidP="002736B2">
            <w:pPr>
              <w:spacing w:after="0" w:line="240" w:lineRule="auto"/>
              <w:jc w:val="left"/>
              <w:rPr>
                <w:rFonts w:eastAsia="Times New Roman"/>
                <w:sz w:val="20"/>
                <w:szCs w:val="20"/>
                <w:lang w:eastAsia="fr-FR"/>
              </w:rPr>
            </w:pPr>
            <w:r w:rsidRPr="009D4CD4">
              <w:rPr>
                <w:rFonts w:eastAsia="Times New Roman"/>
                <w:sz w:val="20"/>
                <w:szCs w:val="20"/>
                <w:lang w:eastAsia="fr-FR"/>
              </w:rPr>
              <w:t xml:space="preserve">Part des salariés en </w:t>
            </w:r>
            <w:r w:rsidR="008F0790" w:rsidRPr="009D4CD4">
              <w:rPr>
                <w:rFonts w:eastAsia="Times New Roman"/>
                <w:sz w:val="20"/>
                <w:szCs w:val="20"/>
                <w:lang w:eastAsia="fr-FR"/>
              </w:rPr>
              <w:t>Télétravail</w:t>
            </w:r>
          </w:p>
        </w:tc>
        <w:tc>
          <w:tcPr>
            <w:tcW w:w="820" w:type="dxa"/>
            <w:tcBorders>
              <w:top w:val="single" w:sz="4" w:space="0" w:color="auto"/>
              <w:left w:val="nil"/>
              <w:bottom w:val="single" w:sz="4" w:space="0" w:color="auto"/>
              <w:right w:val="single" w:sz="4" w:space="0" w:color="auto"/>
            </w:tcBorders>
            <w:shd w:val="clear" w:color="auto" w:fill="auto"/>
            <w:noWrap/>
          </w:tcPr>
          <w:p w14:paraId="3EF30664" w14:textId="786836BE" w:rsidR="008F0790" w:rsidRPr="009D4CD4" w:rsidRDefault="00E11AFE" w:rsidP="002736B2">
            <w:pPr>
              <w:spacing w:after="0" w:line="240" w:lineRule="auto"/>
              <w:jc w:val="left"/>
              <w:rPr>
                <w:rFonts w:eastAsia="Times New Roman"/>
                <w:sz w:val="20"/>
                <w:szCs w:val="20"/>
                <w:lang w:eastAsia="fr-FR"/>
              </w:rPr>
            </w:pPr>
            <w:r w:rsidRPr="009D4CD4">
              <w:rPr>
                <w:rFonts w:eastAsia="Times New Roman"/>
                <w:sz w:val="20"/>
                <w:szCs w:val="20"/>
                <w:lang w:eastAsia="fr-FR"/>
              </w:rPr>
              <w:t>13,5 %</w:t>
            </w:r>
          </w:p>
        </w:tc>
        <w:tc>
          <w:tcPr>
            <w:tcW w:w="1040" w:type="dxa"/>
            <w:tcBorders>
              <w:top w:val="single" w:sz="4" w:space="0" w:color="auto"/>
              <w:left w:val="nil"/>
              <w:bottom w:val="single" w:sz="4" w:space="0" w:color="auto"/>
              <w:right w:val="single" w:sz="4" w:space="0" w:color="auto"/>
            </w:tcBorders>
            <w:shd w:val="clear" w:color="auto" w:fill="auto"/>
            <w:noWrap/>
          </w:tcPr>
          <w:p w14:paraId="0C48FB08" w14:textId="1AA76FE9" w:rsidR="008F0790" w:rsidRPr="009D4CD4" w:rsidRDefault="00E11AFE" w:rsidP="002736B2">
            <w:pPr>
              <w:spacing w:after="0" w:line="240" w:lineRule="auto"/>
              <w:jc w:val="left"/>
              <w:rPr>
                <w:rFonts w:eastAsia="Times New Roman"/>
                <w:sz w:val="20"/>
                <w:szCs w:val="20"/>
                <w:lang w:eastAsia="fr-FR"/>
              </w:rPr>
            </w:pPr>
            <w:r w:rsidRPr="009D4CD4">
              <w:rPr>
                <w:rFonts w:eastAsia="Times New Roman"/>
                <w:sz w:val="20"/>
                <w:szCs w:val="20"/>
                <w:lang w:eastAsia="fr-FR"/>
              </w:rPr>
              <w:t xml:space="preserve">2,9 </w:t>
            </w:r>
            <w:r w:rsidR="008F0790" w:rsidRPr="009D4CD4">
              <w:rPr>
                <w:rFonts w:eastAsia="Times New Roman"/>
                <w:sz w:val="20"/>
                <w:szCs w:val="20"/>
                <w:lang w:eastAsia="fr-FR"/>
              </w:rPr>
              <w:t>%</w:t>
            </w:r>
          </w:p>
        </w:tc>
        <w:tc>
          <w:tcPr>
            <w:tcW w:w="1040" w:type="dxa"/>
            <w:tcBorders>
              <w:top w:val="single" w:sz="4" w:space="0" w:color="auto"/>
              <w:left w:val="nil"/>
              <w:bottom w:val="single" w:sz="4" w:space="0" w:color="auto"/>
              <w:right w:val="single" w:sz="4" w:space="0" w:color="auto"/>
            </w:tcBorders>
            <w:shd w:val="clear" w:color="auto" w:fill="auto"/>
            <w:noWrap/>
          </w:tcPr>
          <w:p w14:paraId="66D30712" w14:textId="502BE5E0" w:rsidR="008F0790" w:rsidRPr="009D4CD4" w:rsidRDefault="00E11AFE" w:rsidP="002736B2">
            <w:pPr>
              <w:spacing w:after="0" w:line="240" w:lineRule="auto"/>
              <w:jc w:val="left"/>
              <w:rPr>
                <w:rFonts w:eastAsia="Times New Roman"/>
                <w:sz w:val="20"/>
                <w:szCs w:val="20"/>
                <w:lang w:eastAsia="fr-FR"/>
              </w:rPr>
            </w:pPr>
            <w:r w:rsidRPr="009D4CD4">
              <w:rPr>
                <w:rFonts w:eastAsia="Times New Roman"/>
                <w:sz w:val="20"/>
                <w:szCs w:val="20"/>
                <w:lang w:eastAsia="fr-FR"/>
              </w:rPr>
              <w:t>ND</w:t>
            </w:r>
          </w:p>
        </w:tc>
      </w:tr>
      <w:tr w:rsidR="008F0790" w:rsidRPr="009D4CD4" w14:paraId="60FC71A0" w14:textId="77777777" w:rsidTr="008F0790">
        <w:trPr>
          <w:trHeight w:val="240"/>
        </w:trPr>
        <w:tc>
          <w:tcPr>
            <w:tcW w:w="3823" w:type="dxa"/>
            <w:tcBorders>
              <w:top w:val="nil"/>
              <w:left w:val="single" w:sz="4" w:space="0" w:color="auto"/>
              <w:bottom w:val="single" w:sz="4" w:space="0" w:color="auto"/>
              <w:right w:val="single" w:sz="4" w:space="0" w:color="auto"/>
            </w:tcBorders>
            <w:shd w:val="clear" w:color="auto" w:fill="auto"/>
            <w:noWrap/>
            <w:vAlign w:val="bottom"/>
            <w:hideMark/>
          </w:tcPr>
          <w:p w14:paraId="78CDAD79" w14:textId="59D1E152" w:rsidR="008F0790" w:rsidRPr="009D4CD4" w:rsidRDefault="00747D08" w:rsidP="002736B2">
            <w:pPr>
              <w:spacing w:after="0" w:line="240" w:lineRule="auto"/>
              <w:jc w:val="left"/>
              <w:rPr>
                <w:rFonts w:eastAsia="Times New Roman"/>
                <w:sz w:val="20"/>
                <w:szCs w:val="20"/>
                <w:lang w:eastAsia="fr-FR"/>
              </w:rPr>
            </w:pPr>
            <w:r w:rsidRPr="009D4CD4">
              <w:rPr>
                <w:rFonts w:eastAsia="Times New Roman"/>
                <w:sz w:val="20"/>
                <w:szCs w:val="20"/>
                <w:lang w:eastAsia="fr-FR"/>
              </w:rPr>
              <w:t xml:space="preserve">Part des salariés à </w:t>
            </w:r>
            <w:r w:rsidR="008F0790" w:rsidRPr="009D4CD4">
              <w:rPr>
                <w:rFonts w:eastAsia="Times New Roman"/>
                <w:sz w:val="20"/>
                <w:szCs w:val="20"/>
                <w:lang w:eastAsia="fr-FR"/>
              </w:rPr>
              <w:t>Temps partiel</w:t>
            </w:r>
          </w:p>
        </w:tc>
        <w:tc>
          <w:tcPr>
            <w:tcW w:w="820" w:type="dxa"/>
            <w:tcBorders>
              <w:top w:val="nil"/>
              <w:left w:val="nil"/>
              <w:bottom w:val="single" w:sz="4" w:space="0" w:color="auto"/>
              <w:right w:val="single" w:sz="4" w:space="0" w:color="auto"/>
            </w:tcBorders>
            <w:shd w:val="clear" w:color="auto" w:fill="auto"/>
            <w:noWrap/>
          </w:tcPr>
          <w:p w14:paraId="0584E236" w14:textId="6737EEF3" w:rsidR="008F0790" w:rsidRPr="009D4CD4" w:rsidRDefault="00747D08" w:rsidP="002736B2">
            <w:pPr>
              <w:spacing w:after="0" w:line="240" w:lineRule="auto"/>
              <w:jc w:val="left"/>
              <w:rPr>
                <w:rFonts w:eastAsia="Times New Roman"/>
                <w:sz w:val="20"/>
                <w:szCs w:val="20"/>
                <w:lang w:eastAsia="fr-FR"/>
              </w:rPr>
            </w:pPr>
            <w:r w:rsidRPr="009D4CD4">
              <w:rPr>
                <w:rFonts w:eastAsia="Times New Roman"/>
                <w:sz w:val="20"/>
                <w:szCs w:val="20"/>
                <w:lang w:eastAsia="fr-FR"/>
              </w:rPr>
              <w:t>11,8 %</w:t>
            </w:r>
          </w:p>
        </w:tc>
        <w:tc>
          <w:tcPr>
            <w:tcW w:w="1040" w:type="dxa"/>
            <w:tcBorders>
              <w:top w:val="nil"/>
              <w:left w:val="nil"/>
              <w:bottom w:val="single" w:sz="4" w:space="0" w:color="auto"/>
              <w:right w:val="single" w:sz="4" w:space="0" w:color="auto"/>
            </w:tcBorders>
            <w:shd w:val="clear" w:color="auto" w:fill="auto"/>
            <w:noWrap/>
          </w:tcPr>
          <w:p w14:paraId="55E6F0C8" w14:textId="12211972" w:rsidR="008F0790" w:rsidRPr="009D4CD4" w:rsidRDefault="00747D08" w:rsidP="002736B2">
            <w:pPr>
              <w:spacing w:after="0" w:line="240" w:lineRule="auto"/>
              <w:jc w:val="left"/>
              <w:rPr>
                <w:rFonts w:eastAsia="Times New Roman"/>
                <w:sz w:val="20"/>
                <w:szCs w:val="20"/>
                <w:lang w:eastAsia="fr-FR"/>
              </w:rPr>
            </w:pPr>
            <w:r w:rsidRPr="009D4CD4">
              <w:rPr>
                <w:rFonts w:eastAsia="Times New Roman"/>
                <w:sz w:val="20"/>
                <w:szCs w:val="20"/>
                <w:lang w:eastAsia="fr-FR"/>
              </w:rPr>
              <w:t>11,7 %</w:t>
            </w:r>
          </w:p>
        </w:tc>
        <w:tc>
          <w:tcPr>
            <w:tcW w:w="1040" w:type="dxa"/>
            <w:tcBorders>
              <w:top w:val="nil"/>
              <w:left w:val="nil"/>
              <w:bottom w:val="single" w:sz="4" w:space="0" w:color="auto"/>
              <w:right w:val="single" w:sz="4" w:space="0" w:color="auto"/>
            </w:tcBorders>
            <w:shd w:val="clear" w:color="auto" w:fill="auto"/>
            <w:noWrap/>
          </w:tcPr>
          <w:p w14:paraId="17B00738" w14:textId="253AF615" w:rsidR="008F0790" w:rsidRPr="009D4CD4" w:rsidRDefault="00747D08" w:rsidP="002736B2">
            <w:pPr>
              <w:spacing w:after="0" w:line="240" w:lineRule="auto"/>
              <w:jc w:val="left"/>
              <w:rPr>
                <w:rFonts w:eastAsia="Times New Roman"/>
                <w:sz w:val="20"/>
                <w:szCs w:val="20"/>
                <w:lang w:eastAsia="fr-FR"/>
              </w:rPr>
            </w:pPr>
            <w:r w:rsidRPr="009D4CD4">
              <w:rPr>
                <w:rFonts w:eastAsia="Times New Roman"/>
                <w:sz w:val="20"/>
                <w:szCs w:val="20"/>
                <w:lang w:eastAsia="fr-FR"/>
              </w:rPr>
              <w:t>11 %</w:t>
            </w:r>
          </w:p>
        </w:tc>
      </w:tr>
    </w:tbl>
    <w:p w14:paraId="2BD51801" w14:textId="77777777" w:rsidR="0037579F" w:rsidRPr="009D4CD4" w:rsidRDefault="0037579F" w:rsidP="00510ABE">
      <w:pPr>
        <w:spacing w:after="0" w:line="240" w:lineRule="auto"/>
        <w:jc w:val="left"/>
        <w:rPr>
          <w:rFonts w:eastAsia="Times New Roman"/>
          <w:lang w:eastAsia="fr-FR"/>
        </w:rPr>
      </w:pPr>
    </w:p>
    <w:p w14:paraId="7A4A0A03" w14:textId="7C5B1B7A" w:rsidR="00510ABE" w:rsidRPr="009D4CD4" w:rsidRDefault="00510ABE" w:rsidP="00510ABE">
      <w:pPr>
        <w:spacing w:after="0" w:line="240" w:lineRule="auto"/>
        <w:jc w:val="left"/>
        <w:rPr>
          <w:rFonts w:eastAsia="Times New Roman"/>
          <w:lang w:eastAsia="fr-FR"/>
        </w:rPr>
      </w:pPr>
      <w:r w:rsidRPr="009D4CD4">
        <w:rPr>
          <w:rFonts w:eastAsia="Times New Roman"/>
          <w:lang w:eastAsia="fr-FR"/>
        </w:rPr>
        <w:t xml:space="preserve">Engagé dans une dynamique de transformation, le CANMP </w:t>
      </w:r>
      <w:r w:rsidR="005C4C31" w:rsidRPr="009D4CD4">
        <w:rPr>
          <w:rFonts w:eastAsia="Times New Roman"/>
          <w:lang w:eastAsia="fr-FR"/>
        </w:rPr>
        <w:t>déploie</w:t>
      </w:r>
      <w:r w:rsidRPr="009D4CD4">
        <w:rPr>
          <w:rFonts w:eastAsia="Times New Roman"/>
          <w:lang w:eastAsia="fr-FR"/>
        </w:rPr>
        <w:t xml:space="preserve"> une démarche de qualité de vie au t</w:t>
      </w:r>
      <w:r w:rsidR="00DE756C" w:rsidRPr="009D4CD4">
        <w:rPr>
          <w:rFonts w:eastAsia="Times New Roman"/>
          <w:lang w:eastAsia="fr-FR"/>
        </w:rPr>
        <w:t xml:space="preserve">ravail visant à favoriser : </w:t>
      </w:r>
      <w:r w:rsidR="00DE756C" w:rsidRPr="009D4CD4">
        <w:rPr>
          <w:rFonts w:eastAsia="Times New Roman"/>
          <w:lang w:eastAsia="fr-FR"/>
        </w:rPr>
        <w:br/>
        <w:t>&gt; L</w:t>
      </w:r>
      <w:r w:rsidRPr="009D4CD4">
        <w:rPr>
          <w:rFonts w:eastAsia="Times New Roman"/>
          <w:lang w:eastAsia="fr-FR"/>
        </w:rPr>
        <w:t>e développement, l’écoute et la res</w:t>
      </w:r>
      <w:r w:rsidR="00DE756C" w:rsidRPr="009D4CD4">
        <w:rPr>
          <w:rFonts w:eastAsia="Times New Roman"/>
          <w:lang w:eastAsia="fr-FR"/>
        </w:rPr>
        <w:t>ponsabilisation des salariés</w:t>
      </w:r>
      <w:r w:rsidR="00DE756C" w:rsidRPr="009D4CD4">
        <w:rPr>
          <w:rFonts w:eastAsia="Times New Roman"/>
          <w:lang w:eastAsia="fr-FR"/>
        </w:rPr>
        <w:br/>
        <w:t>&gt; L</w:t>
      </w:r>
      <w:r w:rsidRPr="009D4CD4">
        <w:rPr>
          <w:rFonts w:eastAsia="Times New Roman"/>
          <w:lang w:eastAsia="fr-FR"/>
        </w:rPr>
        <w:t xml:space="preserve">e sens du collectif et </w:t>
      </w:r>
      <w:r w:rsidR="00DE756C" w:rsidRPr="009D4CD4">
        <w:rPr>
          <w:rFonts w:eastAsia="Times New Roman"/>
          <w:lang w:eastAsia="fr-FR"/>
        </w:rPr>
        <w:t>la cohésion d’équipe</w:t>
      </w:r>
      <w:r w:rsidR="00DE756C" w:rsidRPr="009D4CD4">
        <w:rPr>
          <w:rFonts w:eastAsia="Times New Roman"/>
          <w:lang w:eastAsia="fr-FR"/>
        </w:rPr>
        <w:br/>
        <w:t>&gt; L</w:t>
      </w:r>
      <w:r w:rsidRPr="009D4CD4">
        <w:rPr>
          <w:rFonts w:eastAsia="Times New Roman"/>
          <w:lang w:eastAsia="fr-FR"/>
        </w:rPr>
        <w:t>’at</w:t>
      </w:r>
      <w:r w:rsidR="00DE756C" w:rsidRPr="009D4CD4">
        <w:rPr>
          <w:rFonts w:eastAsia="Times New Roman"/>
          <w:lang w:eastAsia="fr-FR"/>
        </w:rPr>
        <w:t>tention portée aux personnes</w:t>
      </w:r>
      <w:r w:rsidR="00DE756C" w:rsidRPr="009D4CD4">
        <w:rPr>
          <w:rFonts w:eastAsia="Times New Roman"/>
          <w:lang w:eastAsia="fr-FR"/>
        </w:rPr>
        <w:br/>
        <w:t>&gt; L</w:t>
      </w:r>
      <w:r w:rsidRPr="009D4CD4">
        <w:rPr>
          <w:rFonts w:eastAsia="Times New Roman"/>
          <w:lang w:eastAsia="fr-FR"/>
        </w:rPr>
        <w:t>e dépassement et la convivialité.</w:t>
      </w:r>
    </w:p>
    <w:p w14:paraId="056F1A77" w14:textId="77777777" w:rsidR="00510ABE" w:rsidRPr="009D4CD4" w:rsidRDefault="00510ABE" w:rsidP="00B72A61">
      <w:pPr>
        <w:spacing w:after="0" w:line="240" w:lineRule="auto"/>
        <w:jc w:val="left"/>
        <w:rPr>
          <w:rFonts w:eastAsia="Times New Roman"/>
          <w:lang w:eastAsia="fr-FR"/>
        </w:rPr>
      </w:pPr>
    </w:p>
    <w:p w14:paraId="125706FF" w14:textId="77777777" w:rsidR="00510ABE" w:rsidRPr="009D4CD4" w:rsidRDefault="0078371D" w:rsidP="0078371D">
      <w:pPr>
        <w:spacing w:after="0" w:line="240" w:lineRule="auto"/>
        <w:jc w:val="left"/>
        <w:rPr>
          <w:rFonts w:eastAsia="Times New Roman"/>
          <w:lang w:eastAsia="fr-FR"/>
        </w:rPr>
      </w:pPr>
      <w:r w:rsidRPr="009D4CD4">
        <w:rPr>
          <w:rFonts w:eastAsia="Times New Roman"/>
          <w:lang w:eastAsia="fr-FR"/>
        </w:rPr>
        <w:t xml:space="preserve">Structurée, la </w:t>
      </w:r>
      <w:r w:rsidR="00510ABE" w:rsidRPr="009D4CD4">
        <w:rPr>
          <w:rFonts w:eastAsia="Times New Roman"/>
          <w:lang w:eastAsia="fr-FR"/>
        </w:rPr>
        <w:t>démarche QVT du CANMP</w:t>
      </w:r>
      <w:r w:rsidRPr="009D4CD4">
        <w:rPr>
          <w:rFonts w:eastAsia="Times New Roman"/>
          <w:lang w:eastAsia="fr-FR"/>
        </w:rPr>
        <w:t xml:space="preserve"> </w:t>
      </w:r>
      <w:r w:rsidR="00510ABE" w:rsidRPr="009D4CD4">
        <w:rPr>
          <w:rFonts w:eastAsia="Times New Roman"/>
          <w:lang w:eastAsia="fr-FR"/>
        </w:rPr>
        <w:t xml:space="preserve">: </w:t>
      </w:r>
    </w:p>
    <w:p w14:paraId="2FB42E38" w14:textId="11BEF30B" w:rsidR="003F6476" w:rsidRPr="009D4CD4" w:rsidRDefault="00510ABE" w:rsidP="0078371D">
      <w:pPr>
        <w:spacing w:after="0" w:line="240" w:lineRule="auto"/>
        <w:jc w:val="left"/>
      </w:pPr>
      <w:r w:rsidRPr="009D4CD4">
        <w:t>&gt;</w:t>
      </w:r>
      <w:r w:rsidR="0078371D" w:rsidRPr="009D4CD4">
        <w:t xml:space="preserve"> </w:t>
      </w:r>
      <w:r w:rsidR="00636648" w:rsidRPr="009D4CD4">
        <w:t>E</w:t>
      </w:r>
      <w:r w:rsidR="0078371D" w:rsidRPr="009D4CD4">
        <w:t xml:space="preserve">st </w:t>
      </w:r>
      <w:r w:rsidRPr="009D4CD4">
        <w:t>anim</w:t>
      </w:r>
      <w:r w:rsidR="003F6476" w:rsidRPr="009D4CD4">
        <w:t>ée</w:t>
      </w:r>
      <w:r w:rsidR="0078371D" w:rsidRPr="009D4CD4">
        <w:t xml:space="preserve"> </w:t>
      </w:r>
      <w:r w:rsidR="003F6476" w:rsidRPr="009D4CD4">
        <w:t>par</w:t>
      </w:r>
      <w:r w:rsidRPr="009D4CD4">
        <w:t xml:space="preserve"> un cadre</w:t>
      </w:r>
      <w:r w:rsidR="003F6476" w:rsidRPr="009D4CD4">
        <w:t xml:space="preserve"> à plein temps</w:t>
      </w:r>
    </w:p>
    <w:p w14:paraId="2E5DDC0F" w14:textId="58767CEB" w:rsidR="0078371D" w:rsidRPr="009D4CD4" w:rsidRDefault="003F6476" w:rsidP="0078371D">
      <w:pPr>
        <w:spacing w:after="0" w:line="240" w:lineRule="auto"/>
        <w:jc w:val="left"/>
      </w:pPr>
      <w:r w:rsidRPr="009D4CD4">
        <w:t>&gt;</w:t>
      </w:r>
      <w:r w:rsidR="00510ABE" w:rsidRPr="009D4CD4">
        <w:t xml:space="preserve"> </w:t>
      </w:r>
      <w:r w:rsidR="00636648" w:rsidRPr="009D4CD4">
        <w:t>S</w:t>
      </w:r>
      <w:r w:rsidR="00510ABE" w:rsidRPr="009D4CD4">
        <w:t>’appuie sur un réseau d</w:t>
      </w:r>
      <w:r w:rsidR="0078371D" w:rsidRPr="009D4CD4">
        <w:t>e salariés « </w:t>
      </w:r>
      <w:r w:rsidR="00510ABE" w:rsidRPr="009D4CD4">
        <w:t>ambassadeurs</w:t>
      </w:r>
      <w:r w:rsidR="0078371D" w:rsidRPr="009D4CD4">
        <w:t> »</w:t>
      </w:r>
      <w:r w:rsidR="00510ABE" w:rsidRPr="009D4CD4">
        <w:t xml:space="preserve">, </w:t>
      </w:r>
      <w:r w:rsidR="0078371D" w:rsidRPr="009D4CD4">
        <w:rPr>
          <w:rFonts w:eastAsia="Times New Roman"/>
          <w:lang w:eastAsia="fr-FR"/>
        </w:rPr>
        <w:t>dont le rôle est de faire remonter leur vision ainsi que les ressentis des équipes, et d’être un groupe miroi</w:t>
      </w:r>
      <w:r w:rsidR="005C4C31" w:rsidRPr="009D4CD4">
        <w:rPr>
          <w:rFonts w:eastAsia="Times New Roman"/>
          <w:lang w:eastAsia="fr-FR"/>
        </w:rPr>
        <w:t>r dans le cadre des projets QVT</w:t>
      </w:r>
      <w:r w:rsidR="003A2996" w:rsidRPr="009D4CD4">
        <w:rPr>
          <w:rFonts w:eastAsia="Times New Roman"/>
          <w:lang w:eastAsia="fr-FR"/>
        </w:rPr>
        <w:t xml:space="preserve"> et d’informer les salariés de leur direction sur les différents dispositifs au service de leur qualité de vie au travail</w:t>
      </w:r>
      <w:r w:rsidR="003A2996" w:rsidRPr="009D4CD4">
        <w:rPr>
          <w:rFonts w:eastAsia="Times New Roman"/>
          <w:lang w:eastAsia="fr-FR"/>
        </w:rPr>
        <w:br/>
      </w:r>
      <w:r w:rsidR="00636648" w:rsidRPr="009D4CD4">
        <w:rPr>
          <w:rFonts w:eastAsia="Times New Roman"/>
          <w:lang w:eastAsia="fr-FR"/>
        </w:rPr>
        <w:t xml:space="preserve">&gt; </w:t>
      </w:r>
      <w:r w:rsidR="0039562E">
        <w:rPr>
          <w:rFonts w:eastAsia="Times New Roman"/>
          <w:lang w:eastAsia="fr-FR"/>
        </w:rPr>
        <w:t>Est r</w:t>
      </w:r>
      <w:r w:rsidR="0078371D" w:rsidRPr="009D4CD4">
        <w:rPr>
          <w:rFonts w:eastAsia="Times New Roman"/>
          <w:lang w:eastAsia="fr-FR"/>
        </w:rPr>
        <w:t>elayée par une lettre d’information digitale (</w:t>
      </w:r>
      <w:r w:rsidR="00510ABE" w:rsidRPr="009D4CD4">
        <w:t>« Tous innovants »</w:t>
      </w:r>
      <w:r w:rsidR="0078371D" w:rsidRPr="009D4CD4">
        <w:t>)</w:t>
      </w:r>
      <w:r w:rsidR="00510ABE" w:rsidRPr="009D4CD4">
        <w:t>.</w:t>
      </w:r>
    </w:p>
    <w:p w14:paraId="61CFEA63" w14:textId="77777777" w:rsidR="0078371D" w:rsidRPr="009D4CD4" w:rsidRDefault="0078371D" w:rsidP="0078371D">
      <w:pPr>
        <w:spacing w:after="0" w:line="240" w:lineRule="auto"/>
        <w:jc w:val="left"/>
      </w:pPr>
    </w:p>
    <w:p w14:paraId="005FC7FD" w14:textId="7D3E1E26" w:rsidR="00510ABE" w:rsidRPr="009D4CD4" w:rsidRDefault="0078371D" w:rsidP="00510ABE">
      <w:pPr>
        <w:spacing w:after="0" w:line="240" w:lineRule="auto"/>
        <w:jc w:val="left"/>
        <w:rPr>
          <w:rFonts w:eastAsia="Times New Roman"/>
          <w:lang w:eastAsia="fr-FR"/>
        </w:rPr>
      </w:pPr>
      <w:r w:rsidRPr="009D4CD4">
        <w:t xml:space="preserve">Dans une logique de progrès et d’amélioration continue, la perception des salariés </w:t>
      </w:r>
      <w:r w:rsidR="00EC12DD" w:rsidRPr="009D4CD4">
        <w:t xml:space="preserve">sur la QVT </w:t>
      </w:r>
      <w:r w:rsidRPr="009D4CD4">
        <w:t xml:space="preserve">est mesurée.  </w:t>
      </w:r>
      <w:r w:rsidR="00510ABE" w:rsidRPr="009D4CD4">
        <w:rPr>
          <w:rFonts w:eastAsia="Times New Roman"/>
          <w:lang w:eastAsia="fr-FR"/>
        </w:rPr>
        <w:t xml:space="preserve">Administrée par le cabinet Great Place to Work, une enquête en ligne de 66 questions a </w:t>
      </w:r>
      <w:r w:rsidRPr="009D4CD4">
        <w:rPr>
          <w:rFonts w:eastAsia="Times New Roman"/>
          <w:lang w:eastAsia="fr-FR"/>
        </w:rPr>
        <w:t xml:space="preserve">ainsi </w:t>
      </w:r>
      <w:r w:rsidR="00510ABE" w:rsidRPr="009D4CD4">
        <w:rPr>
          <w:rFonts w:eastAsia="Times New Roman"/>
          <w:lang w:eastAsia="fr-FR"/>
        </w:rPr>
        <w:t xml:space="preserve">permis en 2019 de </w:t>
      </w:r>
      <w:r w:rsidRPr="009D4CD4">
        <w:rPr>
          <w:rFonts w:eastAsia="Times New Roman"/>
          <w:lang w:eastAsia="fr-FR"/>
        </w:rPr>
        <w:t xml:space="preserve">tester </w:t>
      </w:r>
      <w:r w:rsidR="005E2849" w:rsidRPr="009D4CD4">
        <w:rPr>
          <w:rFonts w:eastAsia="Times New Roman"/>
          <w:lang w:eastAsia="fr-FR"/>
        </w:rPr>
        <w:t>plusieurs</w:t>
      </w:r>
      <w:r w:rsidR="00510ABE" w:rsidRPr="009D4CD4">
        <w:rPr>
          <w:rFonts w:eastAsia="Times New Roman"/>
          <w:lang w:eastAsia="fr-FR"/>
        </w:rPr>
        <w:t xml:space="preserve"> thématiques : fierté d’appartenance ; respect et reconnaissance ; équité et solidarité. Cette enquête est commune à toutes les entreprises accompagnées par le cabinet Great Place to Work.</w:t>
      </w:r>
      <w:r w:rsidRPr="009D4CD4">
        <w:rPr>
          <w:rFonts w:eastAsia="Times New Roman"/>
          <w:lang w:eastAsia="fr-FR"/>
        </w:rPr>
        <w:t xml:space="preserve"> </w:t>
      </w:r>
      <w:r w:rsidR="00510ABE" w:rsidRPr="009D4CD4">
        <w:rPr>
          <w:rFonts w:eastAsia="Times New Roman"/>
          <w:lang w:eastAsia="fr-FR"/>
        </w:rPr>
        <w:t xml:space="preserve">Avec un taux de réponse de 85%, l’enquête a fait ressortir un indice de confiance de 57%. Les points forts concernent la fierté d’appartenance, la perception du sens dans le travail et de la stratégie, les conditions de travail. Les principaux points d’amélioration portent sur la nécessité de renforcer le collectif, la responsabilisation, la reconnaissance et de réduire les irritants au quotidien. </w:t>
      </w:r>
    </w:p>
    <w:p w14:paraId="7587D739" w14:textId="77777777" w:rsidR="00510ABE" w:rsidRPr="009D4CD4" w:rsidRDefault="00510ABE" w:rsidP="00EC12DD">
      <w:pPr>
        <w:spacing w:after="0" w:line="240" w:lineRule="auto"/>
        <w:jc w:val="left"/>
        <w:rPr>
          <w:rFonts w:eastAsia="Times New Roman"/>
          <w:lang w:eastAsia="fr-FR"/>
        </w:rPr>
      </w:pPr>
    </w:p>
    <w:p w14:paraId="7758AD40" w14:textId="6BAAAEF7" w:rsidR="00510ABE" w:rsidRPr="009D4CD4" w:rsidRDefault="00510ABE" w:rsidP="00EC12DD">
      <w:pPr>
        <w:spacing w:after="0" w:line="240" w:lineRule="auto"/>
        <w:jc w:val="left"/>
        <w:rPr>
          <w:lang w:eastAsia="fr-FR"/>
        </w:rPr>
      </w:pPr>
      <w:r w:rsidRPr="009D4CD4">
        <w:rPr>
          <w:lang w:eastAsia="fr-FR"/>
        </w:rPr>
        <w:t>Pour répondre aux attentes exprimées</w:t>
      </w:r>
      <w:r w:rsidR="00EC12DD" w:rsidRPr="009D4CD4">
        <w:rPr>
          <w:lang w:eastAsia="fr-FR"/>
        </w:rPr>
        <w:t xml:space="preserve"> en matière de QVT</w:t>
      </w:r>
      <w:r w:rsidRPr="009D4CD4">
        <w:rPr>
          <w:lang w:eastAsia="fr-FR"/>
        </w:rPr>
        <w:t>, plusieurs dispositifs sont mis en œuvre</w:t>
      </w:r>
      <w:r w:rsidR="00B57C8D" w:rsidRPr="009D4CD4">
        <w:rPr>
          <w:lang w:eastAsia="fr-FR"/>
        </w:rPr>
        <w:t xml:space="preserve"> : </w:t>
      </w:r>
      <w:r w:rsidR="00B57C8D" w:rsidRPr="009D4CD4">
        <w:rPr>
          <w:lang w:eastAsia="fr-FR"/>
        </w:rPr>
        <w:br/>
        <w:t>&gt;</w:t>
      </w:r>
      <w:r w:rsidR="00636648" w:rsidRPr="009D4CD4">
        <w:rPr>
          <w:lang w:eastAsia="fr-FR"/>
        </w:rPr>
        <w:t xml:space="preserve"> L</w:t>
      </w:r>
      <w:r w:rsidR="0039562E">
        <w:rPr>
          <w:lang w:eastAsia="fr-FR"/>
        </w:rPr>
        <w:t>e temps partiel</w:t>
      </w:r>
      <w:r w:rsidR="00B57C8D" w:rsidRPr="009D4CD4">
        <w:rPr>
          <w:lang w:eastAsia="fr-FR"/>
        </w:rPr>
        <w:br/>
        <w:t>&gt;</w:t>
      </w:r>
      <w:r w:rsidR="00636648" w:rsidRPr="009D4CD4">
        <w:rPr>
          <w:lang w:eastAsia="fr-FR"/>
        </w:rPr>
        <w:t xml:space="preserve"> L</w:t>
      </w:r>
      <w:r w:rsidR="0039562E">
        <w:rPr>
          <w:lang w:eastAsia="fr-FR"/>
        </w:rPr>
        <w:t>e télétravail</w:t>
      </w:r>
    </w:p>
    <w:p w14:paraId="1FFB6F1B" w14:textId="1BC66783" w:rsidR="00B57C8D" w:rsidRPr="009D4CD4" w:rsidRDefault="00636648" w:rsidP="00EC12DD">
      <w:pPr>
        <w:spacing w:after="0" w:line="240" w:lineRule="auto"/>
        <w:jc w:val="left"/>
        <w:rPr>
          <w:lang w:eastAsia="fr-FR"/>
        </w:rPr>
      </w:pPr>
      <w:r w:rsidRPr="009D4CD4">
        <w:rPr>
          <w:lang w:eastAsia="fr-FR"/>
        </w:rPr>
        <w:t>&gt; Une</w:t>
      </w:r>
      <w:r w:rsidR="00B57C8D" w:rsidRPr="009D4CD4">
        <w:rPr>
          <w:lang w:eastAsia="fr-FR"/>
        </w:rPr>
        <w:t xml:space="preserve"> plateforme </w:t>
      </w:r>
      <w:r w:rsidRPr="009D4CD4">
        <w:rPr>
          <w:lang w:eastAsia="fr-FR"/>
        </w:rPr>
        <w:t>pour poster des suggestions</w:t>
      </w:r>
    </w:p>
    <w:p w14:paraId="0BE22638" w14:textId="77777777" w:rsidR="00B57C8D" w:rsidRPr="009D4CD4" w:rsidRDefault="00B57C8D" w:rsidP="00EC12DD">
      <w:pPr>
        <w:spacing w:after="0" w:line="240" w:lineRule="auto"/>
        <w:jc w:val="left"/>
        <w:rPr>
          <w:bCs/>
          <w:lang w:eastAsia="fr-FR"/>
        </w:rPr>
      </w:pPr>
      <w:r w:rsidRPr="009D4CD4">
        <w:rPr>
          <w:bCs/>
          <w:lang w:eastAsia="fr-FR"/>
        </w:rPr>
        <w:t>&gt; Le projet « Sport, santé bien-être au travail »</w:t>
      </w:r>
    </w:p>
    <w:p w14:paraId="7DE0E9CA" w14:textId="77777777" w:rsidR="00B57C8D" w:rsidRPr="009D4CD4" w:rsidRDefault="00B57C8D" w:rsidP="00EC12DD">
      <w:pPr>
        <w:spacing w:after="0" w:line="240" w:lineRule="auto"/>
        <w:rPr>
          <w:bCs/>
          <w:lang w:eastAsia="fr-FR"/>
        </w:rPr>
      </w:pPr>
      <w:r w:rsidRPr="009D4CD4">
        <w:rPr>
          <w:bCs/>
          <w:lang w:eastAsia="fr-FR"/>
        </w:rPr>
        <w:t>&gt; L’a</w:t>
      </w:r>
      <w:r w:rsidRPr="009D4CD4">
        <w:rPr>
          <w:lang w:eastAsia="fr-FR"/>
        </w:rPr>
        <w:t>ccompagnement psychologique et social des salariés</w:t>
      </w:r>
    </w:p>
    <w:p w14:paraId="3875D41C" w14:textId="2CDD711C" w:rsidR="00B57C8D" w:rsidRPr="009D4CD4" w:rsidRDefault="00B57C8D" w:rsidP="00EC12DD">
      <w:pPr>
        <w:spacing w:after="0" w:line="240" w:lineRule="auto"/>
        <w:rPr>
          <w:lang w:eastAsia="fr-FR"/>
        </w:rPr>
      </w:pPr>
      <w:r w:rsidRPr="009D4CD4">
        <w:rPr>
          <w:lang w:eastAsia="fr-FR"/>
        </w:rPr>
        <w:t>&gt; Le soutien scolaire pour les enfants des salariés</w:t>
      </w:r>
    </w:p>
    <w:p w14:paraId="1B56F50A" w14:textId="4927A006" w:rsidR="00B57C8D" w:rsidRPr="009D4CD4" w:rsidRDefault="00B57C8D" w:rsidP="00EC12DD">
      <w:pPr>
        <w:spacing w:after="0" w:line="240" w:lineRule="auto"/>
        <w:rPr>
          <w:lang w:eastAsia="fr-FR"/>
        </w:rPr>
      </w:pPr>
      <w:r w:rsidRPr="009D4CD4">
        <w:rPr>
          <w:lang w:eastAsia="fr-FR"/>
        </w:rPr>
        <w:t xml:space="preserve">&gt; Les Indemnités kilométriques </w:t>
      </w:r>
      <w:r w:rsidR="00F52956" w:rsidRPr="009D4CD4">
        <w:rPr>
          <w:lang w:eastAsia="fr-FR"/>
        </w:rPr>
        <w:t>–</w:t>
      </w:r>
      <w:r w:rsidRPr="009D4CD4">
        <w:rPr>
          <w:lang w:eastAsia="fr-FR"/>
        </w:rPr>
        <w:t>vélo</w:t>
      </w:r>
    </w:p>
    <w:p w14:paraId="02B3C167" w14:textId="2D32BC89" w:rsidR="00EE5493" w:rsidRPr="009D4CD4" w:rsidRDefault="00EE5493" w:rsidP="00EC12DD">
      <w:pPr>
        <w:spacing w:after="0" w:line="240" w:lineRule="auto"/>
        <w:rPr>
          <w:color w:val="FF0000"/>
          <w:lang w:eastAsia="fr-FR"/>
        </w:rPr>
      </w:pPr>
    </w:p>
    <w:p w14:paraId="56244111" w14:textId="4F4D3312" w:rsidR="00066F54" w:rsidRPr="009D4CD4" w:rsidRDefault="00066F54" w:rsidP="0039562E">
      <w:pPr>
        <w:spacing w:after="0" w:line="240" w:lineRule="auto"/>
        <w:jc w:val="left"/>
        <w:rPr>
          <w:lang w:eastAsia="fr-FR"/>
        </w:rPr>
      </w:pPr>
      <w:r w:rsidRPr="009D4CD4">
        <w:rPr>
          <w:lang w:eastAsia="fr-FR"/>
        </w:rPr>
        <w:t xml:space="preserve">En juin 2021 une enquête sur l’équilibre </w:t>
      </w:r>
      <w:r w:rsidR="0039562E">
        <w:rPr>
          <w:lang w:eastAsia="fr-FR"/>
        </w:rPr>
        <w:t xml:space="preserve">vie privée - </w:t>
      </w:r>
      <w:r w:rsidRPr="009D4CD4">
        <w:rPr>
          <w:lang w:eastAsia="fr-FR"/>
        </w:rPr>
        <w:t>vie professionnelle a été effectuée auprès des salariés par le cabinet GOALMAP. 71 %</w:t>
      </w:r>
      <w:r w:rsidR="000F317D" w:rsidRPr="009D4CD4">
        <w:rPr>
          <w:lang w:eastAsia="fr-FR"/>
        </w:rPr>
        <w:t xml:space="preserve"> des 800 répondants</w:t>
      </w:r>
      <w:r w:rsidRPr="009D4CD4">
        <w:rPr>
          <w:lang w:eastAsia="fr-FR"/>
        </w:rPr>
        <w:t xml:space="preserve"> considère</w:t>
      </w:r>
      <w:r w:rsidR="000F317D" w:rsidRPr="009D4CD4">
        <w:rPr>
          <w:lang w:eastAsia="fr-FR"/>
        </w:rPr>
        <w:t>nt</w:t>
      </w:r>
      <w:r w:rsidRPr="009D4CD4">
        <w:rPr>
          <w:lang w:eastAsia="fr-FR"/>
        </w:rPr>
        <w:t xml:space="preserve"> l’équilibre vie privée vie pro</w:t>
      </w:r>
      <w:r w:rsidR="000F317D" w:rsidRPr="009D4CD4">
        <w:rPr>
          <w:lang w:eastAsia="fr-FR"/>
        </w:rPr>
        <w:t>fessionnelle comme un sujet important, notamment les nouvelles générations.</w:t>
      </w:r>
      <w:r w:rsidRPr="009D4CD4">
        <w:rPr>
          <w:lang w:eastAsia="fr-FR"/>
        </w:rPr>
        <w:t xml:space="preserve">  49% </w:t>
      </w:r>
      <w:r w:rsidR="000F317D" w:rsidRPr="009D4CD4">
        <w:rPr>
          <w:lang w:eastAsia="fr-FR"/>
        </w:rPr>
        <w:t>jugent satisfaisant l’équilibre vie personnelle vie professionnelle</w:t>
      </w:r>
      <w:r w:rsidRPr="009D4CD4">
        <w:rPr>
          <w:lang w:eastAsia="fr-FR"/>
        </w:rPr>
        <w:t xml:space="preserve">. </w:t>
      </w:r>
      <w:r w:rsidR="000F317D" w:rsidRPr="009D4CD4">
        <w:rPr>
          <w:lang w:eastAsia="fr-FR"/>
        </w:rPr>
        <w:t>L</w:t>
      </w:r>
      <w:r w:rsidRPr="009D4CD4">
        <w:rPr>
          <w:lang w:eastAsia="fr-FR"/>
        </w:rPr>
        <w:t xml:space="preserve">es points </w:t>
      </w:r>
      <w:r w:rsidR="000F317D" w:rsidRPr="009D4CD4">
        <w:rPr>
          <w:lang w:eastAsia="fr-FR"/>
        </w:rPr>
        <w:t>d’attention</w:t>
      </w:r>
      <w:r w:rsidRPr="009D4CD4">
        <w:rPr>
          <w:lang w:eastAsia="fr-FR"/>
        </w:rPr>
        <w:t> </w:t>
      </w:r>
      <w:r w:rsidR="000F317D" w:rsidRPr="009D4CD4">
        <w:rPr>
          <w:lang w:eastAsia="fr-FR"/>
        </w:rPr>
        <w:t xml:space="preserve">portent </w:t>
      </w:r>
      <w:r w:rsidRPr="009D4CD4">
        <w:rPr>
          <w:lang w:eastAsia="fr-FR"/>
        </w:rPr>
        <w:t xml:space="preserve">sur le contenu du temps professionnel </w:t>
      </w:r>
      <w:r w:rsidR="000F317D" w:rsidRPr="009D4CD4">
        <w:rPr>
          <w:lang w:eastAsia="fr-FR"/>
        </w:rPr>
        <w:t xml:space="preserve">(aménagement de </w:t>
      </w:r>
      <w:r w:rsidRPr="009D4CD4">
        <w:rPr>
          <w:lang w:eastAsia="fr-FR"/>
        </w:rPr>
        <w:t>pauses, organisation des réunions</w:t>
      </w:r>
      <w:r w:rsidR="000F317D" w:rsidRPr="009D4CD4">
        <w:rPr>
          <w:lang w:eastAsia="fr-FR"/>
        </w:rPr>
        <w:t>…). Le sujet de la déconnexion est mentionné au niveau des managers. Ces points sont traités dans les plans d’actions ouverts.</w:t>
      </w:r>
      <w:r w:rsidRPr="009D4CD4">
        <w:rPr>
          <w:lang w:eastAsia="fr-FR"/>
        </w:rPr>
        <w:t xml:space="preserve"> </w:t>
      </w:r>
    </w:p>
    <w:p w14:paraId="5D0976B9" w14:textId="2BD8DCA9" w:rsidR="005E2849" w:rsidRPr="009D4CD4" w:rsidRDefault="0078371D" w:rsidP="00484FF7">
      <w:pPr>
        <w:pStyle w:val="Titre4"/>
        <w:rPr>
          <w:lang w:eastAsia="fr-FR"/>
        </w:rPr>
      </w:pPr>
      <w:bookmarkStart w:id="116" w:name="_Toc96698026"/>
      <w:r w:rsidRPr="009D4CD4">
        <w:rPr>
          <w:lang w:eastAsia="fr-FR"/>
        </w:rPr>
        <w:t>Le t</w:t>
      </w:r>
      <w:r w:rsidR="00B72A61" w:rsidRPr="009D4CD4">
        <w:rPr>
          <w:lang w:eastAsia="fr-FR"/>
        </w:rPr>
        <w:t>emps partiel</w:t>
      </w:r>
      <w:bookmarkEnd w:id="116"/>
    </w:p>
    <w:p w14:paraId="168B1ABE" w14:textId="46B6F217" w:rsidR="00830963" w:rsidRPr="009D4CD4" w:rsidRDefault="00B72A61" w:rsidP="00636648">
      <w:pPr>
        <w:spacing w:after="0" w:line="240" w:lineRule="auto"/>
        <w:jc w:val="left"/>
      </w:pPr>
      <w:r w:rsidRPr="009D4CD4">
        <w:rPr>
          <w:rFonts w:asciiTheme="minorHAnsi" w:hAnsiTheme="minorHAnsi"/>
        </w:rPr>
        <w:t>Le travail à temps partiel (TTP)</w:t>
      </w:r>
      <w:r w:rsidR="00636648" w:rsidRPr="009D4CD4">
        <w:rPr>
          <w:rStyle w:val="apple-converted-space"/>
          <w:rFonts w:asciiTheme="minorHAnsi" w:hAnsiTheme="minorHAnsi"/>
        </w:rPr>
        <w:t xml:space="preserve"> </w:t>
      </w:r>
      <w:r w:rsidRPr="009D4CD4">
        <w:rPr>
          <w:rFonts w:asciiTheme="minorHAnsi" w:hAnsiTheme="minorHAnsi"/>
        </w:rPr>
        <w:t>choisi</w:t>
      </w:r>
      <w:r w:rsidR="00636648" w:rsidRPr="009D4CD4">
        <w:rPr>
          <w:rFonts w:asciiTheme="minorHAnsi" w:hAnsiTheme="minorHAnsi"/>
        </w:rPr>
        <w:t xml:space="preserve"> </w:t>
      </w:r>
      <w:r w:rsidRPr="009D4CD4">
        <w:rPr>
          <w:rFonts w:asciiTheme="minorHAnsi" w:hAnsiTheme="minorHAnsi"/>
        </w:rPr>
        <w:t xml:space="preserve">est appliqué dans le cadre d’un accord </w:t>
      </w:r>
      <w:r w:rsidR="00E40C3D" w:rsidRPr="009D4CD4">
        <w:rPr>
          <w:rFonts w:asciiTheme="minorHAnsi" w:hAnsiTheme="minorHAnsi"/>
        </w:rPr>
        <w:t>de branche</w:t>
      </w:r>
      <w:r w:rsidRPr="009D4CD4">
        <w:rPr>
          <w:rFonts w:asciiTheme="minorHAnsi" w:hAnsiTheme="minorHAnsi"/>
        </w:rPr>
        <w:t xml:space="preserve">. Le TTP vise à concilier les aspirations professionnelles et personnelles des salariés avec les exigences de développement de l'entreprise et la satisfaction des attentes des clients. Les salariés, quel que soit leur statut, métier ou classification, peuvent demander à bénéficier d'un emploi à temps partiel. Les demandes de TTP sont accordées quand elles sont compatibles avec l'organisation du travail et les nécessités du service. </w:t>
      </w:r>
      <w:r w:rsidR="00D80C61" w:rsidRPr="009D4CD4">
        <w:t>Les demandes de congés parentaux à temps partiel sont systématiquement accordées, conformément à la réglementation.</w:t>
      </w:r>
    </w:p>
    <w:p w14:paraId="718D992E" w14:textId="2808D5E7" w:rsidR="00B72A61" w:rsidRPr="009D4CD4" w:rsidRDefault="00B72A61" w:rsidP="00636648">
      <w:pPr>
        <w:spacing w:after="0" w:line="240" w:lineRule="auto"/>
        <w:jc w:val="left"/>
        <w:rPr>
          <w:rFonts w:asciiTheme="minorHAnsi" w:hAnsiTheme="minorHAnsi"/>
        </w:rPr>
      </w:pPr>
      <w:r w:rsidRPr="009D4CD4">
        <w:rPr>
          <w:rFonts w:asciiTheme="minorHAnsi" w:hAnsiTheme="minorHAnsi"/>
        </w:rPr>
        <w:t>Quand ils ont opté pour le temps partiel, les salariés qui souhaitent occuper ou reprendre un emploi à temps complet ont priorité pour l'attribution d'un emploi correspondant à leur catégorie professionnelle ou d'un emploi équivalent. Chaque année, dans le cadre de la consultation sur la politique sociale de l'entreprise, des informations sur le TTP sont intégrées à la Base de Données Economiques et Sociales.</w:t>
      </w:r>
    </w:p>
    <w:p w14:paraId="7602D10A" w14:textId="77777777" w:rsidR="005C4C31" w:rsidRPr="009D4CD4" w:rsidRDefault="005C4C31" w:rsidP="00636648">
      <w:pPr>
        <w:spacing w:after="0" w:line="240" w:lineRule="auto"/>
        <w:jc w:val="left"/>
        <w:rPr>
          <w:rFonts w:asciiTheme="minorHAnsi" w:hAnsiTheme="minorHAnsi"/>
        </w:rPr>
      </w:pPr>
    </w:p>
    <w:p w14:paraId="3369E5BB" w14:textId="55C57328" w:rsidR="005E2849" w:rsidRPr="009D4CD4" w:rsidRDefault="0078371D" w:rsidP="00484FF7">
      <w:pPr>
        <w:pStyle w:val="Titre4"/>
        <w:rPr>
          <w:u w:val="single"/>
          <w:lang w:eastAsia="fr-FR"/>
        </w:rPr>
      </w:pPr>
      <w:bookmarkStart w:id="117" w:name="_Toc96698027"/>
      <w:r w:rsidRPr="009D4CD4">
        <w:rPr>
          <w:lang w:eastAsia="fr-FR"/>
        </w:rPr>
        <w:t>Le t</w:t>
      </w:r>
      <w:r w:rsidR="00B72A61" w:rsidRPr="009D4CD4">
        <w:rPr>
          <w:lang w:eastAsia="fr-FR"/>
        </w:rPr>
        <w:t>élétravail</w:t>
      </w:r>
      <w:bookmarkEnd w:id="117"/>
    </w:p>
    <w:p w14:paraId="08178E24" w14:textId="77777777" w:rsidR="00E40C3D" w:rsidRPr="009D4CD4" w:rsidRDefault="00636648" w:rsidP="00E40C3D">
      <w:pPr>
        <w:spacing w:after="0" w:line="240" w:lineRule="auto"/>
        <w:jc w:val="left"/>
        <w:rPr>
          <w:rFonts w:cs="Calibri"/>
        </w:rPr>
      </w:pPr>
      <w:r w:rsidRPr="009D4CD4">
        <w:t>U</w:t>
      </w:r>
      <w:r w:rsidR="00B72A61" w:rsidRPr="009D4CD4">
        <w:t xml:space="preserve">n </w:t>
      </w:r>
      <w:r w:rsidR="00E40C3D" w:rsidRPr="009D4CD4">
        <w:t xml:space="preserve">premier </w:t>
      </w:r>
      <w:r w:rsidR="00B72A61" w:rsidRPr="009D4CD4">
        <w:t xml:space="preserve">accord sur le télétravail a été signé </w:t>
      </w:r>
      <w:r w:rsidR="00523061" w:rsidRPr="009D4CD4">
        <w:t xml:space="preserve">en 2019 </w:t>
      </w:r>
      <w:r w:rsidR="00B72A61" w:rsidRPr="009D4CD4">
        <w:t xml:space="preserve">avec les partenaires sociaux, faisant suite à l’expérimentation </w:t>
      </w:r>
      <w:r w:rsidRPr="009D4CD4">
        <w:t xml:space="preserve">ayant </w:t>
      </w:r>
      <w:r w:rsidR="00B72A61" w:rsidRPr="009D4CD4">
        <w:t>montré un retour d’expérience très positif</w:t>
      </w:r>
      <w:r w:rsidRPr="009D4CD4">
        <w:t>,</w:t>
      </w:r>
      <w:r w:rsidR="00B72A61" w:rsidRPr="009D4CD4">
        <w:t xml:space="preserve"> avec notamment un taux de satisfaction de 100% sur les axes d’analyse du bien-être, des conditions de travail et d’efficacité que ce soit du point de vue des salariés que de leurs managers.</w:t>
      </w:r>
      <w:r w:rsidR="00B72A61" w:rsidRPr="009D4CD4">
        <w:rPr>
          <w:rFonts w:cs="Arial"/>
          <w:bCs/>
        </w:rPr>
        <w:t xml:space="preserve"> Dans ce contexte et </w:t>
      </w:r>
      <w:r w:rsidR="00B72A61" w:rsidRPr="009D4CD4">
        <w:t>dans le cadre de la négociation obligatoire sur la qualité de vie au travail et l’égalité professionnelle,</w:t>
      </w:r>
      <w:r w:rsidR="00B72A61" w:rsidRPr="009D4CD4">
        <w:rPr>
          <w:rFonts w:cs="Arial"/>
          <w:bCs/>
        </w:rPr>
        <w:t xml:space="preserve"> les partenaires ont eu la volonté de </w:t>
      </w:r>
      <w:r w:rsidR="00B72A61" w:rsidRPr="009D4CD4">
        <w:t xml:space="preserve">pérenniser le télétravail </w:t>
      </w:r>
      <w:r w:rsidR="00B72A61" w:rsidRPr="009D4CD4">
        <w:rPr>
          <w:rFonts w:cs="Arial"/>
          <w:bCs/>
        </w:rPr>
        <w:t>à titre de nouvelle organisation du travail, par le biais d’un accord collectif.</w:t>
      </w:r>
      <w:r w:rsidR="00B72A61" w:rsidRPr="009D4CD4">
        <w:rPr>
          <w:rFonts w:cs="Calibri"/>
        </w:rPr>
        <w:t xml:space="preserve"> Le recours au télétravail s’inscrit dans la logique d’équilibre entre la vie professionnelle et la vie personnelle. Ce nouveau mode d’organisation du travail, fondé sur le volontariat, a vocation à améliorer la qualité de vie et le bien-être au travail.</w:t>
      </w:r>
      <w:r w:rsidR="00B72A61" w:rsidRPr="009D4CD4">
        <w:t xml:space="preserve"> Le télétravail concourt également à la réduction de l’impact carbone des transports et favorise la dématérialisation.</w:t>
      </w:r>
      <w:r w:rsidRPr="009D4CD4">
        <w:t xml:space="preserve"> </w:t>
      </w:r>
      <w:r w:rsidR="00E40C3D" w:rsidRPr="009D4CD4">
        <w:rPr>
          <w:rFonts w:cs="Calibri"/>
        </w:rPr>
        <w:t xml:space="preserve">L’accord prévoit que les salariés éligibles puissent bénéficier d’un jour par semaine. L’éligibilité des activités au télétravail fait l’objet d’un examen pouvant conduire à des restrictions particulières, notamment fondées sur des contraintes techniques, comme l’accès au système informatique, de sécurité, ou de confidentialité. </w:t>
      </w:r>
    </w:p>
    <w:p w14:paraId="4ECD63F3" w14:textId="160D2526" w:rsidR="00E40C3D" w:rsidRPr="009D4CD4" w:rsidRDefault="00E40C3D" w:rsidP="00E40C3D">
      <w:pPr>
        <w:spacing w:after="0" w:line="240" w:lineRule="auto"/>
        <w:jc w:val="left"/>
        <w:rPr>
          <w:rFonts w:eastAsia="Times New Roman"/>
          <w:lang w:eastAsia="fr-FR"/>
        </w:rPr>
      </w:pPr>
      <w:r w:rsidRPr="009D4CD4">
        <w:rPr>
          <w:rFonts w:cs="Calibri"/>
        </w:rPr>
        <w:t>En 2021, les partenaires sociaux ont souhaité poursuivre cette organisation du travail en signant un nouvel accord pour une durée de 2 ans. Fin 2021, 251 salariés avaient signé un avenant télétravail à leur contrat.</w:t>
      </w:r>
      <w:r w:rsidRPr="009D4CD4">
        <w:rPr>
          <w:rFonts w:eastAsia="Times New Roman"/>
          <w:lang w:eastAsia="fr-FR"/>
        </w:rPr>
        <w:t xml:space="preserve"> </w:t>
      </w:r>
    </w:p>
    <w:p w14:paraId="643B0504" w14:textId="11252A44" w:rsidR="00B7002D" w:rsidRPr="009D4CD4" w:rsidRDefault="00AE1120" w:rsidP="00484FF7">
      <w:pPr>
        <w:pStyle w:val="Titre4"/>
        <w:rPr>
          <w:lang w:eastAsia="fr-FR"/>
        </w:rPr>
      </w:pPr>
      <w:bookmarkStart w:id="118" w:name="_Toc96698028"/>
      <w:r w:rsidRPr="009D4CD4">
        <w:rPr>
          <w:lang w:eastAsia="fr-FR"/>
        </w:rPr>
        <w:t>Une</w:t>
      </w:r>
      <w:r w:rsidR="00B57C8D" w:rsidRPr="009D4CD4">
        <w:rPr>
          <w:lang w:eastAsia="fr-FR"/>
        </w:rPr>
        <w:t xml:space="preserve"> plateforme </w:t>
      </w:r>
      <w:r w:rsidR="00E320B9" w:rsidRPr="009D4CD4">
        <w:rPr>
          <w:lang w:eastAsia="fr-FR"/>
        </w:rPr>
        <w:t xml:space="preserve">pour poster des </w:t>
      </w:r>
      <w:r w:rsidR="00636648" w:rsidRPr="009D4CD4">
        <w:rPr>
          <w:lang w:eastAsia="fr-FR"/>
        </w:rPr>
        <w:t>suggestions</w:t>
      </w:r>
      <w:bookmarkEnd w:id="118"/>
    </w:p>
    <w:p w14:paraId="3DECAE0D" w14:textId="40CF1A91" w:rsidR="005B07A2" w:rsidRPr="009D4CD4" w:rsidRDefault="00E320B9" w:rsidP="005B07A2">
      <w:pPr>
        <w:spacing w:after="0" w:line="240" w:lineRule="auto"/>
        <w:jc w:val="left"/>
        <w:rPr>
          <w:rFonts w:cs="Arial"/>
        </w:rPr>
      </w:pPr>
      <w:r w:rsidRPr="009D4CD4">
        <w:rPr>
          <w:rFonts w:cs="Arial"/>
        </w:rPr>
        <w:t xml:space="preserve">La </w:t>
      </w:r>
      <w:r w:rsidR="005B07A2" w:rsidRPr="009D4CD4">
        <w:rPr>
          <w:rFonts w:cs="Arial"/>
        </w:rPr>
        <w:t>plateforme en ligne</w:t>
      </w:r>
      <w:r w:rsidRPr="009D4CD4">
        <w:rPr>
          <w:rFonts w:cs="Arial"/>
        </w:rPr>
        <w:t xml:space="preserve"> « Acteurs de notre quotidien » </w:t>
      </w:r>
      <w:r w:rsidR="005B07A2" w:rsidRPr="009D4CD4">
        <w:rPr>
          <w:rFonts w:cs="Arial"/>
        </w:rPr>
        <w:t xml:space="preserve">permet aux salariés de poster des suggestions, ou faire part d’un irritant, que ce soient des propositions </w:t>
      </w:r>
      <w:r w:rsidR="005B07A2" w:rsidRPr="009D4CD4">
        <w:t xml:space="preserve">orientées clients, ou d’optimisation de procédures et process ; des dysfonctionnements ; des idées relatives au bien-être au travail ou à la démarche de Responsabilité Sociétale et </w:t>
      </w:r>
      <w:r w:rsidR="00045845" w:rsidRPr="009D4CD4">
        <w:t>Environnementale du CANMP</w:t>
      </w:r>
      <w:r w:rsidR="00B7002D" w:rsidRPr="009D4CD4">
        <w:t xml:space="preserve">. </w:t>
      </w:r>
      <w:r w:rsidR="005B07A2" w:rsidRPr="009D4CD4">
        <w:rPr>
          <w:rFonts w:cs="Arial"/>
        </w:rPr>
        <w:t xml:space="preserve">Toutes les suggestions sont mises à la connaissance de tous. Elles peuvent être commentées et likées par les salariés. </w:t>
      </w:r>
      <w:r w:rsidRPr="009D4CD4">
        <w:rPr>
          <w:rFonts w:cs="Arial"/>
        </w:rPr>
        <w:t>Les demandeurs reçoivent une notification lorsque leur suggestion est adressée à l’expert en charge du domaine. Ils sont informés de la suite donnée.</w:t>
      </w:r>
    </w:p>
    <w:p w14:paraId="3FDB67FD" w14:textId="77777777" w:rsidR="0085455F" w:rsidRPr="009D4CD4" w:rsidRDefault="0085455F" w:rsidP="005B07A2">
      <w:pPr>
        <w:spacing w:after="0" w:line="240" w:lineRule="auto"/>
        <w:jc w:val="left"/>
        <w:rPr>
          <w:rFonts w:cs="Arial"/>
        </w:rPr>
      </w:pPr>
    </w:p>
    <w:p w14:paraId="3BDE0A94" w14:textId="2BE9226B" w:rsidR="005B07A2" w:rsidRPr="009D4CD4" w:rsidRDefault="005B07A2" w:rsidP="005B07A2">
      <w:pPr>
        <w:spacing w:after="0" w:line="240" w:lineRule="auto"/>
        <w:jc w:val="left"/>
        <w:rPr>
          <w:rFonts w:cs="Arial"/>
        </w:rPr>
      </w:pPr>
      <w:r w:rsidRPr="009D4CD4">
        <w:rPr>
          <w:rFonts w:cs="Arial"/>
        </w:rPr>
        <w:t xml:space="preserve">La Fabrique est un incubateur de projets permettant à des volontaires de travailler collectivement pour réaliser un travail d’approfondissement des suggestions publiées dans </w:t>
      </w:r>
      <w:r w:rsidR="00636648" w:rsidRPr="009D4CD4">
        <w:rPr>
          <w:rFonts w:cs="Arial"/>
        </w:rPr>
        <w:t>la plateforme</w:t>
      </w:r>
      <w:r w:rsidRPr="009D4CD4">
        <w:rPr>
          <w:rFonts w:cs="Arial"/>
        </w:rPr>
        <w:t>.</w:t>
      </w:r>
    </w:p>
    <w:p w14:paraId="29DA2569" w14:textId="4E5E3F67" w:rsidR="001C1A8E" w:rsidRPr="009D4CD4" w:rsidRDefault="001C1A8E" w:rsidP="005B07A2">
      <w:pPr>
        <w:spacing w:after="0" w:line="240" w:lineRule="auto"/>
        <w:jc w:val="left"/>
        <w:rPr>
          <w:rFonts w:cs="Arial"/>
        </w:rPr>
      </w:pPr>
    </w:p>
    <w:p w14:paraId="77D8A02A" w14:textId="3A866369" w:rsidR="0085455F" w:rsidRPr="009D4CD4" w:rsidRDefault="00E40C3D" w:rsidP="0085455F">
      <w:pPr>
        <w:spacing w:after="0" w:line="240" w:lineRule="auto"/>
        <w:rPr>
          <w:lang w:eastAsia="fr-FR"/>
        </w:rPr>
      </w:pPr>
      <w:r w:rsidRPr="009D4CD4">
        <w:rPr>
          <w:lang w:eastAsia="fr-FR"/>
        </w:rPr>
        <w:t>En 2021, un appel à volontaires a été lancé auprès des salariés pour participer à u</w:t>
      </w:r>
      <w:r w:rsidR="00C41BAF" w:rsidRPr="009D4CD4">
        <w:rPr>
          <w:lang w:eastAsia="fr-FR"/>
        </w:rPr>
        <w:t>n groupe de travail autour des</w:t>
      </w:r>
      <w:r w:rsidRPr="009D4CD4">
        <w:rPr>
          <w:lang w:eastAsia="fr-FR"/>
        </w:rPr>
        <w:t xml:space="preserve"> thématiques.</w:t>
      </w:r>
      <w:r w:rsidR="00C41BAF" w:rsidRPr="009D4CD4">
        <w:rPr>
          <w:lang w:eastAsia="fr-FR"/>
        </w:rPr>
        <w:t xml:space="preserve"> </w:t>
      </w:r>
      <w:r w:rsidRPr="009D4CD4">
        <w:rPr>
          <w:lang w:eastAsia="fr-FR"/>
        </w:rPr>
        <w:t xml:space="preserve">80 personnes </w:t>
      </w:r>
      <w:r w:rsidR="00C41BAF" w:rsidRPr="009D4CD4">
        <w:rPr>
          <w:lang w:eastAsia="fr-FR"/>
        </w:rPr>
        <w:t>se sont portées candidates</w:t>
      </w:r>
      <w:r w:rsidRPr="009D4CD4">
        <w:rPr>
          <w:lang w:eastAsia="fr-FR"/>
        </w:rPr>
        <w:t>.</w:t>
      </w:r>
    </w:p>
    <w:p w14:paraId="2EE53DB4" w14:textId="77777777" w:rsidR="00E40C3D" w:rsidRPr="009D4CD4" w:rsidRDefault="00E40C3D" w:rsidP="0085455F">
      <w:pPr>
        <w:spacing w:after="0" w:line="240" w:lineRule="auto"/>
        <w:rPr>
          <w:lang w:eastAsia="fr-FR"/>
        </w:rPr>
      </w:pPr>
    </w:p>
    <w:p w14:paraId="4C855E46" w14:textId="77777777" w:rsidR="0085455F" w:rsidRPr="009D4CD4" w:rsidRDefault="0085455F" w:rsidP="0085455F">
      <w:pPr>
        <w:spacing w:after="0" w:line="240" w:lineRule="auto"/>
        <w:rPr>
          <w:i/>
          <w:lang w:eastAsia="fr-FR"/>
        </w:rPr>
      </w:pPr>
      <w:r w:rsidRPr="009D4CD4">
        <w:rPr>
          <w:bCs/>
          <w:i/>
          <w:lang w:eastAsia="fr-FR"/>
        </w:rPr>
        <w:t>NMP entreprise auto apprenante</w:t>
      </w:r>
    </w:p>
    <w:p w14:paraId="337E7660" w14:textId="77777777" w:rsidR="0085455F" w:rsidRPr="009D4CD4" w:rsidRDefault="0085455F" w:rsidP="0085455F">
      <w:pPr>
        <w:spacing w:after="0" w:line="240" w:lineRule="auto"/>
        <w:rPr>
          <w:lang w:eastAsia="fr-FR"/>
        </w:rPr>
      </w:pPr>
      <w:r w:rsidRPr="009D4CD4">
        <w:rPr>
          <w:lang w:eastAsia="fr-FR"/>
        </w:rPr>
        <w:t>Développer la culture économique et les connaissances générales en s’enrichissant de l’expertise des collaborateurs pour permettre la diffusion et le partage des connaissances.</w:t>
      </w:r>
    </w:p>
    <w:p w14:paraId="15901DA4" w14:textId="77777777" w:rsidR="0085455F" w:rsidRPr="009D4CD4" w:rsidRDefault="0085455F" w:rsidP="0085455F">
      <w:pPr>
        <w:spacing w:after="0" w:line="240" w:lineRule="auto"/>
        <w:rPr>
          <w:lang w:eastAsia="fr-FR"/>
        </w:rPr>
      </w:pPr>
    </w:p>
    <w:p w14:paraId="54CDCB1C" w14:textId="77777777" w:rsidR="0085455F" w:rsidRPr="009D4CD4" w:rsidRDefault="0085455F" w:rsidP="0085455F">
      <w:pPr>
        <w:spacing w:after="0" w:line="240" w:lineRule="auto"/>
        <w:rPr>
          <w:i/>
          <w:lang w:eastAsia="fr-FR"/>
        </w:rPr>
      </w:pPr>
      <w:r w:rsidRPr="009D4CD4">
        <w:rPr>
          <w:i/>
          <w:lang w:eastAsia="fr-FR"/>
        </w:rPr>
        <w:t>Convivial’café</w:t>
      </w:r>
    </w:p>
    <w:p w14:paraId="75F5C34A" w14:textId="77777777" w:rsidR="0085455F" w:rsidRPr="009D4CD4" w:rsidRDefault="0085455F" w:rsidP="0085455F">
      <w:pPr>
        <w:spacing w:after="0" w:line="240" w:lineRule="auto"/>
        <w:rPr>
          <w:lang w:eastAsia="fr-FR"/>
        </w:rPr>
      </w:pPr>
      <w:r w:rsidRPr="009D4CD4">
        <w:rPr>
          <w:lang w:eastAsia="fr-FR"/>
        </w:rPr>
        <w:t>Etudier la mise en place de lieux ouverts et partagés sur les sites, de la même façon que les espaces personnels en agence, pour organiser des rencontres dans un cadre différent, se réunir autour d’un café/croissant ou d'un repas etc.</w:t>
      </w:r>
    </w:p>
    <w:p w14:paraId="7051F114" w14:textId="77777777" w:rsidR="0085455F" w:rsidRPr="009D4CD4" w:rsidRDefault="0085455F" w:rsidP="0085455F">
      <w:pPr>
        <w:spacing w:after="0" w:line="240" w:lineRule="auto"/>
        <w:rPr>
          <w:lang w:eastAsia="fr-FR"/>
        </w:rPr>
      </w:pPr>
    </w:p>
    <w:p w14:paraId="7B57227F" w14:textId="77777777" w:rsidR="00E40C3D" w:rsidRPr="009D4CD4" w:rsidRDefault="00E40C3D" w:rsidP="00E40C3D">
      <w:pPr>
        <w:spacing w:after="0" w:line="240" w:lineRule="auto"/>
        <w:rPr>
          <w:i/>
          <w:lang w:eastAsia="fr-FR"/>
        </w:rPr>
      </w:pPr>
      <w:r w:rsidRPr="009D4CD4">
        <w:rPr>
          <w:i/>
          <w:lang w:eastAsia="fr-FR"/>
        </w:rPr>
        <w:t>Le temps à NMP</w:t>
      </w:r>
    </w:p>
    <w:p w14:paraId="58D349B0" w14:textId="35756390" w:rsidR="00E40C3D" w:rsidRPr="009D4CD4" w:rsidRDefault="00E40C3D" w:rsidP="00E40C3D">
      <w:pPr>
        <w:spacing w:after="0" w:line="240" w:lineRule="auto"/>
        <w:rPr>
          <w:lang w:eastAsia="fr-FR"/>
        </w:rPr>
      </w:pPr>
      <w:r w:rsidRPr="009D4CD4">
        <w:rPr>
          <w:lang w:eastAsia="fr-FR"/>
        </w:rPr>
        <w:t xml:space="preserve">Favoriser l’équilibre vie privée - vie professionnelle en recherchant des solutions par exemple pour : mieux intégrer le temps partiel dans les unités/agences ; optimiser le compte épargne temps afin de capitaliser les congés non pris ; faire des propositions sur des dispositifs comme les cagnottes-congés (périmètre et communication…) Pouvoir participer à  la vie des territoires. </w:t>
      </w:r>
    </w:p>
    <w:p w14:paraId="7379624D" w14:textId="77777777" w:rsidR="00E40C3D" w:rsidRPr="009D4CD4" w:rsidRDefault="00E40C3D" w:rsidP="00E40C3D">
      <w:pPr>
        <w:spacing w:after="0" w:line="240" w:lineRule="auto"/>
        <w:rPr>
          <w:lang w:eastAsia="fr-FR"/>
        </w:rPr>
      </w:pPr>
    </w:p>
    <w:p w14:paraId="2276E984" w14:textId="77777777" w:rsidR="0085455F" w:rsidRPr="009D4CD4" w:rsidRDefault="0085455F" w:rsidP="0085455F">
      <w:pPr>
        <w:spacing w:after="0" w:line="240" w:lineRule="auto"/>
        <w:rPr>
          <w:i/>
          <w:lang w:eastAsia="fr-FR"/>
        </w:rPr>
      </w:pPr>
      <w:r w:rsidRPr="009D4CD4">
        <w:rPr>
          <w:i/>
          <w:lang w:eastAsia="fr-FR"/>
        </w:rPr>
        <w:t>Prospective recrutement</w:t>
      </w:r>
    </w:p>
    <w:p w14:paraId="46E92333" w14:textId="77777777" w:rsidR="0085455F" w:rsidRPr="009D4CD4" w:rsidRDefault="0085455F" w:rsidP="0085455F">
      <w:pPr>
        <w:spacing w:after="0" w:line="240" w:lineRule="auto"/>
        <w:rPr>
          <w:lang w:eastAsia="fr-FR"/>
        </w:rPr>
      </w:pPr>
      <w:r w:rsidRPr="009D4CD4">
        <w:rPr>
          <w:lang w:eastAsia="fr-FR"/>
        </w:rPr>
        <w:t>Il s’agit d’effectuer une prospective en matière de recrutement et inventorier des pratiques et dispositifs innovants (interactions avec les écoles, nouvelles attentes des candidats ; vidéos –métiers…)</w:t>
      </w:r>
    </w:p>
    <w:p w14:paraId="78F848D8" w14:textId="77777777" w:rsidR="0085455F" w:rsidRPr="009D4CD4" w:rsidRDefault="0085455F" w:rsidP="0085455F">
      <w:pPr>
        <w:spacing w:after="0" w:line="240" w:lineRule="auto"/>
        <w:rPr>
          <w:lang w:eastAsia="fr-FR"/>
        </w:rPr>
      </w:pPr>
    </w:p>
    <w:p w14:paraId="680F8732" w14:textId="77777777" w:rsidR="0085455F" w:rsidRPr="009D4CD4" w:rsidRDefault="0085455F" w:rsidP="0085455F">
      <w:pPr>
        <w:spacing w:after="0" w:line="240" w:lineRule="auto"/>
        <w:rPr>
          <w:i/>
          <w:lang w:eastAsia="fr-FR"/>
        </w:rPr>
      </w:pPr>
      <w:r w:rsidRPr="009D4CD4">
        <w:rPr>
          <w:i/>
          <w:lang w:eastAsia="fr-FR"/>
        </w:rPr>
        <w:t>Economie circulaire</w:t>
      </w:r>
    </w:p>
    <w:p w14:paraId="36C26567" w14:textId="77777777" w:rsidR="0085455F" w:rsidRPr="009D4CD4" w:rsidRDefault="0085455F" w:rsidP="0085455F">
      <w:pPr>
        <w:spacing w:after="0" w:line="240" w:lineRule="auto"/>
        <w:rPr>
          <w:lang w:eastAsia="fr-FR"/>
        </w:rPr>
      </w:pPr>
      <w:r w:rsidRPr="009D4CD4">
        <w:rPr>
          <w:lang w:eastAsia="fr-FR"/>
        </w:rPr>
        <w:t>A l’heure de l’économie circulaire, il s’agit de proposer une seconde vie aux biens utilisés par NMP en interne (Ex. PC, mobilier) auprès d’autres acteurs du territoire (associations, particuliers, etc).</w:t>
      </w:r>
    </w:p>
    <w:p w14:paraId="0318422A" w14:textId="3D570E04" w:rsidR="0085455F" w:rsidRPr="009D4CD4" w:rsidRDefault="0085455F" w:rsidP="0085455F">
      <w:pPr>
        <w:spacing w:after="0" w:line="240" w:lineRule="auto"/>
        <w:rPr>
          <w:lang w:eastAsia="fr-FR"/>
        </w:rPr>
      </w:pPr>
    </w:p>
    <w:p w14:paraId="54AEF91B" w14:textId="77777777" w:rsidR="0085455F" w:rsidRPr="009D4CD4" w:rsidRDefault="0085455F" w:rsidP="0085455F">
      <w:pPr>
        <w:spacing w:after="0" w:line="240" w:lineRule="auto"/>
        <w:rPr>
          <w:i/>
          <w:lang w:eastAsia="fr-FR"/>
        </w:rPr>
      </w:pPr>
      <w:r w:rsidRPr="009D4CD4">
        <w:rPr>
          <w:i/>
          <w:lang w:eastAsia="fr-FR"/>
        </w:rPr>
        <w:t>Offrir responsable</w:t>
      </w:r>
    </w:p>
    <w:p w14:paraId="57977553" w14:textId="77777777" w:rsidR="0085455F" w:rsidRPr="009D4CD4" w:rsidRDefault="0085455F" w:rsidP="0085455F">
      <w:pPr>
        <w:spacing w:after="0" w:line="240" w:lineRule="auto"/>
        <w:rPr>
          <w:lang w:eastAsia="fr-FR"/>
        </w:rPr>
      </w:pPr>
      <w:r w:rsidRPr="009D4CD4">
        <w:rPr>
          <w:lang w:eastAsia="fr-FR"/>
        </w:rPr>
        <w:t>Revoir la politique d’achat d’objets et prestations publicitaires, de cadeaux - clients, en intégrant des critères RSE dans le choix des objets et prestations afin de garantir leur qualité sociétale et environnementale.</w:t>
      </w:r>
    </w:p>
    <w:p w14:paraId="16CF0096" w14:textId="77777777" w:rsidR="0085455F" w:rsidRPr="009D4CD4" w:rsidRDefault="0085455F" w:rsidP="0085455F">
      <w:pPr>
        <w:spacing w:after="0" w:line="240" w:lineRule="auto"/>
        <w:rPr>
          <w:lang w:eastAsia="fr-FR"/>
        </w:rPr>
      </w:pPr>
    </w:p>
    <w:p w14:paraId="1E563577" w14:textId="77777777" w:rsidR="0085455F" w:rsidRPr="009D4CD4" w:rsidRDefault="0085455F" w:rsidP="0085455F">
      <w:pPr>
        <w:spacing w:after="0" w:line="240" w:lineRule="auto"/>
        <w:rPr>
          <w:i/>
          <w:lang w:eastAsia="fr-FR"/>
        </w:rPr>
      </w:pPr>
      <w:r w:rsidRPr="009D4CD4">
        <w:rPr>
          <w:i/>
          <w:lang w:eastAsia="fr-FR"/>
        </w:rPr>
        <w:t>Des sites éco-responsables</w:t>
      </w:r>
    </w:p>
    <w:p w14:paraId="5048B225" w14:textId="1068FBBE" w:rsidR="00B57C8D" w:rsidRPr="009D4CD4" w:rsidRDefault="0085455F" w:rsidP="003D1BB4">
      <w:pPr>
        <w:spacing w:after="0" w:line="240" w:lineRule="auto"/>
        <w:rPr>
          <w:rFonts w:eastAsia="Times New Roman"/>
          <w:lang w:eastAsia="fr-FR"/>
        </w:rPr>
      </w:pPr>
      <w:r w:rsidRPr="009D4CD4">
        <w:rPr>
          <w:lang w:eastAsia="fr-FR"/>
        </w:rPr>
        <w:t>Participer à la transition écologique des sites tout en veillant à la qualité de vie au travail (ex : production d'énergie renouvelable, par exemple avec des ombrières de parking, jardins partagés, production de fruits et légumes (co-partage), éco-gestes, végétalisation, ruches)</w:t>
      </w:r>
      <w:r w:rsidR="00C41BAF" w:rsidRPr="009D4CD4">
        <w:rPr>
          <w:lang w:eastAsia="fr-FR"/>
        </w:rPr>
        <w:t>.</w:t>
      </w:r>
    </w:p>
    <w:p w14:paraId="0FE7223E" w14:textId="4DD0E107" w:rsidR="00B72A61" w:rsidRPr="009D4CD4" w:rsidRDefault="00B72A61" w:rsidP="0053645F">
      <w:pPr>
        <w:pStyle w:val="Titre4"/>
        <w:rPr>
          <w:lang w:eastAsia="fr-FR"/>
        </w:rPr>
      </w:pPr>
      <w:bookmarkStart w:id="119" w:name="_Toc96698029"/>
      <w:r w:rsidRPr="009D4CD4">
        <w:rPr>
          <w:lang w:eastAsia="fr-FR"/>
        </w:rPr>
        <w:t>Sport</w:t>
      </w:r>
      <w:r w:rsidR="007A7413" w:rsidRPr="009D4CD4">
        <w:rPr>
          <w:lang w:eastAsia="fr-FR"/>
        </w:rPr>
        <w:t>, s</w:t>
      </w:r>
      <w:r w:rsidRPr="009D4CD4">
        <w:rPr>
          <w:lang w:eastAsia="fr-FR"/>
        </w:rPr>
        <w:t xml:space="preserve">anté </w:t>
      </w:r>
      <w:r w:rsidR="007A7413" w:rsidRPr="009D4CD4">
        <w:rPr>
          <w:lang w:eastAsia="fr-FR"/>
        </w:rPr>
        <w:t>b</w:t>
      </w:r>
      <w:r w:rsidRPr="009D4CD4">
        <w:rPr>
          <w:lang w:eastAsia="fr-FR"/>
        </w:rPr>
        <w:t>ien-être au travail</w:t>
      </w:r>
      <w:bookmarkEnd w:id="119"/>
    </w:p>
    <w:p w14:paraId="32D65ABE" w14:textId="2B67AE13" w:rsidR="00B72A61" w:rsidRPr="009D4CD4" w:rsidRDefault="00B72A61" w:rsidP="00B72A61">
      <w:pPr>
        <w:spacing w:after="0" w:line="240" w:lineRule="auto"/>
        <w:jc w:val="left"/>
        <w:rPr>
          <w:rFonts w:eastAsia="Times New Roman"/>
          <w:lang w:eastAsia="fr-FR"/>
        </w:rPr>
      </w:pPr>
      <w:r w:rsidRPr="009D4CD4">
        <w:rPr>
          <w:rFonts w:eastAsia="Times New Roman"/>
          <w:lang w:eastAsia="fr-FR"/>
        </w:rPr>
        <w:t>Comment se maintenir en bonne santé</w:t>
      </w:r>
      <w:r w:rsidR="008F24DD" w:rsidRPr="009D4CD4">
        <w:rPr>
          <w:rFonts w:eastAsia="Times New Roman"/>
          <w:lang w:eastAsia="fr-FR"/>
        </w:rPr>
        <w:t xml:space="preserve"> </w:t>
      </w:r>
      <w:r w:rsidRPr="009D4CD4">
        <w:rPr>
          <w:rFonts w:eastAsia="Times New Roman"/>
          <w:lang w:eastAsia="fr-FR"/>
        </w:rPr>
        <w:t xml:space="preserve">? Pour répondre à cette question, le groupe de collaborateurs « Santé, Bien-être et Sport à NMP » </w:t>
      </w:r>
      <w:r w:rsidR="00636648" w:rsidRPr="009D4CD4">
        <w:rPr>
          <w:rFonts w:eastAsia="Times New Roman"/>
          <w:lang w:eastAsia="fr-FR"/>
        </w:rPr>
        <w:t>s’est réuni</w:t>
      </w:r>
      <w:r w:rsidRPr="009D4CD4">
        <w:rPr>
          <w:rFonts w:eastAsia="Times New Roman"/>
          <w:lang w:eastAsia="fr-FR"/>
        </w:rPr>
        <w:t xml:space="preserve"> pour proposer une solution globale d'accompagnement à la fois digitale et physique (adaptée aux multi-sites)</w:t>
      </w:r>
      <w:r w:rsidR="00636648" w:rsidRPr="009D4CD4">
        <w:rPr>
          <w:rFonts w:eastAsia="Times New Roman"/>
          <w:lang w:eastAsia="fr-FR"/>
        </w:rPr>
        <w:t>,</w:t>
      </w:r>
      <w:r w:rsidRPr="009D4CD4">
        <w:rPr>
          <w:rFonts w:eastAsia="Times New Roman"/>
          <w:lang w:eastAsia="fr-FR"/>
        </w:rPr>
        <w:t xml:space="preserve"> individuelle et collective</w:t>
      </w:r>
      <w:r w:rsidR="008F24DD" w:rsidRPr="009D4CD4">
        <w:rPr>
          <w:rFonts w:eastAsia="Times New Roman"/>
          <w:lang w:eastAsia="fr-FR"/>
        </w:rPr>
        <w:t xml:space="preserve"> </w:t>
      </w:r>
      <w:r w:rsidRPr="009D4CD4">
        <w:rPr>
          <w:rFonts w:eastAsia="Times New Roman"/>
          <w:lang w:eastAsia="fr-FR"/>
        </w:rPr>
        <w:t xml:space="preserve">; faire des propositions afin d’intégrer dans le travail quotidien, l'activité physique, le bien-être et la santé ; faciliter les initiatives sportives par des aménagements et des équipements. Le groupe a été constitué sur une proposition plébiscitée dans </w:t>
      </w:r>
      <w:r w:rsidR="00636648" w:rsidRPr="009D4CD4">
        <w:rPr>
          <w:rFonts w:eastAsia="Times New Roman"/>
          <w:lang w:eastAsia="fr-FR"/>
        </w:rPr>
        <w:t>la plateforme « Acteurs de notre quotidien »</w:t>
      </w:r>
      <w:r w:rsidRPr="009D4CD4">
        <w:rPr>
          <w:rFonts w:eastAsia="Times New Roman"/>
          <w:lang w:eastAsia="fr-FR"/>
        </w:rPr>
        <w:t xml:space="preserve">. </w:t>
      </w:r>
    </w:p>
    <w:p w14:paraId="64640B4E" w14:textId="77777777" w:rsidR="00B72A61" w:rsidRPr="009D4CD4" w:rsidRDefault="00B72A61" w:rsidP="00B72A61">
      <w:pPr>
        <w:spacing w:after="0" w:line="240" w:lineRule="auto"/>
        <w:jc w:val="left"/>
        <w:rPr>
          <w:rFonts w:eastAsia="Times New Roman"/>
          <w:lang w:eastAsia="fr-FR"/>
        </w:rPr>
      </w:pPr>
      <w:r w:rsidRPr="009D4CD4">
        <w:rPr>
          <w:rFonts w:eastAsia="Times New Roman"/>
          <w:lang w:eastAsia="fr-FR"/>
        </w:rPr>
        <w:t>Un partenariat a été mis en place avec la société Goalmap pour déployer des actions en faveur du capital santé des salariés. Un questionnaire sur la sédentarité a été adressé à l’ensemble des salariés pour établir un diagnostic. Des actions ont été lancées comme la pose d’affichettes « Ne prenez plus l’ascenseur prenez l’escalier ! » ;</w:t>
      </w:r>
      <w:r w:rsidR="005B07A2" w:rsidRPr="009D4CD4">
        <w:rPr>
          <w:rFonts w:eastAsia="Times New Roman"/>
          <w:lang w:eastAsia="fr-FR"/>
        </w:rPr>
        <w:t xml:space="preserve"> </w:t>
      </w:r>
      <w:r w:rsidRPr="009D4CD4">
        <w:rPr>
          <w:rFonts w:eastAsia="Times New Roman"/>
          <w:lang w:eastAsia="fr-FR"/>
        </w:rPr>
        <w:t>le lancement des « Moving Friday »</w:t>
      </w:r>
      <w:r w:rsidR="005B07A2" w:rsidRPr="009D4CD4">
        <w:rPr>
          <w:rFonts w:eastAsia="Times New Roman"/>
          <w:lang w:eastAsia="fr-FR"/>
        </w:rPr>
        <w:t xml:space="preserve"> ; </w:t>
      </w:r>
      <w:r w:rsidRPr="009D4CD4">
        <w:rPr>
          <w:rFonts w:eastAsia="Times New Roman"/>
          <w:lang w:eastAsia="fr-FR"/>
        </w:rPr>
        <w:t>l’organisation d’un</w:t>
      </w:r>
      <w:r w:rsidR="005B07A2" w:rsidRPr="009D4CD4">
        <w:rPr>
          <w:rFonts w:eastAsia="Times New Roman"/>
          <w:lang w:eastAsia="fr-FR"/>
        </w:rPr>
        <w:t xml:space="preserve"> w</w:t>
      </w:r>
      <w:r w:rsidRPr="009D4CD4">
        <w:rPr>
          <w:rFonts w:eastAsia="Times New Roman"/>
          <w:lang w:eastAsia="fr-FR"/>
        </w:rPr>
        <w:t xml:space="preserve">ebinaire sur la sédentarité et l’activité physique ; des séances d’étirements sur le site d’Albi ; la distribution de Swiss Ball. </w:t>
      </w:r>
    </w:p>
    <w:p w14:paraId="6D1298D5" w14:textId="0EABA3DC" w:rsidR="0053645F" w:rsidRPr="009D4CD4" w:rsidRDefault="00D76409" w:rsidP="0053645F">
      <w:pPr>
        <w:spacing w:after="0" w:line="240" w:lineRule="auto"/>
        <w:jc w:val="left"/>
        <w:rPr>
          <w:rFonts w:eastAsia="Times New Roman"/>
          <w:lang w:eastAsia="fr-FR"/>
        </w:rPr>
      </w:pPr>
      <w:r w:rsidRPr="009D4CD4">
        <w:rPr>
          <w:rFonts w:eastAsia="Times New Roman"/>
          <w:lang w:eastAsia="fr-FR"/>
        </w:rPr>
        <w:t xml:space="preserve">Un autre </w:t>
      </w:r>
      <w:r w:rsidR="005B07A2" w:rsidRPr="009D4CD4">
        <w:rPr>
          <w:rFonts w:eastAsia="Times New Roman"/>
          <w:lang w:eastAsia="fr-FR"/>
        </w:rPr>
        <w:t>questionnaire a été proposé aux salariés pour faire u</w:t>
      </w:r>
      <w:r w:rsidR="005A1B4B" w:rsidRPr="009D4CD4">
        <w:rPr>
          <w:rFonts w:eastAsia="Times New Roman"/>
          <w:lang w:eastAsia="fr-FR"/>
        </w:rPr>
        <w:t>n bilan nutrition et évaluer leur</w:t>
      </w:r>
      <w:r w:rsidR="00636648" w:rsidRPr="009D4CD4">
        <w:rPr>
          <w:rFonts w:eastAsia="Times New Roman"/>
          <w:lang w:eastAsia="fr-FR"/>
        </w:rPr>
        <w:t xml:space="preserve"> </w:t>
      </w:r>
      <w:r w:rsidR="005B07A2" w:rsidRPr="009D4CD4">
        <w:rPr>
          <w:rFonts w:eastAsia="Times New Roman"/>
          <w:lang w:eastAsia="fr-FR"/>
        </w:rPr>
        <w:t xml:space="preserve">degré de sédentarité. Une </w:t>
      </w:r>
      <w:r w:rsidR="00076CD6" w:rsidRPr="009D4CD4">
        <w:rPr>
          <w:rFonts w:eastAsia="Times New Roman"/>
          <w:lang w:eastAsia="fr-FR"/>
        </w:rPr>
        <w:t>conférence sur la nutrition</w:t>
      </w:r>
      <w:r w:rsidR="005B07A2" w:rsidRPr="009D4CD4">
        <w:rPr>
          <w:rFonts w:eastAsia="Times New Roman"/>
          <w:lang w:eastAsia="fr-FR"/>
        </w:rPr>
        <w:t xml:space="preserve"> a été proposée</w:t>
      </w:r>
      <w:r w:rsidR="00076CD6" w:rsidRPr="009D4CD4">
        <w:rPr>
          <w:rFonts w:eastAsia="Times New Roman"/>
          <w:lang w:eastAsia="fr-FR"/>
        </w:rPr>
        <w:t xml:space="preserve">, et des conseils personnalisés </w:t>
      </w:r>
      <w:r w:rsidR="00636648" w:rsidRPr="009D4CD4">
        <w:rPr>
          <w:rFonts w:eastAsia="Times New Roman"/>
          <w:lang w:eastAsia="fr-FR"/>
        </w:rPr>
        <w:t xml:space="preserve">donnés </w:t>
      </w:r>
      <w:r w:rsidR="005A1B4B" w:rsidRPr="009D4CD4">
        <w:rPr>
          <w:rFonts w:eastAsia="Times New Roman"/>
          <w:lang w:eastAsia="fr-FR"/>
        </w:rPr>
        <w:t xml:space="preserve">aux salariés </w:t>
      </w:r>
      <w:r w:rsidR="005B07A2" w:rsidRPr="009D4CD4">
        <w:rPr>
          <w:rFonts w:eastAsia="Times New Roman"/>
          <w:lang w:eastAsia="fr-FR"/>
        </w:rPr>
        <w:t>par une diététicienne.</w:t>
      </w:r>
      <w:r w:rsidR="005A1B4B" w:rsidRPr="009D4CD4">
        <w:rPr>
          <w:rFonts w:eastAsia="Times New Roman"/>
          <w:lang w:eastAsia="fr-FR"/>
        </w:rPr>
        <w:t xml:space="preserve"> Pendant la pause méridienne, des séances gratuites sont offertes, animées par une sophrologue</w:t>
      </w:r>
      <w:r w:rsidR="0053645F" w:rsidRPr="009D4CD4">
        <w:rPr>
          <w:rFonts w:eastAsia="Times New Roman"/>
          <w:lang w:eastAsia="fr-FR"/>
        </w:rPr>
        <w:t xml:space="preserve"> spécialisée dans la gestion du stress. </w:t>
      </w:r>
      <w:r w:rsidR="005A1B4B" w:rsidRPr="009D4CD4">
        <w:rPr>
          <w:rFonts w:eastAsia="Times New Roman"/>
          <w:lang w:eastAsia="fr-FR"/>
        </w:rPr>
        <w:t>D’autres séances ont permis de pratiquer du yoga ou du renforcement musculaire.</w:t>
      </w:r>
    </w:p>
    <w:p w14:paraId="6380F9AF" w14:textId="77777777" w:rsidR="00AE1D2E" w:rsidRPr="009D4CD4" w:rsidRDefault="00AE1D2E" w:rsidP="0053645F">
      <w:pPr>
        <w:spacing w:after="0" w:line="240" w:lineRule="auto"/>
        <w:jc w:val="left"/>
        <w:rPr>
          <w:rFonts w:eastAsia="Times New Roman"/>
          <w:lang w:eastAsia="fr-FR"/>
        </w:rPr>
      </w:pPr>
    </w:p>
    <w:p w14:paraId="098A977C" w14:textId="0497463B" w:rsidR="00AE1D2E" w:rsidRPr="009D4CD4" w:rsidRDefault="00C9116D" w:rsidP="001705D0">
      <w:pPr>
        <w:spacing w:after="0" w:line="240" w:lineRule="auto"/>
        <w:jc w:val="left"/>
        <w:rPr>
          <w:rFonts w:eastAsia="Times New Roman"/>
          <w:lang w:eastAsia="fr-FR"/>
        </w:rPr>
      </w:pPr>
      <w:r w:rsidRPr="009D4CD4">
        <w:rPr>
          <w:rFonts w:eastAsia="Times New Roman"/>
          <w:lang w:eastAsia="fr-FR"/>
        </w:rPr>
        <w:t xml:space="preserve">En </w:t>
      </w:r>
      <w:r w:rsidR="00D876A0" w:rsidRPr="009D4CD4">
        <w:rPr>
          <w:rFonts w:eastAsia="Times New Roman"/>
          <w:lang w:eastAsia="fr-FR"/>
        </w:rPr>
        <w:t>2021</w:t>
      </w:r>
      <w:r w:rsidR="00002441" w:rsidRPr="009D4CD4">
        <w:rPr>
          <w:rFonts w:eastAsia="Times New Roman"/>
          <w:lang w:eastAsia="fr-FR"/>
        </w:rPr>
        <w:t xml:space="preserve">, </w:t>
      </w:r>
      <w:r w:rsidRPr="009D4CD4">
        <w:rPr>
          <w:rFonts w:eastAsia="Times New Roman"/>
          <w:lang w:eastAsia="fr-FR"/>
        </w:rPr>
        <w:t>l’entreprise se mobilise avec le lancement d’un défi sportif, dans un cadre de partage et de solidarité</w:t>
      </w:r>
      <w:r w:rsidR="00BC6EFF" w:rsidRPr="009D4CD4">
        <w:rPr>
          <w:rFonts w:eastAsia="Times New Roman"/>
          <w:lang w:eastAsia="fr-FR"/>
        </w:rPr>
        <w:t>.</w:t>
      </w:r>
    </w:p>
    <w:p w14:paraId="5E6E727C" w14:textId="5030A6F6" w:rsidR="00AE1D2E" w:rsidRPr="009D4CD4" w:rsidRDefault="00C9521D" w:rsidP="00D76409">
      <w:pPr>
        <w:framePr w:hSpace="150" w:wrap="around" w:vAnchor="text" w:hAnchor="text"/>
        <w:spacing w:after="0" w:line="240" w:lineRule="auto"/>
        <w:jc w:val="left"/>
        <w:rPr>
          <w:rFonts w:eastAsia="Times New Roman"/>
          <w:lang w:eastAsia="fr-FR"/>
        </w:rPr>
      </w:pPr>
      <w:r w:rsidRPr="009D4CD4">
        <w:rPr>
          <w:rFonts w:eastAsia="Times New Roman"/>
          <w:lang w:eastAsia="fr-FR"/>
        </w:rPr>
        <w:t>126 équipes réunissant 976</w:t>
      </w:r>
      <w:r w:rsidR="00E32D23" w:rsidRPr="009D4CD4">
        <w:rPr>
          <w:rFonts w:eastAsia="Times New Roman"/>
          <w:lang w:eastAsia="fr-FR"/>
        </w:rPr>
        <w:t xml:space="preserve"> person</w:t>
      </w:r>
      <w:r w:rsidR="00F51ABD">
        <w:rPr>
          <w:rFonts w:eastAsia="Times New Roman"/>
          <w:lang w:eastAsia="fr-FR"/>
        </w:rPr>
        <w:t>nes ont marché, couru ou pédalé</w:t>
      </w:r>
      <w:r w:rsidR="00E32D23" w:rsidRPr="009D4CD4">
        <w:rPr>
          <w:rFonts w:eastAsia="Times New Roman"/>
          <w:lang w:eastAsia="fr-FR"/>
        </w:rPr>
        <w:t xml:space="preserve"> pendant un mois</w:t>
      </w:r>
      <w:r w:rsidR="00D40365" w:rsidRPr="009D4CD4">
        <w:rPr>
          <w:rFonts w:eastAsia="Times New Roman"/>
          <w:lang w:eastAsia="fr-FR"/>
        </w:rPr>
        <w:t xml:space="preserve"> et demi</w:t>
      </w:r>
      <w:r w:rsidR="00BC6EFF" w:rsidRPr="009D4CD4">
        <w:rPr>
          <w:rFonts w:eastAsia="Times New Roman"/>
          <w:lang w:eastAsia="fr-FR"/>
        </w:rPr>
        <w:t xml:space="preserve">. Pilotées par l’appli Squadeasy, les performances individuelles et collectives sont consultables </w:t>
      </w:r>
      <w:r w:rsidR="00DE0E20" w:rsidRPr="009D4CD4">
        <w:rPr>
          <w:rFonts w:eastAsia="Times New Roman"/>
          <w:lang w:eastAsia="fr-FR"/>
        </w:rPr>
        <w:t xml:space="preserve">par chacun </w:t>
      </w:r>
      <w:r w:rsidR="00BC6EFF" w:rsidRPr="009D4CD4">
        <w:rPr>
          <w:rFonts w:eastAsia="Times New Roman"/>
          <w:lang w:eastAsia="fr-FR"/>
        </w:rPr>
        <w:t xml:space="preserve">en temps réel. Des temps forts sont proposés aux participants, par exemple la réalisation de 40000 </w:t>
      </w:r>
      <w:r w:rsidR="005A6F13">
        <w:rPr>
          <w:rFonts w:eastAsia="Times New Roman"/>
          <w:lang w:eastAsia="fr-FR"/>
        </w:rPr>
        <w:t>km</w:t>
      </w:r>
      <w:r w:rsidR="00BC6EFF" w:rsidRPr="009D4CD4">
        <w:rPr>
          <w:rFonts w:eastAsia="Times New Roman"/>
          <w:lang w:eastAsia="fr-FR"/>
        </w:rPr>
        <w:t xml:space="preserve"> en moins de 30 jours,</w:t>
      </w:r>
      <w:r w:rsidR="00DE0E20" w:rsidRPr="009D4CD4">
        <w:rPr>
          <w:rFonts w:eastAsia="Times New Roman"/>
          <w:lang w:eastAsia="fr-FR"/>
        </w:rPr>
        <w:t xml:space="preserve"> soit l’équivalent du tour du monde</w:t>
      </w:r>
      <w:r w:rsidR="00E62D68" w:rsidRPr="009D4CD4">
        <w:rPr>
          <w:rFonts w:eastAsia="Times New Roman"/>
          <w:lang w:eastAsia="fr-FR"/>
        </w:rPr>
        <w:t>. Cette performance déclenche</w:t>
      </w:r>
      <w:r w:rsidR="00BC6EFF" w:rsidRPr="009D4CD4">
        <w:rPr>
          <w:rFonts w:eastAsia="Times New Roman"/>
          <w:lang w:eastAsia="fr-FR"/>
        </w:rPr>
        <w:t xml:space="preserve"> le versement d’une aide de 5 000€</w:t>
      </w:r>
      <w:r w:rsidR="00DE0E20" w:rsidRPr="009D4CD4">
        <w:rPr>
          <w:rFonts w:eastAsia="Times New Roman"/>
          <w:lang w:eastAsia="fr-FR"/>
        </w:rPr>
        <w:t xml:space="preserve"> </w:t>
      </w:r>
      <w:r w:rsidR="00BC6EFF" w:rsidRPr="009D4CD4">
        <w:rPr>
          <w:rFonts w:eastAsia="Times New Roman"/>
          <w:lang w:eastAsia="fr-FR"/>
        </w:rPr>
        <w:t>à la Ligue contre le Cancer dans le cadre de la campagne Octobre Ros</w:t>
      </w:r>
      <w:r w:rsidR="00DE0E20" w:rsidRPr="009D4CD4">
        <w:rPr>
          <w:rFonts w:eastAsia="Times New Roman"/>
          <w:lang w:eastAsia="fr-FR"/>
        </w:rPr>
        <w:t xml:space="preserve">e en faveur de la </w:t>
      </w:r>
      <w:r w:rsidR="00BC6EFF" w:rsidRPr="009D4CD4">
        <w:rPr>
          <w:rFonts w:eastAsia="Times New Roman"/>
          <w:lang w:eastAsia="fr-FR"/>
        </w:rPr>
        <w:t>lutte contre le cancer du sein. Des quizz permettent à chaque équipe d’accumuler des points.</w:t>
      </w:r>
      <w:r w:rsidR="001705D0" w:rsidRPr="009D4CD4">
        <w:rPr>
          <w:rFonts w:eastAsia="Times New Roman"/>
          <w:lang w:eastAsia="fr-FR"/>
        </w:rPr>
        <w:t xml:space="preserve"> </w:t>
      </w:r>
      <w:r w:rsidR="00D76409" w:rsidRPr="009D4CD4">
        <w:rPr>
          <w:rFonts w:eastAsia="Times New Roman"/>
          <w:lang w:eastAsia="fr-FR"/>
        </w:rPr>
        <w:t>Un second défi a eu lieu en décembre, déclenchant le versement de 5000 € à la Croix Rouge dans le cadre des opérations de Noël.</w:t>
      </w:r>
    </w:p>
    <w:p w14:paraId="489B61CB" w14:textId="56149F02" w:rsidR="00D40365" w:rsidRPr="009D4CD4" w:rsidRDefault="00D40365" w:rsidP="009F3331">
      <w:pPr>
        <w:pStyle w:val="Titre4"/>
        <w:spacing w:after="0" w:line="240" w:lineRule="auto"/>
        <w:jc w:val="left"/>
      </w:pPr>
      <w:bookmarkStart w:id="120" w:name="_Toc96698030"/>
      <w:r w:rsidRPr="009D4CD4">
        <w:rPr>
          <w:lang w:eastAsia="fr-FR"/>
        </w:rPr>
        <w:t>L’accompagnement psychologique et social des salariés</w:t>
      </w:r>
      <w:bookmarkEnd w:id="120"/>
    </w:p>
    <w:p w14:paraId="56D96ADC" w14:textId="77777777" w:rsidR="001C1A8E" w:rsidRPr="009D4CD4" w:rsidRDefault="001C1A8E" w:rsidP="001C1A8E">
      <w:pPr>
        <w:spacing w:after="0" w:line="240" w:lineRule="auto"/>
        <w:jc w:val="left"/>
      </w:pPr>
    </w:p>
    <w:p w14:paraId="089F8B21" w14:textId="2B2044C8" w:rsidR="001C1A8E" w:rsidRPr="009D4CD4" w:rsidRDefault="001C1A8E" w:rsidP="000A4A05">
      <w:pPr>
        <w:spacing w:after="0" w:line="240" w:lineRule="auto"/>
        <w:jc w:val="left"/>
      </w:pPr>
      <w:r w:rsidRPr="009D4CD4">
        <w:t>Depuis 2020, le CANMP propose aux salariés un service d'accompagnement psychologique et social anonyme, confidentiel et gratuit accessible 7J/7 et 24h/24. Ce service est utilisé pour être accompagné dans un moment difficile de vie professionnelle ou personnelle. Certains évènements de la vie peuvent en effet altérer le bien-être et la qualité de vie, notamment en cas de difficultés professionnelles (tension, changement, difficultés relationnelles …) ou personnelles (deuil, maladie, divorce, remise en ques</w:t>
      </w:r>
      <w:r w:rsidR="00F51ABD">
        <w:t>tion etc.), autant de moments pendant lesquels</w:t>
      </w:r>
      <w:r w:rsidRPr="009D4CD4">
        <w:t xml:space="preserve"> une écoute attentive et professionnelle peut être utile.</w:t>
      </w:r>
    </w:p>
    <w:p w14:paraId="2AE75935" w14:textId="77777777" w:rsidR="008B64F6" w:rsidRPr="009D4CD4" w:rsidRDefault="008B64F6" w:rsidP="000A4A05">
      <w:pPr>
        <w:spacing w:after="0" w:line="240" w:lineRule="auto"/>
        <w:jc w:val="left"/>
        <w:rPr>
          <w:rFonts w:eastAsia="Times New Roman"/>
          <w:lang w:eastAsia="fr-FR"/>
        </w:rPr>
      </w:pPr>
      <w:r w:rsidRPr="009D4CD4">
        <w:t xml:space="preserve">Ce service est dispensé par le cabinet Psya </w:t>
      </w:r>
      <w:r w:rsidRPr="009D4CD4">
        <w:rPr>
          <w:rFonts w:eastAsia="Times New Roman"/>
          <w:lang w:eastAsia="fr-FR"/>
        </w:rPr>
        <w:t>habilité IPRP (Intervenant en Prévention des Risques Professionnels), certifié AFAQ ISO 9001 – v15 pour son "centre d'écoute psychologique". La qualification de ses équipes (psychologues cliniciens diplômés) garantit éthique, anonymat et confidentialité.</w:t>
      </w:r>
    </w:p>
    <w:p w14:paraId="08560592" w14:textId="4711F950" w:rsidR="000A4A05" w:rsidRPr="009D4CD4" w:rsidRDefault="000A4A05" w:rsidP="000A4A05">
      <w:pPr>
        <w:spacing w:after="0" w:line="240" w:lineRule="auto"/>
        <w:jc w:val="left"/>
        <w:rPr>
          <w:rFonts w:eastAsia="Times New Roman"/>
          <w:lang w:eastAsia="fr-FR"/>
        </w:rPr>
      </w:pPr>
      <w:r w:rsidRPr="009D4CD4">
        <w:rPr>
          <w:rFonts w:eastAsia="Times New Roman"/>
          <w:lang w:eastAsia="fr-FR"/>
        </w:rPr>
        <w:t xml:space="preserve">Le professionnel formé à l’écoute propose de prendre du recul par rapport à une situation conflictuelle, mieux cerner des éléments qui provoquent du mal être, mettre des mots sur les émotions, retrouver un meilleur équilibre de vie, informer, orienter et accompagner </w:t>
      </w:r>
      <w:r w:rsidR="00F51ABD">
        <w:rPr>
          <w:rFonts w:eastAsia="Times New Roman"/>
          <w:lang w:eastAsia="fr-FR"/>
        </w:rPr>
        <w:t>vers des solutions appropriées.</w:t>
      </w:r>
    </w:p>
    <w:p w14:paraId="6720782B" w14:textId="5C7C22CD" w:rsidR="000A4A05" w:rsidRPr="009D4CD4" w:rsidRDefault="000A4A05" w:rsidP="000A4A05">
      <w:pPr>
        <w:spacing w:after="0" w:line="240" w:lineRule="auto"/>
        <w:jc w:val="left"/>
        <w:rPr>
          <w:rFonts w:eastAsia="Times New Roman"/>
          <w:lang w:eastAsia="fr-FR"/>
        </w:rPr>
      </w:pPr>
      <w:r w:rsidRPr="009D4CD4">
        <w:rPr>
          <w:rFonts w:eastAsia="Times New Roman"/>
          <w:lang w:eastAsia="fr-FR"/>
        </w:rPr>
        <w:t>Au niveau social, le soutien porte sur les problématiques de surendettement, bouleversement</w:t>
      </w:r>
      <w:r w:rsidR="00723FDA">
        <w:rPr>
          <w:rFonts w:eastAsia="Times New Roman"/>
          <w:lang w:eastAsia="fr-FR"/>
        </w:rPr>
        <w:t>s</w:t>
      </w:r>
      <w:r w:rsidRPr="009D4CD4">
        <w:rPr>
          <w:rFonts w:eastAsia="Times New Roman"/>
          <w:lang w:eastAsia="fr-FR"/>
        </w:rPr>
        <w:t xml:space="preserve"> familiaux </w:t>
      </w:r>
      <w:r w:rsidR="007A7413" w:rsidRPr="009D4CD4">
        <w:rPr>
          <w:rFonts w:eastAsia="Times New Roman"/>
          <w:lang w:eastAsia="fr-FR"/>
        </w:rPr>
        <w:t xml:space="preserve">etc. </w:t>
      </w:r>
      <w:r w:rsidRPr="009D4CD4">
        <w:rPr>
          <w:rFonts w:eastAsia="Times New Roman"/>
          <w:lang w:eastAsia="fr-FR"/>
        </w:rPr>
        <w:t>et permet de trouver des solutions concrètes, faciliter les démarches et orienter sur des dispositifs sociaux.</w:t>
      </w:r>
    </w:p>
    <w:p w14:paraId="63AF0A6C" w14:textId="77777777" w:rsidR="000A4A05" w:rsidRPr="009D4CD4" w:rsidRDefault="000A4A05" w:rsidP="000A4A05">
      <w:pPr>
        <w:spacing w:after="0" w:line="240" w:lineRule="auto"/>
        <w:jc w:val="left"/>
        <w:rPr>
          <w:rFonts w:eastAsia="Times New Roman"/>
          <w:lang w:eastAsia="fr-FR"/>
        </w:rPr>
      </w:pPr>
      <w:r w:rsidRPr="009D4CD4">
        <w:rPr>
          <w:rFonts w:eastAsia="Times New Roman"/>
          <w:lang w:eastAsia="fr-FR"/>
        </w:rPr>
        <w:t xml:space="preserve">Un accompagnement </w:t>
      </w:r>
      <w:r w:rsidR="00706F97" w:rsidRPr="009D4CD4">
        <w:rPr>
          <w:rFonts w:eastAsia="Times New Roman"/>
          <w:lang w:eastAsia="fr-FR"/>
        </w:rPr>
        <w:t>pluridisciplinaire</w:t>
      </w:r>
      <w:r w:rsidRPr="009D4CD4">
        <w:rPr>
          <w:rFonts w:eastAsia="Times New Roman"/>
          <w:lang w:eastAsia="fr-FR"/>
        </w:rPr>
        <w:t xml:space="preserve"> avec une prise en charge globale psychologique et sociale permet de prévenir la dégradation d’une situation, lever les freins à l’amélioration de la situation, prévenir de nouvelles difficultés</w:t>
      </w:r>
    </w:p>
    <w:p w14:paraId="4D2FB44A" w14:textId="19BD1674" w:rsidR="00D96C63" w:rsidRPr="009D4CD4" w:rsidRDefault="00D96C63" w:rsidP="000A4A05">
      <w:pPr>
        <w:pStyle w:val="CAA-N"/>
        <w:spacing w:after="0"/>
        <w:jc w:val="left"/>
        <w:rPr>
          <w:rFonts w:ascii="Calibri" w:hAnsi="Calibri"/>
          <w:color w:val="auto"/>
          <w:sz w:val="22"/>
          <w:szCs w:val="22"/>
        </w:rPr>
      </w:pPr>
      <w:r w:rsidRPr="009D4CD4">
        <w:rPr>
          <w:rFonts w:ascii="Calibri" w:hAnsi="Calibri"/>
          <w:color w:val="auto"/>
          <w:sz w:val="22"/>
          <w:szCs w:val="22"/>
        </w:rPr>
        <w:t>Si la situation le nécessite et si le salarié le souhaite, le service d'aide et de soutien psychologique offre la possibilité d’orienter le salarié vers un psychologue exerçant son activité en libéral, proche du domicile ou du lieu de travail (dans la limite de 5 consultations prises en charge par le CANMP).</w:t>
      </w:r>
    </w:p>
    <w:p w14:paraId="3A2459AB" w14:textId="258B3504" w:rsidR="00D96C63" w:rsidRPr="009D4CD4" w:rsidRDefault="008B64F6" w:rsidP="000A4A05">
      <w:pPr>
        <w:spacing w:after="0" w:line="240" w:lineRule="auto"/>
        <w:jc w:val="left"/>
        <w:rPr>
          <w:rFonts w:eastAsia="Times New Roman"/>
          <w:lang w:eastAsia="fr-FR"/>
        </w:rPr>
      </w:pPr>
      <w:r w:rsidRPr="009D4CD4">
        <w:rPr>
          <w:rFonts w:eastAsia="Times New Roman"/>
          <w:lang w:eastAsia="fr-FR"/>
        </w:rPr>
        <w:t xml:space="preserve">Les managers ont reçu une formation pour déceler </w:t>
      </w:r>
      <w:r w:rsidR="000A4A05" w:rsidRPr="009D4CD4">
        <w:rPr>
          <w:rFonts w:eastAsia="Times New Roman"/>
          <w:lang w:eastAsia="fr-FR"/>
        </w:rPr>
        <w:t xml:space="preserve">chez leurs collaborateurs </w:t>
      </w:r>
      <w:r w:rsidRPr="009D4CD4">
        <w:rPr>
          <w:rFonts w:eastAsia="Times New Roman"/>
          <w:lang w:eastAsia="fr-FR"/>
        </w:rPr>
        <w:t>des signes</w:t>
      </w:r>
      <w:r w:rsidR="000A4A05" w:rsidRPr="009D4CD4">
        <w:rPr>
          <w:rFonts w:eastAsia="Times New Roman"/>
          <w:lang w:eastAsia="fr-FR"/>
        </w:rPr>
        <w:t xml:space="preserve"> pouvant nécessiter une assistance psychologique ou sociale.</w:t>
      </w:r>
      <w:r w:rsidRPr="009D4CD4">
        <w:rPr>
          <w:rFonts w:eastAsia="Times New Roman"/>
          <w:lang w:eastAsia="fr-FR"/>
        </w:rPr>
        <w:t xml:space="preserve"> </w:t>
      </w:r>
    </w:p>
    <w:p w14:paraId="75399FFA" w14:textId="72B1D077" w:rsidR="00D40365" w:rsidRPr="009D4CD4" w:rsidRDefault="00D64AF5" w:rsidP="0053645F">
      <w:pPr>
        <w:spacing w:after="0" w:line="240" w:lineRule="auto"/>
        <w:jc w:val="left"/>
        <w:rPr>
          <w:rFonts w:eastAsia="Times New Roman"/>
          <w:lang w:eastAsia="fr-FR"/>
        </w:rPr>
      </w:pPr>
      <w:r w:rsidRPr="009D4CD4">
        <w:rPr>
          <w:rFonts w:eastAsia="Times New Roman"/>
          <w:lang w:eastAsia="fr-FR"/>
        </w:rPr>
        <w:t>En 2021, 9</w:t>
      </w:r>
      <w:r w:rsidR="00D40365" w:rsidRPr="009D4CD4">
        <w:rPr>
          <w:rFonts w:eastAsia="Times New Roman"/>
          <w:lang w:eastAsia="fr-FR"/>
        </w:rPr>
        <w:t xml:space="preserve"> personnes ont bénéficié de l’assistance Psya</w:t>
      </w:r>
      <w:r w:rsidRPr="009D4CD4">
        <w:rPr>
          <w:rFonts w:eastAsia="Times New Roman"/>
          <w:lang w:eastAsia="fr-FR"/>
        </w:rPr>
        <w:t>. Un plan de communication est prévu pour 2022.</w:t>
      </w:r>
    </w:p>
    <w:p w14:paraId="4E80708F" w14:textId="57726C12" w:rsidR="005E2849" w:rsidRPr="009D4CD4" w:rsidRDefault="00B57C8D" w:rsidP="00484FF7">
      <w:pPr>
        <w:pStyle w:val="Titre4"/>
        <w:rPr>
          <w:lang w:eastAsia="fr-FR"/>
        </w:rPr>
      </w:pPr>
      <w:bookmarkStart w:id="121" w:name="_Toc96698031"/>
      <w:r w:rsidRPr="009D4CD4">
        <w:rPr>
          <w:lang w:eastAsia="fr-FR"/>
        </w:rPr>
        <w:t>Le s</w:t>
      </w:r>
      <w:r w:rsidR="00193914" w:rsidRPr="009D4CD4">
        <w:rPr>
          <w:lang w:eastAsia="fr-FR"/>
        </w:rPr>
        <w:t>outien scolaire pour les enfants des salariés</w:t>
      </w:r>
      <w:bookmarkEnd w:id="121"/>
    </w:p>
    <w:p w14:paraId="1851801A" w14:textId="00B3C8C5" w:rsidR="00CB2411" w:rsidRPr="009D4CD4" w:rsidRDefault="00193914" w:rsidP="00706F97">
      <w:pPr>
        <w:spacing w:after="0" w:line="240" w:lineRule="auto"/>
        <w:jc w:val="left"/>
        <w:rPr>
          <w:rFonts w:eastAsia="Times New Roman"/>
          <w:lang w:eastAsia="fr-FR"/>
        </w:rPr>
      </w:pPr>
      <w:r w:rsidRPr="009D4CD4">
        <w:rPr>
          <w:rFonts w:eastAsia="Times New Roman"/>
          <w:lang w:eastAsia="fr-FR"/>
        </w:rPr>
        <w:t xml:space="preserve">En 2020, la </w:t>
      </w:r>
      <w:r w:rsidR="00A7717F">
        <w:rPr>
          <w:rFonts w:eastAsia="Times New Roman"/>
          <w:lang w:eastAsia="fr-FR"/>
        </w:rPr>
        <w:t>Caisse Régionale</w:t>
      </w:r>
      <w:r w:rsidRPr="009D4CD4">
        <w:rPr>
          <w:rFonts w:eastAsia="Times New Roman"/>
          <w:lang w:eastAsia="fr-FR"/>
        </w:rPr>
        <w:t xml:space="preserve"> lance un dispositif </w:t>
      </w:r>
      <w:r w:rsidR="00D96C63" w:rsidRPr="009D4CD4">
        <w:rPr>
          <w:rFonts w:eastAsia="Times New Roman"/>
          <w:lang w:eastAsia="fr-FR"/>
        </w:rPr>
        <w:t xml:space="preserve">gratuit </w:t>
      </w:r>
      <w:r w:rsidRPr="009D4CD4">
        <w:rPr>
          <w:rFonts w:eastAsia="Times New Roman"/>
          <w:lang w:eastAsia="fr-FR"/>
        </w:rPr>
        <w:t>de soutien scolaire destiné aux enfants scolarisés des salariés</w:t>
      </w:r>
      <w:r w:rsidR="006D2DF1" w:rsidRPr="009D4CD4">
        <w:rPr>
          <w:rFonts w:eastAsia="Times New Roman"/>
          <w:lang w:eastAsia="fr-FR"/>
        </w:rPr>
        <w:t>, e</w:t>
      </w:r>
      <w:r w:rsidRPr="009D4CD4">
        <w:rPr>
          <w:rFonts w:eastAsia="Times New Roman"/>
          <w:lang w:eastAsia="fr-FR"/>
        </w:rPr>
        <w:t>n partenariat avec la plateforme Prof Express, numéro 1 du soutien scolaire en ligne. L’objectif est de soutenir les salariés dans l</w:t>
      </w:r>
      <w:r w:rsidR="00D96C63" w:rsidRPr="009D4CD4">
        <w:rPr>
          <w:rFonts w:eastAsia="Times New Roman"/>
          <w:lang w:eastAsia="fr-FR"/>
        </w:rPr>
        <w:t xml:space="preserve">eur </w:t>
      </w:r>
      <w:r w:rsidRPr="009D4CD4">
        <w:rPr>
          <w:rFonts w:eastAsia="Times New Roman"/>
          <w:lang w:eastAsia="fr-FR"/>
        </w:rPr>
        <w:t>recherche d’équilibre vie privée</w:t>
      </w:r>
      <w:r w:rsidR="00D96C63" w:rsidRPr="009D4CD4">
        <w:rPr>
          <w:rFonts w:eastAsia="Times New Roman"/>
          <w:lang w:eastAsia="fr-FR"/>
        </w:rPr>
        <w:t xml:space="preserve"> - </w:t>
      </w:r>
      <w:r w:rsidRPr="009D4CD4">
        <w:rPr>
          <w:rFonts w:eastAsia="Times New Roman"/>
          <w:lang w:eastAsia="fr-FR"/>
        </w:rPr>
        <w:t xml:space="preserve"> vie professionnelle. </w:t>
      </w:r>
      <w:r w:rsidR="00CB2411" w:rsidRPr="009D4CD4">
        <w:rPr>
          <w:rFonts w:eastAsia="Times New Roman"/>
          <w:lang w:eastAsia="fr-FR"/>
        </w:rPr>
        <w:t>Prof express propose un accompagnement ludique et interactif pour les enfants du CP à la terminale. Des enseignants de l’Education Nationale sont mis à disposition pour échanger avec les élèves dans toutes les matières principales. Les contenus sont conformes aux programmes officiels de l’Education Nationale et sont réalisés par des enseignants agrégés ou certifiés. </w:t>
      </w:r>
    </w:p>
    <w:p w14:paraId="09AC2883" w14:textId="77777777" w:rsidR="00CB2411" w:rsidRPr="009D4CD4" w:rsidRDefault="00CB2411" w:rsidP="00CB2411">
      <w:pPr>
        <w:spacing w:after="0" w:line="240" w:lineRule="auto"/>
        <w:rPr>
          <w:rFonts w:eastAsia="Times New Roman"/>
          <w:lang w:eastAsia="fr-FR"/>
        </w:rPr>
      </w:pPr>
      <w:r w:rsidRPr="009D4CD4">
        <w:rPr>
          <w:rFonts w:eastAsia="Times New Roman"/>
          <w:lang w:eastAsia="fr-FR"/>
        </w:rPr>
        <w:t>La plateforme est accessible partout 24h/24 et 7j/7 en illimité ; elle propose un espace dédié par enfant et un espace parent pour les accompagner.</w:t>
      </w:r>
    </w:p>
    <w:p w14:paraId="2C9ACC82" w14:textId="77777777" w:rsidR="00CB2411" w:rsidRPr="009D4CD4" w:rsidRDefault="00CB2411" w:rsidP="006D2DF1">
      <w:pPr>
        <w:spacing w:after="0" w:line="240" w:lineRule="auto"/>
        <w:jc w:val="left"/>
        <w:rPr>
          <w:rFonts w:eastAsia="Times New Roman"/>
          <w:lang w:eastAsia="fr-FR"/>
        </w:rPr>
      </w:pPr>
      <w:r w:rsidRPr="009D4CD4">
        <w:rPr>
          <w:rFonts w:eastAsia="Times New Roman"/>
          <w:lang w:eastAsia="fr-FR"/>
        </w:rPr>
        <w:t xml:space="preserve">Les enfants ont accès à : </w:t>
      </w:r>
    </w:p>
    <w:p w14:paraId="49A4636E" w14:textId="79118F6A" w:rsidR="00CB2411" w:rsidRPr="009D4CD4" w:rsidRDefault="00CB2411" w:rsidP="006D2DF1">
      <w:pPr>
        <w:spacing w:after="0" w:line="240" w:lineRule="auto"/>
        <w:jc w:val="left"/>
        <w:rPr>
          <w:rFonts w:eastAsia="Times New Roman"/>
          <w:lang w:eastAsia="fr-FR"/>
        </w:rPr>
      </w:pPr>
      <w:r w:rsidRPr="009D4CD4">
        <w:rPr>
          <w:rFonts w:eastAsia="Times New Roman"/>
          <w:lang w:eastAsia="fr-FR"/>
        </w:rPr>
        <w:t xml:space="preserve">&gt; </w:t>
      </w:r>
      <w:r w:rsidR="006D2DF1" w:rsidRPr="009D4CD4">
        <w:rPr>
          <w:rFonts w:eastAsia="Times New Roman"/>
          <w:lang w:eastAsia="fr-FR"/>
        </w:rPr>
        <w:t xml:space="preserve">Du </w:t>
      </w:r>
      <w:r w:rsidRPr="009D4CD4">
        <w:rPr>
          <w:rFonts w:eastAsia="Times New Roman"/>
          <w:lang w:eastAsia="fr-FR"/>
        </w:rPr>
        <w:t>tutorat : aide d’un enseignant pour la réalisation d’un devoir</w:t>
      </w:r>
    </w:p>
    <w:p w14:paraId="42874263" w14:textId="0E317584" w:rsidR="00CB2411" w:rsidRPr="009D4CD4" w:rsidRDefault="00CB2411" w:rsidP="006D2DF1">
      <w:pPr>
        <w:spacing w:after="0" w:line="240" w:lineRule="auto"/>
        <w:jc w:val="left"/>
        <w:rPr>
          <w:rFonts w:eastAsia="Times New Roman"/>
          <w:lang w:eastAsia="fr-FR"/>
        </w:rPr>
      </w:pPr>
      <w:r w:rsidRPr="009D4CD4">
        <w:rPr>
          <w:rFonts w:eastAsia="Times New Roman"/>
          <w:lang w:eastAsia="fr-FR"/>
        </w:rPr>
        <w:t xml:space="preserve">&gt; </w:t>
      </w:r>
      <w:r w:rsidR="006D2DF1" w:rsidRPr="009D4CD4">
        <w:rPr>
          <w:rFonts w:eastAsia="Times New Roman"/>
          <w:lang w:eastAsia="fr-FR"/>
        </w:rPr>
        <w:t xml:space="preserve">Des </w:t>
      </w:r>
      <w:r w:rsidRPr="009D4CD4">
        <w:rPr>
          <w:rFonts w:eastAsia="Times New Roman"/>
          <w:lang w:eastAsia="fr-FR"/>
        </w:rPr>
        <w:t>ressources pédagogiques : fiches de cours, exercices, annales corrigées</w:t>
      </w:r>
    </w:p>
    <w:p w14:paraId="5A0A981F" w14:textId="20B3E517" w:rsidR="00CB2411" w:rsidRPr="009D4CD4" w:rsidRDefault="00CB2411" w:rsidP="006D2DF1">
      <w:pPr>
        <w:spacing w:after="0" w:line="240" w:lineRule="auto"/>
        <w:jc w:val="left"/>
        <w:rPr>
          <w:rFonts w:eastAsia="Times New Roman"/>
          <w:lang w:eastAsia="fr-FR"/>
        </w:rPr>
      </w:pPr>
      <w:r w:rsidRPr="009D4CD4">
        <w:rPr>
          <w:rFonts w:eastAsia="Times New Roman"/>
          <w:lang w:eastAsia="fr-FR"/>
        </w:rPr>
        <w:t xml:space="preserve">&gt; </w:t>
      </w:r>
      <w:r w:rsidR="006D2DF1" w:rsidRPr="009D4CD4">
        <w:rPr>
          <w:rFonts w:eastAsia="Times New Roman"/>
          <w:lang w:eastAsia="fr-FR"/>
        </w:rPr>
        <w:t xml:space="preserve">De la </w:t>
      </w:r>
      <w:r w:rsidRPr="009D4CD4">
        <w:rPr>
          <w:rFonts w:eastAsia="Times New Roman"/>
          <w:lang w:eastAsia="fr-FR"/>
        </w:rPr>
        <w:t>documentation en ligne : sources fiables et sécurisées, base de données, recherche encyclopédique personnalisée</w:t>
      </w:r>
    </w:p>
    <w:p w14:paraId="637AB407" w14:textId="59A20953" w:rsidR="00CB2411" w:rsidRDefault="00CB2411" w:rsidP="006D2DF1">
      <w:pPr>
        <w:spacing w:after="0" w:line="240" w:lineRule="auto"/>
        <w:jc w:val="left"/>
        <w:rPr>
          <w:rFonts w:eastAsia="Times New Roman"/>
          <w:lang w:eastAsia="fr-FR"/>
        </w:rPr>
      </w:pPr>
      <w:r w:rsidRPr="009D4CD4">
        <w:rPr>
          <w:rFonts w:eastAsia="Times New Roman"/>
          <w:lang w:eastAsia="fr-FR"/>
        </w:rPr>
        <w:t xml:space="preserve">&gt; </w:t>
      </w:r>
      <w:r w:rsidR="006D2DF1" w:rsidRPr="009D4CD4">
        <w:rPr>
          <w:rFonts w:eastAsia="Times New Roman"/>
          <w:lang w:eastAsia="fr-FR"/>
        </w:rPr>
        <w:t xml:space="preserve">Du </w:t>
      </w:r>
      <w:r w:rsidRPr="009D4CD4">
        <w:rPr>
          <w:rFonts w:eastAsia="Times New Roman"/>
          <w:lang w:eastAsia="fr-FR"/>
        </w:rPr>
        <w:t>conseil en orientation : aide à la préparation de son avenir scolaire et professionnel ; orientation post bac ; aide à la recherche de stage ou de contrat d’apprentissage.</w:t>
      </w:r>
    </w:p>
    <w:p w14:paraId="384C9EF4" w14:textId="6E85F25E" w:rsidR="000A05F4" w:rsidRPr="009D4CD4" w:rsidRDefault="000A05F4" w:rsidP="006D2DF1">
      <w:pPr>
        <w:spacing w:after="0" w:line="240" w:lineRule="auto"/>
        <w:jc w:val="left"/>
        <w:rPr>
          <w:rFonts w:eastAsia="Times New Roman"/>
          <w:lang w:eastAsia="fr-FR"/>
        </w:rPr>
      </w:pPr>
      <w:r>
        <w:rPr>
          <w:rFonts w:eastAsia="Times New Roman"/>
          <w:lang w:eastAsia="fr-FR"/>
        </w:rPr>
        <w:t>A fin 2021, on comptabilisait 605 inscrits sur la plateforme.</w:t>
      </w:r>
    </w:p>
    <w:p w14:paraId="7559576B" w14:textId="69091C75" w:rsidR="00B72A61" w:rsidRPr="009D4CD4" w:rsidRDefault="00B57C8D" w:rsidP="0053645F">
      <w:pPr>
        <w:pStyle w:val="Titre4"/>
        <w:rPr>
          <w:lang w:eastAsia="fr-FR"/>
        </w:rPr>
      </w:pPr>
      <w:bookmarkStart w:id="122" w:name="_Toc96698032"/>
      <w:r w:rsidRPr="009D4CD4">
        <w:rPr>
          <w:lang w:eastAsia="fr-FR"/>
        </w:rPr>
        <w:t xml:space="preserve">Les </w:t>
      </w:r>
      <w:r w:rsidR="006D2DF1" w:rsidRPr="009D4CD4">
        <w:rPr>
          <w:lang w:eastAsia="fr-FR"/>
        </w:rPr>
        <w:t>i</w:t>
      </w:r>
      <w:r w:rsidR="00B72A61" w:rsidRPr="009D4CD4">
        <w:rPr>
          <w:lang w:eastAsia="fr-FR"/>
        </w:rPr>
        <w:t>ndemnité</w:t>
      </w:r>
      <w:r w:rsidRPr="009D4CD4">
        <w:rPr>
          <w:lang w:eastAsia="fr-FR"/>
        </w:rPr>
        <w:t>s kilométriques -v</w:t>
      </w:r>
      <w:r w:rsidR="00B72A61" w:rsidRPr="009D4CD4">
        <w:rPr>
          <w:lang w:eastAsia="fr-FR"/>
        </w:rPr>
        <w:t>élo</w:t>
      </w:r>
      <w:bookmarkEnd w:id="122"/>
      <w:r w:rsidR="00B72A61" w:rsidRPr="009D4CD4">
        <w:rPr>
          <w:lang w:eastAsia="fr-FR"/>
        </w:rPr>
        <w:t xml:space="preserve"> </w:t>
      </w:r>
    </w:p>
    <w:p w14:paraId="7F7B8CC4" w14:textId="77777777" w:rsidR="00B72A61" w:rsidRPr="009D4CD4" w:rsidRDefault="00B72A61" w:rsidP="00B72A61">
      <w:pPr>
        <w:autoSpaceDE w:val="0"/>
        <w:autoSpaceDN w:val="0"/>
        <w:adjustRightInd w:val="0"/>
        <w:spacing w:after="0" w:line="240" w:lineRule="auto"/>
        <w:jc w:val="left"/>
        <w:rPr>
          <w:rFonts w:asciiTheme="minorHAnsi" w:hAnsiTheme="minorHAnsi" w:cs="Arial"/>
          <w:u w:val="single"/>
        </w:rPr>
      </w:pPr>
    </w:p>
    <w:p w14:paraId="41D446CB" w14:textId="1B3D9BB4" w:rsidR="00B72A61" w:rsidRPr="009D4CD4" w:rsidRDefault="00B72A61" w:rsidP="00B72A61">
      <w:pPr>
        <w:spacing w:after="0" w:line="240" w:lineRule="auto"/>
        <w:jc w:val="left"/>
        <w:rPr>
          <w:rFonts w:asciiTheme="minorHAnsi" w:hAnsiTheme="minorHAnsi" w:cs="Arial"/>
        </w:rPr>
      </w:pPr>
      <w:r w:rsidRPr="009D4CD4">
        <w:rPr>
          <w:rFonts w:asciiTheme="minorHAnsi" w:hAnsiTheme="minorHAnsi" w:cs="Arial"/>
        </w:rPr>
        <w:t xml:space="preserve">Dans le cadre d’un accord d’entreprise, la </w:t>
      </w:r>
      <w:r w:rsidR="00A7717F">
        <w:rPr>
          <w:rFonts w:asciiTheme="minorHAnsi" w:hAnsiTheme="minorHAnsi" w:cs="Arial"/>
        </w:rPr>
        <w:t>Caisse Régionale</w:t>
      </w:r>
      <w:r w:rsidRPr="009D4CD4">
        <w:rPr>
          <w:rFonts w:asciiTheme="minorHAnsi" w:hAnsiTheme="minorHAnsi" w:cs="Arial"/>
        </w:rPr>
        <w:t xml:space="preserve"> a mis en place l’indemnité kilométrique – vélo prévue par la loi sur la Transition énergétique. Grâce à cette indemnité, les frais engagés par les salariés pour leurs déplacements à vélo ou à vélo à assistance électrique entre leur résidence habituelle et leur lieu de travail, sont pris en charge à hauteur de 0,25€ par kilomètre parcouru, dans la limite de 200 € par an.</w:t>
      </w:r>
    </w:p>
    <w:p w14:paraId="07ACC2E0" w14:textId="2613BB4E" w:rsidR="00706F97" w:rsidRPr="009D4CD4" w:rsidRDefault="00706F97" w:rsidP="00B72A61">
      <w:pPr>
        <w:spacing w:after="0" w:line="240" w:lineRule="auto"/>
        <w:jc w:val="left"/>
        <w:rPr>
          <w:rFonts w:asciiTheme="minorHAnsi" w:hAnsiTheme="minorHAnsi" w:cs="Arial"/>
        </w:rPr>
      </w:pPr>
    </w:p>
    <w:p w14:paraId="5E05738E" w14:textId="7EBC57BA" w:rsidR="00FB1A06" w:rsidRPr="009D4CD4" w:rsidRDefault="00FB1A06" w:rsidP="00FB1A06">
      <w:pPr>
        <w:pStyle w:val="Paragraphedeliste"/>
        <w:numPr>
          <w:ilvl w:val="0"/>
          <w:numId w:val="4"/>
        </w:numPr>
        <w:rPr>
          <w:rFonts w:asciiTheme="minorHAnsi" w:hAnsiTheme="minorHAnsi" w:cs="Arial"/>
        </w:rPr>
      </w:pPr>
      <w:r w:rsidRPr="009D4CD4">
        <w:rPr>
          <w:rFonts w:asciiTheme="minorHAnsi" w:hAnsiTheme="minorHAnsi" w:cs="Arial"/>
        </w:rPr>
        <w:t>Les filiales Edokial et Inforsud Technologies</w:t>
      </w:r>
      <w:r w:rsidR="004D466B" w:rsidRPr="009D4CD4">
        <w:rPr>
          <w:rFonts w:asciiTheme="minorHAnsi" w:hAnsiTheme="minorHAnsi" w:cs="Arial"/>
        </w:rPr>
        <w:t xml:space="preserve"> (IST)</w:t>
      </w:r>
    </w:p>
    <w:p w14:paraId="6BB8770C" w14:textId="77777777" w:rsidR="00FB1A06" w:rsidRPr="009D4CD4" w:rsidRDefault="00FB1A06" w:rsidP="00B72A61">
      <w:pPr>
        <w:spacing w:after="0" w:line="240" w:lineRule="auto"/>
        <w:jc w:val="left"/>
        <w:rPr>
          <w:rFonts w:asciiTheme="minorHAnsi" w:hAnsiTheme="minorHAnsi" w:cs="Arial"/>
        </w:rPr>
      </w:pPr>
    </w:p>
    <w:p w14:paraId="39B09D93" w14:textId="22E47103" w:rsidR="00FB1A06" w:rsidRPr="009D4CD4" w:rsidRDefault="004D466B" w:rsidP="00FB1A06">
      <w:pPr>
        <w:widowControl w:val="0"/>
        <w:spacing w:after="0" w:line="240" w:lineRule="auto"/>
        <w:jc w:val="left"/>
        <w:rPr>
          <w:lang w:eastAsia="fr-FR"/>
        </w:rPr>
      </w:pPr>
      <w:r w:rsidRPr="009D4CD4">
        <w:rPr>
          <w:lang w:eastAsia="fr-FR"/>
        </w:rPr>
        <w:t>D</w:t>
      </w:r>
      <w:r w:rsidR="00F04A86">
        <w:rPr>
          <w:lang w:eastAsia="fr-FR"/>
        </w:rPr>
        <w:t>ivers d</w:t>
      </w:r>
      <w:r w:rsidRPr="009D4CD4">
        <w:rPr>
          <w:lang w:eastAsia="fr-FR"/>
        </w:rPr>
        <w:t>ispositifs sont mis en œuvre </w:t>
      </w:r>
      <w:r w:rsidR="00FB1A06" w:rsidRPr="009D4CD4">
        <w:rPr>
          <w:lang w:eastAsia="fr-FR"/>
        </w:rPr>
        <w:t xml:space="preserve">à IST : </w:t>
      </w:r>
    </w:p>
    <w:p w14:paraId="4799D303" w14:textId="5AB7FDD8" w:rsidR="00FB1A06" w:rsidRPr="009D4CD4" w:rsidRDefault="00FB1A06" w:rsidP="00FB1A06">
      <w:pPr>
        <w:pStyle w:val="Paragraphedeliste"/>
        <w:widowControl w:val="0"/>
        <w:numPr>
          <w:ilvl w:val="0"/>
          <w:numId w:val="7"/>
        </w:numPr>
        <w:rPr>
          <w:rFonts w:ascii="Calibri" w:eastAsia="Calibri" w:hAnsi="Calibri"/>
          <w:sz w:val="22"/>
          <w:szCs w:val="22"/>
        </w:rPr>
      </w:pPr>
      <w:r w:rsidRPr="009D4CD4">
        <w:rPr>
          <w:rFonts w:ascii="Calibri" w:eastAsia="Calibri" w:hAnsi="Calibri"/>
          <w:sz w:val="22"/>
          <w:szCs w:val="22"/>
        </w:rPr>
        <w:t xml:space="preserve">Télétravail, </w:t>
      </w:r>
      <w:r w:rsidR="006419B8" w:rsidRPr="009D4CD4">
        <w:rPr>
          <w:rFonts w:ascii="Calibri" w:eastAsia="Calibri" w:hAnsi="Calibri"/>
          <w:sz w:val="22"/>
          <w:szCs w:val="22"/>
        </w:rPr>
        <w:t>(62% de l’effectif</w:t>
      </w:r>
      <w:r w:rsidRPr="009D4CD4">
        <w:rPr>
          <w:rFonts w:ascii="Calibri" w:eastAsia="Calibri" w:hAnsi="Calibri"/>
          <w:sz w:val="22"/>
          <w:szCs w:val="22"/>
        </w:rPr>
        <w:t xml:space="preserve"> dans le cadre de l’accord de télétravail)</w:t>
      </w:r>
    </w:p>
    <w:p w14:paraId="209B0373" w14:textId="5C6B8EB6" w:rsidR="00FB1A06" w:rsidRPr="009D4CD4" w:rsidRDefault="00FB1A06" w:rsidP="006419B8">
      <w:pPr>
        <w:pStyle w:val="Paragraphedeliste"/>
        <w:widowControl w:val="0"/>
        <w:numPr>
          <w:ilvl w:val="0"/>
          <w:numId w:val="7"/>
        </w:numPr>
        <w:rPr>
          <w:rFonts w:ascii="Calibri" w:eastAsia="Calibri" w:hAnsi="Calibri"/>
          <w:sz w:val="22"/>
          <w:szCs w:val="22"/>
        </w:rPr>
      </w:pPr>
      <w:r w:rsidRPr="009D4CD4">
        <w:rPr>
          <w:rFonts w:ascii="Calibri" w:eastAsia="Calibri" w:hAnsi="Calibri"/>
          <w:sz w:val="22"/>
          <w:szCs w:val="22"/>
        </w:rPr>
        <w:t>Boite à idée</w:t>
      </w:r>
    </w:p>
    <w:p w14:paraId="323990CC" w14:textId="00CDB25C" w:rsidR="00FB1A06" w:rsidRPr="00F04A86" w:rsidRDefault="004D466B" w:rsidP="00F04A86">
      <w:pPr>
        <w:pStyle w:val="Paragraphedeliste"/>
        <w:widowControl w:val="0"/>
        <w:numPr>
          <w:ilvl w:val="0"/>
          <w:numId w:val="7"/>
        </w:numPr>
        <w:rPr>
          <w:rFonts w:ascii="Calibri" w:eastAsia="Calibri" w:hAnsi="Calibri"/>
          <w:sz w:val="22"/>
          <w:szCs w:val="22"/>
        </w:rPr>
      </w:pPr>
      <w:r w:rsidRPr="009D4CD4">
        <w:rPr>
          <w:rFonts w:ascii="Calibri" w:eastAsia="Calibri" w:hAnsi="Calibri"/>
          <w:sz w:val="22"/>
          <w:szCs w:val="22"/>
        </w:rPr>
        <w:t>Mise à disposition</w:t>
      </w:r>
      <w:r w:rsidR="00FB1A06" w:rsidRPr="009D4CD4">
        <w:rPr>
          <w:rFonts w:ascii="Calibri" w:eastAsia="Calibri" w:hAnsi="Calibri"/>
          <w:sz w:val="22"/>
          <w:szCs w:val="22"/>
        </w:rPr>
        <w:t xml:space="preserve"> de swiss ball</w:t>
      </w:r>
      <w:r w:rsidRPr="009D4CD4">
        <w:rPr>
          <w:rFonts w:ascii="Calibri" w:eastAsia="Calibri" w:hAnsi="Calibri"/>
          <w:sz w:val="22"/>
          <w:szCs w:val="22"/>
        </w:rPr>
        <w:t xml:space="preserve"> </w:t>
      </w:r>
      <w:r w:rsidR="00F04A86">
        <w:rPr>
          <w:rFonts w:ascii="Calibri" w:eastAsia="Calibri" w:hAnsi="Calibri"/>
          <w:sz w:val="22"/>
          <w:szCs w:val="22"/>
        </w:rPr>
        <w:t>à la disposition du</w:t>
      </w:r>
      <w:r w:rsidRPr="009D4CD4">
        <w:rPr>
          <w:rFonts w:ascii="Calibri" w:eastAsia="Calibri" w:hAnsi="Calibri"/>
          <w:sz w:val="22"/>
          <w:szCs w:val="22"/>
        </w:rPr>
        <w:t xml:space="preserve"> personnel.</w:t>
      </w:r>
    </w:p>
    <w:p w14:paraId="09BCB8C9" w14:textId="30ACB237" w:rsidR="00EC12DD" w:rsidRPr="009D4CD4" w:rsidRDefault="00EC12DD" w:rsidP="00B72A61">
      <w:pPr>
        <w:spacing w:after="0" w:line="240" w:lineRule="auto"/>
        <w:jc w:val="left"/>
        <w:rPr>
          <w:rFonts w:eastAsia="Times New Roman"/>
          <w:lang w:eastAsia="fr-FR"/>
        </w:rPr>
      </w:pPr>
    </w:p>
    <w:p w14:paraId="6C3DAC17" w14:textId="77777777" w:rsidR="00FB1A06" w:rsidRPr="009D4CD4" w:rsidRDefault="00FB1A06" w:rsidP="00B72A61">
      <w:pPr>
        <w:spacing w:after="0" w:line="240" w:lineRule="auto"/>
        <w:jc w:val="left"/>
        <w:rPr>
          <w:rFonts w:eastAsia="Times New Roman"/>
          <w:lang w:eastAsia="fr-FR"/>
        </w:rPr>
      </w:pPr>
    </w:p>
    <w:p w14:paraId="2809AD58" w14:textId="0A95993E" w:rsidR="00B72A61" w:rsidRPr="009D4CD4" w:rsidRDefault="00B72A61" w:rsidP="00326D6D">
      <w:pPr>
        <w:pStyle w:val="Titre3"/>
      </w:pPr>
      <w:bookmarkStart w:id="123" w:name="_Toc32416039"/>
      <w:bookmarkStart w:id="124" w:name="_Toc59444715"/>
      <w:bookmarkStart w:id="125" w:name="_Toc96698033"/>
      <w:r w:rsidRPr="009D4CD4">
        <w:t>Accompagner les initiatives de solidarité</w:t>
      </w:r>
      <w:bookmarkEnd w:id="123"/>
      <w:bookmarkEnd w:id="124"/>
      <w:bookmarkEnd w:id="125"/>
    </w:p>
    <w:p w14:paraId="164BD6E6" w14:textId="77777777" w:rsidR="00B72A61" w:rsidRPr="009D4CD4" w:rsidRDefault="00B72A61" w:rsidP="00B72A61">
      <w:pPr>
        <w:spacing w:after="0" w:line="240" w:lineRule="auto"/>
        <w:jc w:val="left"/>
        <w:rPr>
          <w:rFonts w:asciiTheme="minorHAnsi" w:hAnsiTheme="minorHAnsi" w:cs="Arial"/>
        </w:rPr>
      </w:pPr>
    </w:p>
    <w:p w14:paraId="767FE56E" w14:textId="330D26B8" w:rsidR="00B72A61" w:rsidRPr="009D4CD4" w:rsidRDefault="00B72A61" w:rsidP="00B72A61">
      <w:pPr>
        <w:spacing w:after="0" w:line="240" w:lineRule="auto"/>
        <w:jc w:val="left"/>
        <w:rPr>
          <w:rFonts w:cs="Arial"/>
        </w:rPr>
      </w:pPr>
      <w:r w:rsidRPr="009D4CD4">
        <w:rPr>
          <w:rFonts w:cs="Arial"/>
        </w:rPr>
        <w:t>En résonnance avec les valeurs de solidarité qui anime</w:t>
      </w:r>
      <w:r w:rsidR="00F04A86">
        <w:rPr>
          <w:rFonts w:cs="Arial"/>
        </w:rPr>
        <w:t>nt</w:t>
      </w:r>
      <w:r w:rsidRPr="009D4CD4">
        <w:rPr>
          <w:rFonts w:cs="Arial"/>
        </w:rPr>
        <w:t xml:space="preserve"> l’action mutualiste du Crédit Agricole Nord Midi-Pyrénées, la </w:t>
      </w:r>
      <w:r w:rsidR="00A7717F">
        <w:rPr>
          <w:rFonts w:cs="Arial"/>
        </w:rPr>
        <w:t>Caisse Régionale</w:t>
      </w:r>
      <w:r w:rsidRPr="009D4CD4">
        <w:rPr>
          <w:rFonts w:cs="Arial"/>
        </w:rPr>
        <w:t xml:space="preserve"> facilite l’engagement solidaire des salariés.</w:t>
      </w:r>
    </w:p>
    <w:p w14:paraId="2391AFCA" w14:textId="77777777" w:rsidR="00B72A61" w:rsidRPr="009D4CD4" w:rsidRDefault="00B72A61" w:rsidP="00B72A61">
      <w:pPr>
        <w:spacing w:after="0" w:line="240" w:lineRule="auto"/>
        <w:jc w:val="left"/>
        <w:rPr>
          <w:rFonts w:cs="Arial"/>
        </w:rPr>
      </w:pPr>
    </w:p>
    <w:p w14:paraId="2711918E" w14:textId="75F4C095" w:rsidR="00B72A61" w:rsidRPr="009D4CD4" w:rsidRDefault="00B72A61" w:rsidP="00177997">
      <w:pPr>
        <w:spacing w:after="0" w:line="240" w:lineRule="auto"/>
        <w:rPr>
          <w:rFonts w:cs="Arial"/>
        </w:rPr>
      </w:pPr>
      <w:r w:rsidRPr="009D4CD4">
        <w:rPr>
          <w:rFonts w:cs="Arial"/>
        </w:rPr>
        <w:t>&gt;</w:t>
      </w:r>
      <w:r w:rsidR="008F24DD" w:rsidRPr="009D4CD4">
        <w:rPr>
          <w:rFonts w:cs="Arial"/>
        </w:rPr>
        <w:t xml:space="preserve"> </w:t>
      </w:r>
      <w:r w:rsidRPr="009D4CD4">
        <w:rPr>
          <w:rFonts w:cs="Arial"/>
        </w:rPr>
        <w:t xml:space="preserve">Le dispositif de dons de jours de congés prévu par la loi a permis, depuis le lancement du programme en 2014, de récolter à fin </w:t>
      </w:r>
      <w:r w:rsidR="00CB4C37" w:rsidRPr="009D4CD4">
        <w:rPr>
          <w:rFonts w:cs="Arial"/>
        </w:rPr>
        <w:t>2021</w:t>
      </w:r>
      <w:r w:rsidR="00F04A86">
        <w:rPr>
          <w:rFonts w:cs="Arial"/>
        </w:rPr>
        <w:t>,</w:t>
      </w:r>
      <w:r w:rsidR="00A97EE2" w:rsidRPr="009D4CD4">
        <w:rPr>
          <w:rFonts w:cs="Arial"/>
        </w:rPr>
        <w:t xml:space="preserve"> </w:t>
      </w:r>
      <w:r w:rsidR="00CB4C37" w:rsidRPr="009D4CD4">
        <w:rPr>
          <w:rFonts w:cs="Arial"/>
        </w:rPr>
        <w:t>788</w:t>
      </w:r>
      <w:r w:rsidR="00A97EE2" w:rsidRPr="009D4CD4">
        <w:rPr>
          <w:rFonts w:cs="Arial"/>
        </w:rPr>
        <w:t xml:space="preserve"> </w:t>
      </w:r>
      <w:r w:rsidRPr="009D4CD4">
        <w:rPr>
          <w:rFonts w:cs="Arial"/>
        </w:rPr>
        <w:t>jours de congés</w:t>
      </w:r>
      <w:r w:rsidR="00F04A86">
        <w:rPr>
          <w:rFonts w:cs="Arial"/>
        </w:rPr>
        <w:t>.</w:t>
      </w:r>
      <w:r w:rsidR="00E117CD" w:rsidRPr="009D4CD4">
        <w:rPr>
          <w:rFonts w:cs="Arial"/>
        </w:rPr>
        <w:t xml:space="preserve"> Ces journées sont </w:t>
      </w:r>
      <w:r w:rsidRPr="009D4CD4">
        <w:rPr>
          <w:rFonts w:cs="Arial"/>
        </w:rPr>
        <w:t>cédé</w:t>
      </w:r>
      <w:r w:rsidR="00E117CD" w:rsidRPr="009D4CD4">
        <w:rPr>
          <w:rFonts w:cs="Arial"/>
        </w:rPr>
        <w:t>e</w:t>
      </w:r>
      <w:r w:rsidRPr="009D4CD4">
        <w:rPr>
          <w:rFonts w:cs="Arial"/>
        </w:rPr>
        <w:t>s au profit de collègues dont l’enfant est atteint d’une maladie, souffre d’un handicap ou a été victime d’un accident grave.</w:t>
      </w:r>
      <w:r w:rsidR="00F4266F" w:rsidRPr="009D4CD4">
        <w:rPr>
          <w:rFonts w:cs="Arial"/>
        </w:rPr>
        <w:t xml:space="preserve"> </w:t>
      </w:r>
      <w:r w:rsidR="00177997" w:rsidRPr="009D4CD4">
        <w:rPr>
          <w:rFonts w:cs="Arial"/>
        </w:rPr>
        <w:t>L</w:t>
      </w:r>
      <w:r w:rsidR="00F4266F" w:rsidRPr="009D4CD4">
        <w:rPr>
          <w:rFonts w:cs="Arial"/>
        </w:rPr>
        <w:t xml:space="preserve">es salariés </w:t>
      </w:r>
      <w:r w:rsidR="00177997" w:rsidRPr="009D4CD4">
        <w:rPr>
          <w:rFonts w:cs="Arial"/>
        </w:rPr>
        <w:t>venant</w:t>
      </w:r>
      <w:r w:rsidR="00F4266F" w:rsidRPr="009D4CD4">
        <w:rPr>
          <w:rFonts w:cs="Arial"/>
        </w:rPr>
        <w:t xml:space="preserve"> en aide à une personne handicapée ou âgée et en perte d’autonomie</w:t>
      </w:r>
      <w:r w:rsidR="00177997" w:rsidRPr="009D4CD4">
        <w:rPr>
          <w:rFonts w:cs="Arial"/>
        </w:rPr>
        <w:t xml:space="preserve"> sont également éligibles au dispositif.</w:t>
      </w:r>
    </w:p>
    <w:p w14:paraId="6809BEC3" w14:textId="77777777" w:rsidR="00B72A61" w:rsidRPr="009D4CD4" w:rsidRDefault="00B72A61" w:rsidP="00177997">
      <w:pPr>
        <w:spacing w:after="0" w:line="240" w:lineRule="auto"/>
        <w:jc w:val="left"/>
        <w:rPr>
          <w:rFonts w:asciiTheme="minorHAnsi" w:hAnsiTheme="minorHAnsi" w:cs="Arial"/>
        </w:rPr>
      </w:pPr>
    </w:p>
    <w:p w14:paraId="58E8384C" w14:textId="0CB91C1B" w:rsidR="00B72A61" w:rsidRPr="009D4CD4" w:rsidRDefault="00B72A61" w:rsidP="00B72A61">
      <w:pPr>
        <w:spacing w:after="0" w:line="240" w:lineRule="auto"/>
        <w:jc w:val="left"/>
        <w:rPr>
          <w:rFonts w:cs="Arial"/>
        </w:rPr>
      </w:pPr>
      <w:r w:rsidRPr="009D4CD4">
        <w:rPr>
          <w:rFonts w:cs="Arial"/>
        </w:rPr>
        <w:t>&gt;</w:t>
      </w:r>
      <w:r w:rsidR="008F24DD" w:rsidRPr="009D4CD4">
        <w:rPr>
          <w:rFonts w:cs="Arial"/>
        </w:rPr>
        <w:t xml:space="preserve"> </w:t>
      </w:r>
      <w:r w:rsidRPr="009D4CD4">
        <w:rPr>
          <w:rFonts w:cs="Arial"/>
        </w:rPr>
        <w:t xml:space="preserve">Afin de favoriser l’engagement des salariés Sapeurs-Pompiers Volontaires, la </w:t>
      </w:r>
      <w:r w:rsidR="00A7717F">
        <w:rPr>
          <w:rFonts w:cs="Arial"/>
        </w:rPr>
        <w:t>Caisse Régionale</w:t>
      </w:r>
      <w:r w:rsidRPr="009D4CD4">
        <w:rPr>
          <w:rFonts w:cs="Arial"/>
        </w:rPr>
        <w:t xml:space="preserve"> a noué un partenariat avec les Services Départementaux d'Incendie et de Secours des 4 départements du territoire. Ainsi, les salariés SPV bénéficient de conditions facilitant leur engagement en termes de formation et de disponibilité opérationnelle, notamment le maintien de leur rémunération, ou la faculté pour le SPV en intervention de prendre son poste en retard.</w:t>
      </w:r>
    </w:p>
    <w:p w14:paraId="5FC4A64E" w14:textId="628DB288" w:rsidR="00A52D99" w:rsidRDefault="00A52D99">
      <w:pPr>
        <w:spacing w:after="0" w:line="240" w:lineRule="auto"/>
        <w:jc w:val="left"/>
        <w:rPr>
          <w:rFonts w:asciiTheme="minorHAnsi" w:hAnsiTheme="minorHAnsi" w:cs="Arial"/>
        </w:rPr>
      </w:pPr>
      <w:r>
        <w:rPr>
          <w:rFonts w:asciiTheme="minorHAnsi" w:hAnsiTheme="minorHAnsi" w:cs="Arial"/>
        </w:rPr>
        <w:br w:type="page"/>
      </w:r>
    </w:p>
    <w:p w14:paraId="6B30E09B" w14:textId="7E9EE6E1" w:rsidR="00B72A61" w:rsidRPr="009D4CD4" w:rsidRDefault="009C713E" w:rsidP="00326D6D">
      <w:pPr>
        <w:pStyle w:val="Titre2"/>
      </w:pPr>
      <w:bookmarkStart w:id="126" w:name="_Toc32416040"/>
      <w:bookmarkStart w:id="127" w:name="_Toc59444716"/>
      <w:bookmarkStart w:id="128" w:name="_Toc96698034"/>
      <w:r w:rsidRPr="009D4CD4">
        <w:t xml:space="preserve">Être </w:t>
      </w:r>
      <w:r w:rsidR="00B72A61" w:rsidRPr="009D4CD4">
        <w:t>exemplaire sur l'égalité de traitement des salariés</w:t>
      </w:r>
      <w:bookmarkEnd w:id="126"/>
      <w:bookmarkEnd w:id="127"/>
      <w:bookmarkEnd w:id="128"/>
    </w:p>
    <w:p w14:paraId="4D25926B" w14:textId="77777777" w:rsidR="00B72A61" w:rsidRPr="009D4CD4" w:rsidRDefault="00B72A61" w:rsidP="00B72A61">
      <w:pPr>
        <w:spacing w:after="0" w:line="240" w:lineRule="auto"/>
        <w:jc w:val="left"/>
        <w:rPr>
          <w:rFonts w:eastAsia="Times New Roman"/>
          <w:lang w:eastAsia="fr-FR"/>
        </w:rPr>
      </w:pPr>
    </w:p>
    <w:p w14:paraId="7C78C868" w14:textId="25282B57" w:rsidR="00B72A61" w:rsidRPr="009D4CD4" w:rsidRDefault="00B72A61" w:rsidP="00F41917">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40AD2C27" w14:textId="77777777" w:rsidR="00B72A61" w:rsidRPr="009D4CD4" w:rsidRDefault="00B72A61" w:rsidP="00B72A61">
      <w:pPr>
        <w:spacing w:after="0" w:line="240" w:lineRule="auto"/>
        <w:jc w:val="left"/>
      </w:pPr>
    </w:p>
    <w:p w14:paraId="4E839D13" w14:textId="3B4A1F9B" w:rsidR="00B72A61" w:rsidRPr="009D4CD4" w:rsidRDefault="00B72A61" w:rsidP="00B72A61">
      <w:pPr>
        <w:spacing w:after="0" w:line="240" w:lineRule="auto"/>
        <w:jc w:val="left"/>
        <w:rPr>
          <w:rFonts w:cs="Arial"/>
        </w:rPr>
      </w:pPr>
      <w:r w:rsidRPr="009D4CD4">
        <w:rPr>
          <w:rFonts w:cs="Arial"/>
        </w:rPr>
        <w:t xml:space="preserve">Tant au niveau de ses recrutements que des mécanismes de gestion des ressources humaines, </w:t>
      </w:r>
      <w:r w:rsidR="009C713E" w:rsidRPr="009D4CD4">
        <w:rPr>
          <w:rFonts w:cs="Arial"/>
        </w:rPr>
        <w:t xml:space="preserve">la </w:t>
      </w:r>
      <w:r w:rsidR="00A7717F">
        <w:rPr>
          <w:rFonts w:cs="Arial"/>
        </w:rPr>
        <w:t>Caisse Régionale</w:t>
      </w:r>
      <w:r w:rsidRPr="009D4CD4">
        <w:rPr>
          <w:rFonts w:cs="Arial"/>
        </w:rPr>
        <w:t xml:space="preserve"> reste vigilante à toute forme de discrimination (origine, nationalité, âge, sexe etc.). Les critères de recrutement sont basés sur la compétence professionnelle et l’adéquation du profil au poste, sans considération notamment du sexe ou de l’âge.</w:t>
      </w:r>
    </w:p>
    <w:p w14:paraId="2A2DB1A1" w14:textId="77777777" w:rsidR="00B72A61" w:rsidRPr="009D4CD4" w:rsidRDefault="00B72A61" w:rsidP="00B72A61">
      <w:pPr>
        <w:spacing w:after="0" w:line="240" w:lineRule="auto"/>
        <w:jc w:val="left"/>
        <w:rPr>
          <w:rFonts w:cs="Arial"/>
        </w:rPr>
      </w:pPr>
      <w:r w:rsidRPr="009D4CD4">
        <w:rPr>
          <w:rFonts w:cs="Arial"/>
        </w:rPr>
        <w:t xml:space="preserve">L’engagement d’exemplarité de traitement des salariés est articulé autour des piliers suivants : </w:t>
      </w:r>
    </w:p>
    <w:p w14:paraId="36042B28" w14:textId="7C28B452" w:rsidR="00B72A61" w:rsidRPr="009D4CD4" w:rsidRDefault="00B72A61" w:rsidP="00B72A61">
      <w:pPr>
        <w:spacing w:after="0" w:line="240" w:lineRule="auto"/>
        <w:jc w:val="left"/>
      </w:pPr>
      <w:r w:rsidRPr="009D4CD4">
        <w:t>- Assurer l’égalité professionnelle entre les femmes et les hommes</w:t>
      </w:r>
      <w:r w:rsidR="00E11AFE" w:rsidRPr="009D4CD4">
        <w:t> ;</w:t>
      </w:r>
    </w:p>
    <w:p w14:paraId="58F863D0" w14:textId="7F42C93D" w:rsidR="00B72A61" w:rsidRPr="009D4CD4" w:rsidRDefault="00B72A61" w:rsidP="00B72A61">
      <w:pPr>
        <w:spacing w:after="0" w:line="240" w:lineRule="auto"/>
        <w:jc w:val="left"/>
      </w:pPr>
      <w:r w:rsidRPr="009D4CD4">
        <w:t>- Agir en faveur des personnes en situation de handicap</w:t>
      </w:r>
      <w:r w:rsidR="00E11AFE" w:rsidRPr="009D4CD4">
        <w:t>.</w:t>
      </w:r>
    </w:p>
    <w:p w14:paraId="4C1A0AF0" w14:textId="288FA984" w:rsidR="00B72A61" w:rsidRPr="009D4CD4" w:rsidRDefault="00B72A61" w:rsidP="00B72A61">
      <w:pPr>
        <w:spacing w:after="0" w:line="240" w:lineRule="auto"/>
        <w:jc w:val="left"/>
        <w:rPr>
          <w:rFonts w:cs="Arial"/>
        </w:rPr>
      </w:pPr>
    </w:p>
    <w:p w14:paraId="2A66F051" w14:textId="77777777" w:rsidR="005C4C31" w:rsidRPr="009D4CD4" w:rsidRDefault="005C4C31" w:rsidP="00B72A61">
      <w:pPr>
        <w:spacing w:after="0" w:line="240" w:lineRule="auto"/>
        <w:jc w:val="left"/>
        <w:rPr>
          <w:rFonts w:cs="Arial"/>
        </w:rPr>
      </w:pPr>
    </w:p>
    <w:p w14:paraId="1E227401" w14:textId="27F3B9FF" w:rsidR="00B72A61" w:rsidRPr="009D4CD4" w:rsidRDefault="00B72A61" w:rsidP="00326D6D">
      <w:pPr>
        <w:pStyle w:val="Titre3"/>
      </w:pPr>
      <w:bookmarkStart w:id="129" w:name="_Toc32416041"/>
      <w:bookmarkStart w:id="130" w:name="_Toc59444717"/>
      <w:bookmarkStart w:id="131" w:name="_Toc96698035"/>
      <w:r w:rsidRPr="009D4CD4">
        <w:t>Assurer l’égalité professionnelle entre les femmes et les hommes</w:t>
      </w:r>
      <w:bookmarkEnd w:id="129"/>
      <w:bookmarkEnd w:id="130"/>
      <w:bookmarkEnd w:id="131"/>
    </w:p>
    <w:p w14:paraId="2AC90389" w14:textId="77777777" w:rsidR="00B72A61" w:rsidRPr="009D4CD4" w:rsidRDefault="00B72A61" w:rsidP="00B72A61">
      <w:pPr>
        <w:spacing w:after="0" w:line="240" w:lineRule="auto"/>
        <w:jc w:val="left"/>
        <w:rPr>
          <w:rFonts w:cs="Arial"/>
        </w:rPr>
      </w:pPr>
    </w:p>
    <w:tbl>
      <w:tblPr>
        <w:tblW w:w="8842" w:type="dxa"/>
        <w:tblInd w:w="-65" w:type="dxa"/>
        <w:tblCellMar>
          <w:left w:w="70" w:type="dxa"/>
          <w:right w:w="70" w:type="dxa"/>
        </w:tblCellMar>
        <w:tblLook w:val="04A0" w:firstRow="1" w:lastRow="0" w:firstColumn="1" w:lastColumn="0" w:noHBand="0" w:noVBand="1"/>
      </w:tblPr>
      <w:tblGrid>
        <w:gridCol w:w="2814"/>
        <w:gridCol w:w="861"/>
        <w:gridCol w:w="861"/>
        <w:gridCol w:w="862"/>
        <w:gridCol w:w="861"/>
        <w:gridCol w:w="861"/>
        <w:gridCol w:w="861"/>
        <w:gridCol w:w="861"/>
      </w:tblGrid>
      <w:tr w:rsidR="0057244F" w:rsidRPr="009D4CD4" w14:paraId="31CC62F1" w14:textId="77777777" w:rsidTr="0057244F">
        <w:trPr>
          <w:trHeight w:hRule="exact" w:val="284"/>
        </w:trPr>
        <w:tc>
          <w:tcPr>
            <w:tcW w:w="2814" w:type="dxa"/>
            <w:tcBorders>
              <w:top w:val="nil"/>
              <w:left w:val="nil"/>
              <w:bottom w:val="nil"/>
              <w:right w:val="nil"/>
            </w:tcBorders>
            <w:shd w:val="clear" w:color="auto" w:fill="auto"/>
            <w:vAlign w:val="center"/>
            <w:hideMark/>
          </w:tcPr>
          <w:p w14:paraId="245C0560" w14:textId="77777777" w:rsidR="0057244F" w:rsidRPr="009D4CD4" w:rsidRDefault="0057244F" w:rsidP="002D0015">
            <w:pPr>
              <w:spacing w:after="0" w:line="240" w:lineRule="auto"/>
              <w:ind w:firstLineChars="100" w:firstLine="220"/>
              <w:jc w:val="left"/>
              <w:rPr>
                <w:rFonts w:eastAsia="Times New Roman"/>
                <w:b/>
                <w:bCs/>
                <w:i/>
                <w:iCs/>
                <w:lang w:eastAsia="fr-FR"/>
              </w:rPr>
            </w:pPr>
            <w:r w:rsidRPr="009D4CD4">
              <w:rPr>
                <w:rFonts w:asciiTheme="minorHAnsi" w:hAnsiTheme="minorHAnsi" w:cs="Arial"/>
                <w:b/>
                <w:i/>
              </w:rPr>
              <w:t>Les chiffres - clé</w:t>
            </w:r>
          </w:p>
        </w:tc>
        <w:tc>
          <w:tcPr>
            <w:tcW w:w="861" w:type="dxa"/>
            <w:tcBorders>
              <w:top w:val="single" w:sz="4" w:space="0" w:color="auto"/>
              <w:left w:val="single" w:sz="4" w:space="0" w:color="auto"/>
              <w:bottom w:val="single" w:sz="4" w:space="0" w:color="auto"/>
              <w:right w:val="nil"/>
            </w:tcBorders>
            <w:shd w:val="clear" w:color="auto" w:fill="auto"/>
            <w:vAlign w:val="center"/>
            <w:hideMark/>
          </w:tcPr>
          <w:p w14:paraId="7946F848" w14:textId="77777777" w:rsidR="0057244F" w:rsidRPr="009D4CD4" w:rsidRDefault="0057244F"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NMP</w:t>
            </w:r>
          </w:p>
        </w:tc>
        <w:tc>
          <w:tcPr>
            <w:tcW w:w="861" w:type="dxa"/>
            <w:tcBorders>
              <w:top w:val="single" w:sz="4" w:space="0" w:color="auto"/>
              <w:left w:val="nil"/>
              <w:bottom w:val="single" w:sz="4" w:space="0" w:color="auto"/>
              <w:right w:val="nil"/>
            </w:tcBorders>
            <w:shd w:val="clear" w:color="auto" w:fill="auto"/>
            <w:vAlign w:val="center"/>
            <w:hideMark/>
          </w:tcPr>
          <w:p w14:paraId="32AFDC24" w14:textId="77777777" w:rsidR="0057244F" w:rsidRPr="009D4CD4" w:rsidRDefault="0057244F"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 </w:t>
            </w:r>
          </w:p>
        </w:tc>
        <w:tc>
          <w:tcPr>
            <w:tcW w:w="862" w:type="dxa"/>
            <w:tcBorders>
              <w:top w:val="single" w:sz="4" w:space="0" w:color="auto"/>
              <w:left w:val="nil"/>
              <w:bottom w:val="single" w:sz="4" w:space="0" w:color="auto"/>
              <w:right w:val="single" w:sz="4" w:space="0" w:color="auto"/>
            </w:tcBorders>
            <w:shd w:val="clear" w:color="auto" w:fill="auto"/>
            <w:vAlign w:val="center"/>
            <w:hideMark/>
          </w:tcPr>
          <w:p w14:paraId="1F9D1FD4" w14:textId="77777777" w:rsidR="0057244F" w:rsidRPr="009D4CD4" w:rsidRDefault="0057244F"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 </w:t>
            </w:r>
          </w:p>
        </w:tc>
        <w:tc>
          <w:tcPr>
            <w:tcW w:w="861" w:type="dxa"/>
            <w:tcBorders>
              <w:top w:val="single" w:sz="4" w:space="0" w:color="auto"/>
              <w:left w:val="single" w:sz="4" w:space="0" w:color="auto"/>
              <w:bottom w:val="single" w:sz="4" w:space="0" w:color="auto"/>
              <w:right w:val="nil"/>
            </w:tcBorders>
            <w:shd w:val="clear" w:color="auto" w:fill="auto"/>
            <w:vAlign w:val="center"/>
            <w:hideMark/>
          </w:tcPr>
          <w:p w14:paraId="69DADE2E" w14:textId="77777777" w:rsidR="0057244F" w:rsidRPr="009D4CD4" w:rsidRDefault="0057244F"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IS</w:t>
            </w:r>
          </w:p>
        </w:tc>
        <w:tc>
          <w:tcPr>
            <w:tcW w:w="861" w:type="dxa"/>
            <w:tcBorders>
              <w:top w:val="single" w:sz="4" w:space="0" w:color="auto"/>
              <w:left w:val="nil"/>
              <w:bottom w:val="single" w:sz="4" w:space="0" w:color="auto"/>
              <w:right w:val="nil"/>
            </w:tcBorders>
          </w:tcPr>
          <w:p w14:paraId="3E014003" w14:textId="77777777" w:rsidR="0057244F" w:rsidRPr="009D4CD4" w:rsidRDefault="0057244F" w:rsidP="00523615">
            <w:pPr>
              <w:spacing w:after="0" w:line="240" w:lineRule="auto"/>
              <w:jc w:val="left"/>
              <w:rPr>
                <w:rFonts w:eastAsia="Times New Roman"/>
                <w:b/>
                <w:bCs/>
                <w:sz w:val="16"/>
                <w:szCs w:val="16"/>
                <w:lang w:eastAsia="fr-FR"/>
              </w:rPr>
            </w:pPr>
          </w:p>
        </w:tc>
        <w:tc>
          <w:tcPr>
            <w:tcW w:w="861" w:type="dxa"/>
            <w:tcBorders>
              <w:top w:val="single" w:sz="4" w:space="0" w:color="auto"/>
              <w:left w:val="nil"/>
              <w:bottom w:val="single" w:sz="4" w:space="0" w:color="auto"/>
              <w:right w:val="nil"/>
            </w:tcBorders>
            <w:shd w:val="clear" w:color="auto" w:fill="auto"/>
            <w:vAlign w:val="center"/>
            <w:hideMark/>
          </w:tcPr>
          <w:p w14:paraId="0C8A8692" w14:textId="147A970B" w:rsidR="0057244F" w:rsidRPr="009D4CD4" w:rsidRDefault="0057244F"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 </w:t>
            </w:r>
          </w:p>
        </w:tc>
        <w:tc>
          <w:tcPr>
            <w:tcW w:w="861" w:type="dxa"/>
            <w:tcBorders>
              <w:top w:val="single" w:sz="4" w:space="0" w:color="auto"/>
              <w:left w:val="nil"/>
              <w:bottom w:val="single" w:sz="4" w:space="0" w:color="auto"/>
              <w:right w:val="single" w:sz="4" w:space="0" w:color="auto"/>
            </w:tcBorders>
            <w:shd w:val="clear" w:color="auto" w:fill="auto"/>
            <w:vAlign w:val="center"/>
            <w:hideMark/>
          </w:tcPr>
          <w:p w14:paraId="39594C2E" w14:textId="77777777" w:rsidR="0057244F" w:rsidRPr="009D4CD4" w:rsidRDefault="0057244F" w:rsidP="00523615">
            <w:pPr>
              <w:spacing w:after="0" w:line="240" w:lineRule="auto"/>
              <w:jc w:val="left"/>
              <w:rPr>
                <w:rFonts w:eastAsia="Times New Roman"/>
                <w:b/>
                <w:bCs/>
                <w:sz w:val="16"/>
                <w:szCs w:val="16"/>
                <w:lang w:eastAsia="fr-FR"/>
              </w:rPr>
            </w:pPr>
            <w:r w:rsidRPr="009D4CD4">
              <w:rPr>
                <w:rFonts w:eastAsia="Times New Roman"/>
                <w:b/>
                <w:bCs/>
                <w:sz w:val="16"/>
                <w:szCs w:val="16"/>
                <w:lang w:eastAsia="fr-FR"/>
              </w:rPr>
              <w:t> </w:t>
            </w:r>
          </w:p>
        </w:tc>
      </w:tr>
      <w:tr w:rsidR="0057244F" w:rsidRPr="009D4CD4" w14:paraId="62A03875" w14:textId="77777777" w:rsidTr="0057244F">
        <w:trPr>
          <w:trHeight w:hRule="exact" w:val="284"/>
        </w:trPr>
        <w:tc>
          <w:tcPr>
            <w:tcW w:w="2814" w:type="dxa"/>
            <w:tcBorders>
              <w:top w:val="nil"/>
              <w:left w:val="nil"/>
              <w:bottom w:val="nil"/>
              <w:right w:val="nil"/>
            </w:tcBorders>
            <w:shd w:val="clear" w:color="auto" w:fill="auto"/>
            <w:vAlign w:val="center"/>
            <w:hideMark/>
          </w:tcPr>
          <w:p w14:paraId="08FC966A" w14:textId="77777777" w:rsidR="0057244F" w:rsidRPr="009D4CD4" w:rsidRDefault="0057244F" w:rsidP="001C1A8E">
            <w:pPr>
              <w:spacing w:after="0" w:line="240" w:lineRule="auto"/>
              <w:jc w:val="left"/>
              <w:rPr>
                <w:rFonts w:eastAsia="Times New Roman"/>
                <w:sz w:val="16"/>
                <w:szCs w:val="16"/>
                <w:lang w:eastAsia="fr-FR"/>
              </w:rPr>
            </w:pPr>
          </w:p>
        </w:tc>
        <w:tc>
          <w:tcPr>
            <w:tcW w:w="861" w:type="dxa"/>
            <w:tcBorders>
              <w:top w:val="nil"/>
              <w:left w:val="single" w:sz="4" w:space="0" w:color="auto"/>
              <w:bottom w:val="single" w:sz="4" w:space="0" w:color="auto"/>
              <w:right w:val="single" w:sz="4" w:space="0" w:color="auto"/>
            </w:tcBorders>
            <w:shd w:val="clear" w:color="auto" w:fill="auto"/>
            <w:vAlign w:val="center"/>
          </w:tcPr>
          <w:p w14:paraId="5D231255" w14:textId="323023C3" w:rsidR="0057244F" w:rsidRPr="009D4CD4" w:rsidRDefault="0057244F" w:rsidP="001C1A8E">
            <w:pPr>
              <w:spacing w:after="0" w:line="240" w:lineRule="auto"/>
              <w:jc w:val="left"/>
              <w:rPr>
                <w:rFonts w:eastAsia="Times New Roman"/>
                <w:b/>
                <w:bCs/>
                <w:sz w:val="16"/>
                <w:szCs w:val="16"/>
                <w:lang w:eastAsia="fr-FR"/>
              </w:rPr>
            </w:pPr>
            <w:r w:rsidRPr="009D4CD4">
              <w:rPr>
                <w:rFonts w:eastAsia="Times New Roman"/>
                <w:b/>
                <w:bCs/>
                <w:sz w:val="16"/>
                <w:szCs w:val="16"/>
                <w:lang w:eastAsia="fr-FR"/>
              </w:rPr>
              <w:t>2021</w:t>
            </w:r>
          </w:p>
        </w:tc>
        <w:tc>
          <w:tcPr>
            <w:tcW w:w="861" w:type="dxa"/>
            <w:tcBorders>
              <w:top w:val="nil"/>
              <w:left w:val="nil"/>
              <w:bottom w:val="single" w:sz="4" w:space="0" w:color="auto"/>
              <w:right w:val="single" w:sz="4" w:space="0" w:color="auto"/>
            </w:tcBorders>
            <w:shd w:val="clear" w:color="auto" w:fill="auto"/>
            <w:vAlign w:val="center"/>
          </w:tcPr>
          <w:p w14:paraId="25833F11" w14:textId="0FC9F22A" w:rsidR="0057244F" w:rsidRPr="009D4CD4" w:rsidRDefault="0057244F" w:rsidP="001C1A8E">
            <w:pPr>
              <w:spacing w:after="0" w:line="240" w:lineRule="auto"/>
              <w:jc w:val="left"/>
              <w:rPr>
                <w:rFonts w:eastAsia="Times New Roman"/>
                <w:b/>
                <w:bCs/>
                <w:sz w:val="16"/>
                <w:szCs w:val="16"/>
                <w:lang w:eastAsia="fr-FR"/>
              </w:rPr>
            </w:pPr>
            <w:r w:rsidRPr="009D4CD4">
              <w:rPr>
                <w:rFonts w:eastAsia="Times New Roman"/>
                <w:b/>
                <w:bCs/>
                <w:sz w:val="16"/>
                <w:szCs w:val="16"/>
                <w:lang w:eastAsia="fr-FR"/>
              </w:rPr>
              <w:t>2020</w:t>
            </w:r>
          </w:p>
        </w:tc>
        <w:tc>
          <w:tcPr>
            <w:tcW w:w="862" w:type="dxa"/>
            <w:tcBorders>
              <w:top w:val="nil"/>
              <w:left w:val="nil"/>
              <w:bottom w:val="single" w:sz="4" w:space="0" w:color="auto"/>
              <w:right w:val="single" w:sz="4" w:space="0" w:color="auto"/>
            </w:tcBorders>
            <w:shd w:val="clear" w:color="auto" w:fill="auto"/>
            <w:vAlign w:val="center"/>
            <w:hideMark/>
          </w:tcPr>
          <w:p w14:paraId="37173024" w14:textId="4D7DCBA9" w:rsidR="0057244F" w:rsidRPr="009D4CD4" w:rsidRDefault="0057244F" w:rsidP="001C1A8E">
            <w:pPr>
              <w:spacing w:after="0" w:line="240" w:lineRule="auto"/>
              <w:jc w:val="left"/>
              <w:rPr>
                <w:rFonts w:eastAsia="Times New Roman"/>
                <w:b/>
                <w:bCs/>
                <w:sz w:val="16"/>
                <w:szCs w:val="16"/>
                <w:lang w:eastAsia="fr-FR"/>
              </w:rPr>
            </w:pPr>
            <w:r w:rsidRPr="009D4CD4">
              <w:rPr>
                <w:rFonts w:eastAsia="Times New Roman"/>
                <w:b/>
                <w:bCs/>
                <w:sz w:val="16"/>
                <w:szCs w:val="16"/>
                <w:lang w:eastAsia="fr-FR"/>
              </w:rPr>
              <w:t>2019</w:t>
            </w:r>
          </w:p>
        </w:tc>
        <w:tc>
          <w:tcPr>
            <w:tcW w:w="861" w:type="dxa"/>
            <w:tcBorders>
              <w:top w:val="nil"/>
              <w:left w:val="single" w:sz="4" w:space="0" w:color="auto"/>
              <w:bottom w:val="single" w:sz="4" w:space="0" w:color="auto"/>
              <w:right w:val="single" w:sz="4" w:space="0" w:color="auto"/>
            </w:tcBorders>
            <w:shd w:val="clear" w:color="auto" w:fill="auto"/>
            <w:vAlign w:val="center"/>
          </w:tcPr>
          <w:p w14:paraId="0F9E9B10" w14:textId="241EB11C" w:rsidR="0057244F" w:rsidRPr="009D4CD4" w:rsidRDefault="0057244F" w:rsidP="001C1A8E">
            <w:pPr>
              <w:spacing w:after="0" w:line="240" w:lineRule="auto"/>
              <w:jc w:val="left"/>
              <w:rPr>
                <w:rFonts w:eastAsia="Times New Roman"/>
                <w:b/>
                <w:bCs/>
                <w:sz w:val="16"/>
                <w:szCs w:val="16"/>
                <w:lang w:eastAsia="fr-FR"/>
              </w:rPr>
            </w:pPr>
            <w:r w:rsidRPr="009D4CD4">
              <w:rPr>
                <w:rFonts w:eastAsia="Times New Roman"/>
                <w:b/>
                <w:bCs/>
                <w:sz w:val="16"/>
                <w:szCs w:val="16"/>
                <w:lang w:eastAsia="fr-FR"/>
              </w:rPr>
              <w:t>21 IST</w:t>
            </w:r>
          </w:p>
        </w:tc>
        <w:tc>
          <w:tcPr>
            <w:tcW w:w="861" w:type="dxa"/>
            <w:tcBorders>
              <w:top w:val="nil"/>
              <w:left w:val="nil"/>
              <w:bottom w:val="single" w:sz="4" w:space="0" w:color="auto"/>
              <w:right w:val="single" w:sz="4" w:space="0" w:color="auto"/>
            </w:tcBorders>
          </w:tcPr>
          <w:p w14:paraId="4226C80A" w14:textId="48649A39" w:rsidR="0057244F" w:rsidRPr="009D4CD4" w:rsidRDefault="0057244F" w:rsidP="001C1A8E">
            <w:pPr>
              <w:spacing w:after="0" w:line="240" w:lineRule="auto"/>
              <w:jc w:val="left"/>
              <w:rPr>
                <w:rFonts w:eastAsia="Times New Roman"/>
                <w:b/>
                <w:bCs/>
                <w:sz w:val="16"/>
                <w:szCs w:val="16"/>
                <w:lang w:eastAsia="fr-FR"/>
              </w:rPr>
            </w:pPr>
            <w:r w:rsidRPr="009D4CD4">
              <w:rPr>
                <w:rFonts w:eastAsia="Times New Roman"/>
                <w:b/>
                <w:bCs/>
                <w:sz w:val="16"/>
                <w:szCs w:val="16"/>
                <w:lang w:eastAsia="fr-FR"/>
              </w:rPr>
              <w:t>21 : EDK</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52AF8150" w14:textId="510183B6" w:rsidR="0057244F" w:rsidRPr="009D4CD4" w:rsidRDefault="0057244F" w:rsidP="001C1A8E">
            <w:pPr>
              <w:spacing w:after="0" w:line="240" w:lineRule="auto"/>
              <w:jc w:val="left"/>
              <w:rPr>
                <w:rFonts w:eastAsia="Times New Roman"/>
                <w:b/>
                <w:bCs/>
                <w:sz w:val="16"/>
                <w:szCs w:val="16"/>
                <w:lang w:eastAsia="fr-FR"/>
              </w:rPr>
            </w:pPr>
            <w:r w:rsidRPr="009D4CD4">
              <w:rPr>
                <w:rFonts w:eastAsia="Times New Roman"/>
                <w:b/>
                <w:bCs/>
                <w:sz w:val="16"/>
                <w:szCs w:val="16"/>
                <w:lang w:eastAsia="fr-FR"/>
              </w:rPr>
              <w:t>2020</w:t>
            </w:r>
          </w:p>
        </w:tc>
        <w:tc>
          <w:tcPr>
            <w:tcW w:w="861" w:type="dxa"/>
            <w:tcBorders>
              <w:top w:val="nil"/>
              <w:left w:val="nil"/>
              <w:bottom w:val="single" w:sz="4" w:space="0" w:color="auto"/>
              <w:right w:val="single" w:sz="4" w:space="0" w:color="auto"/>
            </w:tcBorders>
            <w:shd w:val="clear" w:color="auto" w:fill="auto"/>
            <w:vAlign w:val="center"/>
            <w:hideMark/>
          </w:tcPr>
          <w:p w14:paraId="3200C55C" w14:textId="14819246" w:rsidR="0057244F" w:rsidRPr="009D4CD4" w:rsidRDefault="0057244F" w:rsidP="001C1A8E">
            <w:pPr>
              <w:spacing w:after="0" w:line="240" w:lineRule="auto"/>
              <w:jc w:val="left"/>
              <w:rPr>
                <w:rFonts w:eastAsia="Times New Roman"/>
                <w:b/>
                <w:bCs/>
                <w:sz w:val="16"/>
                <w:szCs w:val="16"/>
                <w:lang w:eastAsia="fr-FR"/>
              </w:rPr>
            </w:pPr>
            <w:r w:rsidRPr="009D4CD4">
              <w:rPr>
                <w:rFonts w:eastAsia="Times New Roman"/>
                <w:b/>
                <w:bCs/>
                <w:sz w:val="16"/>
                <w:szCs w:val="16"/>
                <w:lang w:eastAsia="fr-FR"/>
              </w:rPr>
              <w:t>2019</w:t>
            </w:r>
          </w:p>
        </w:tc>
      </w:tr>
      <w:tr w:rsidR="003972E4" w:rsidRPr="009D4CD4" w14:paraId="1A0E432C" w14:textId="77777777" w:rsidTr="00677357">
        <w:trPr>
          <w:trHeight w:hRule="exact" w:val="284"/>
        </w:trPr>
        <w:tc>
          <w:tcPr>
            <w:tcW w:w="28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A2B8C5" w14:textId="77777777" w:rsidR="003972E4" w:rsidRPr="009D4CD4" w:rsidRDefault="003972E4" w:rsidP="003972E4">
            <w:pPr>
              <w:spacing w:after="0" w:line="240" w:lineRule="auto"/>
              <w:jc w:val="left"/>
              <w:rPr>
                <w:rFonts w:eastAsia="Times New Roman"/>
                <w:sz w:val="18"/>
                <w:szCs w:val="18"/>
                <w:lang w:eastAsia="fr-FR"/>
              </w:rPr>
            </w:pPr>
            <w:r w:rsidRPr="009D4CD4">
              <w:rPr>
                <w:rFonts w:eastAsia="Times New Roman"/>
                <w:sz w:val="18"/>
                <w:szCs w:val="18"/>
                <w:lang w:eastAsia="fr-FR"/>
              </w:rPr>
              <w:t>Rappel Effectif total</w:t>
            </w:r>
          </w:p>
        </w:tc>
        <w:tc>
          <w:tcPr>
            <w:tcW w:w="861" w:type="dxa"/>
            <w:tcBorders>
              <w:top w:val="nil"/>
              <w:left w:val="single" w:sz="4" w:space="0" w:color="auto"/>
              <w:bottom w:val="single" w:sz="4" w:space="0" w:color="auto"/>
              <w:right w:val="single" w:sz="4" w:space="0" w:color="auto"/>
            </w:tcBorders>
            <w:shd w:val="clear" w:color="auto" w:fill="auto"/>
            <w:vAlign w:val="center"/>
          </w:tcPr>
          <w:p w14:paraId="7897365A" w14:textId="750C7498"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2149</w:t>
            </w:r>
          </w:p>
        </w:tc>
        <w:tc>
          <w:tcPr>
            <w:tcW w:w="861" w:type="dxa"/>
            <w:tcBorders>
              <w:top w:val="nil"/>
              <w:left w:val="nil"/>
              <w:bottom w:val="single" w:sz="4" w:space="0" w:color="auto"/>
              <w:right w:val="single" w:sz="4" w:space="0" w:color="auto"/>
            </w:tcBorders>
            <w:shd w:val="clear" w:color="auto" w:fill="auto"/>
            <w:vAlign w:val="center"/>
          </w:tcPr>
          <w:p w14:paraId="5C0D2443" w14:textId="6DFAE14B"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2100</w:t>
            </w:r>
          </w:p>
        </w:tc>
        <w:tc>
          <w:tcPr>
            <w:tcW w:w="862" w:type="dxa"/>
            <w:tcBorders>
              <w:top w:val="nil"/>
              <w:left w:val="nil"/>
              <w:bottom w:val="single" w:sz="4" w:space="0" w:color="auto"/>
              <w:right w:val="single" w:sz="4" w:space="0" w:color="auto"/>
            </w:tcBorders>
            <w:shd w:val="clear" w:color="auto" w:fill="auto"/>
            <w:vAlign w:val="center"/>
            <w:hideMark/>
          </w:tcPr>
          <w:p w14:paraId="7F350B0F" w14:textId="78DBEFF1"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2120</w:t>
            </w:r>
          </w:p>
        </w:tc>
        <w:tc>
          <w:tcPr>
            <w:tcW w:w="861" w:type="dxa"/>
            <w:tcBorders>
              <w:top w:val="nil"/>
              <w:left w:val="single" w:sz="4" w:space="0" w:color="auto"/>
              <w:bottom w:val="single" w:sz="4" w:space="0" w:color="auto"/>
              <w:right w:val="single" w:sz="4" w:space="0" w:color="auto"/>
            </w:tcBorders>
            <w:shd w:val="clear" w:color="auto" w:fill="auto"/>
            <w:vAlign w:val="center"/>
          </w:tcPr>
          <w:p w14:paraId="30F62DCB" w14:textId="63EBE2ED"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71</w:t>
            </w:r>
          </w:p>
        </w:tc>
        <w:tc>
          <w:tcPr>
            <w:tcW w:w="861" w:type="dxa"/>
            <w:tcBorders>
              <w:top w:val="nil"/>
              <w:left w:val="nil"/>
              <w:bottom w:val="single" w:sz="4" w:space="0" w:color="auto"/>
              <w:right w:val="single" w:sz="4" w:space="0" w:color="auto"/>
            </w:tcBorders>
            <w:vAlign w:val="center"/>
          </w:tcPr>
          <w:p w14:paraId="5BCE634F" w14:textId="20AB954A"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256</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6F479B96" w14:textId="64D50930"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364</w:t>
            </w:r>
          </w:p>
        </w:tc>
        <w:tc>
          <w:tcPr>
            <w:tcW w:w="861" w:type="dxa"/>
            <w:tcBorders>
              <w:top w:val="nil"/>
              <w:left w:val="nil"/>
              <w:bottom w:val="single" w:sz="4" w:space="0" w:color="auto"/>
              <w:right w:val="single" w:sz="4" w:space="0" w:color="auto"/>
            </w:tcBorders>
            <w:shd w:val="clear" w:color="auto" w:fill="auto"/>
            <w:vAlign w:val="center"/>
            <w:hideMark/>
          </w:tcPr>
          <w:p w14:paraId="2928B757" w14:textId="0DF88F27"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342</w:t>
            </w:r>
          </w:p>
        </w:tc>
      </w:tr>
      <w:tr w:rsidR="003972E4" w:rsidRPr="009D4CD4" w14:paraId="4CDC6F7E" w14:textId="77777777" w:rsidTr="00677357">
        <w:trPr>
          <w:trHeight w:hRule="exact" w:val="284"/>
        </w:trPr>
        <w:tc>
          <w:tcPr>
            <w:tcW w:w="2814" w:type="dxa"/>
            <w:tcBorders>
              <w:top w:val="nil"/>
              <w:left w:val="single" w:sz="4" w:space="0" w:color="auto"/>
              <w:bottom w:val="single" w:sz="4" w:space="0" w:color="auto"/>
              <w:right w:val="single" w:sz="4" w:space="0" w:color="auto"/>
            </w:tcBorders>
            <w:shd w:val="clear" w:color="auto" w:fill="auto"/>
            <w:vAlign w:val="center"/>
            <w:hideMark/>
          </w:tcPr>
          <w:p w14:paraId="3033BC29" w14:textId="77777777" w:rsidR="003972E4" w:rsidRPr="009D4CD4" w:rsidRDefault="003972E4" w:rsidP="003972E4">
            <w:pPr>
              <w:spacing w:after="0" w:line="240" w:lineRule="auto"/>
              <w:ind w:firstLineChars="300" w:firstLine="540"/>
              <w:jc w:val="left"/>
              <w:rPr>
                <w:rFonts w:eastAsia="Times New Roman"/>
                <w:sz w:val="18"/>
                <w:szCs w:val="18"/>
                <w:lang w:eastAsia="fr-FR"/>
              </w:rPr>
            </w:pPr>
            <w:r w:rsidRPr="009D4CD4">
              <w:rPr>
                <w:rFonts w:eastAsia="Times New Roman"/>
                <w:sz w:val="18"/>
                <w:szCs w:val="18"/>
                <w:lang w:eastAsia="fr-FR"/>
              </w:rPr>
              <w:t>Femmes</w:t>
            </w:r>
          </w:p>
        </w:tc>
        <w:tc>
          <w:tcPr>
            <w:tcW w:w="861" w:type="dxa"/>
            <w:tcBorders>
              <w:top w:val="nil"/>
              <w:left w:val="single" w:sz="4" w:space="0" w:color="auto"/>
              <w:bottom w:val="single" w:sz="4" w:space="0" w:color="auto"/>
              <w:right w:val="single" w:sz="4" w:space="0" w:color="auto"/>
            </w:tcBorders>
            <w:shd w:val="clear" w:color="auto" w:fill="auto"/>
            <w:vAlign w:val="center"/>
          </w:tcPr>
          <w:p w14:paraId="4BC64E2E" w14:textId="011B0214"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1339</w:t>
            </w:r>
          </w:p>
        </w:tc>
        <w:tc>
          <w:tcPr>
            <w:tcW w:w="861" w:type="dxa"/>
            <w:tcBorders>
              <w:top w:val="nil"/>
              <w:left w:val="nil"/>
              <w:bottom w:val="single" w:sz="4" w:space="0" w:color="auto"/>
              <w:right w:val="single" w:sz="4" w:space="0" w:color="auto"/>
            </w:tcBorders>
            <w:shd w:val="clear" w:color="auto" w:fill="auto"/>
            <w:vAlign w:val="center"/>
          </w:tcPr>
          <w:p w14:paraId="11B21A06" w14:textId="2890FB2B"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1303</w:t>
            </w:r>
          </w:p>
        </w:tc>
        <w:tc>
          <w:tcPr>
            <w:tcW w:w="862" w:type="dxa"/>
            <w:tcBorders>
              <w:top w:val="nil"/>
              <w:left w:val="nil"/>
              <w:bottom w:val="single" w:sz="4" w:space="0" w:color="auto"/>
              <w:right w:val="single" w:sz="4" w:space="0" w:color="auto"/>
            </w:tcBorders>
            <w:shd w:val="clear" w:color="auto" w:fill="auto"/>
            <w:vAlign w:val="center"/>
            <w:hideMark/>
          </w:tcPr>
          <w:p w14:paraId="789D0D73" w14:textId="76A04FF3"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1331</w:t>
            </w:r>
          </w:p>
        </w:tc>
        <w:tc>
          <w:tcPr>
            <w:tcW w:w="861" w:type="dxa"/>
            <w:tcBorders>
              <w:top w:val="nil"/>
              <w:left w:val="single" w:sz="4" w:space="0" w:color="auto"/>
              <w:bottom w:val="single" w:sz="4" w:space="0" w:color="auto"/>
              <w:right w:val="single" w:sz="4" w:space="0" w:color="auto"/>
            </w:tcBorders>
            <w:shd w:val="clear" w:color="auto" w:fill="auto"/>
            <w:vAlign w:val="center"/>
          </w:tcPr>
          <w:p w14:paraId="3C19FA9A" w14:textId="22A26BB7"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26</w:t>
            </w:r>
          </w:p>
        </w:tc>
        <w:tc>
          <w:tcPr>
            <w:tcW w:w="861" w:type="dxa"/>
            <w:tcBorders>
              <w:top w:val="nil"/>
              <w:left w:val="nil"/>
              <w:bottom w:val="single" w:sz="4" w:space="0" w:color="auto"/>
              <w:right w:val="single" w:sz="4" w:space="0" w:color="auto"/>
            </w:tcBorders>
            <w:vAlign w:val="center"/>
          </w:tcPr>
          <w:p w14:paraId="6DEC0FD9" w14:textId="718AFF5D"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82</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4BAFA94E" w14:textId="17C4A49E"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114</w:t>
            </w:r>
          </w:p>
        </w:tc>
        <w:tc>
          <w:tcPr>
            <w:tcW w:w="861" w:type="dxa"/>
            <w:tcBorders>
              <w:top w:val="nil"/>
              <w:left w:val="nil"/>
              <w:bottom w:val="single" w:sz="4" w:space="0" w:color="auto"/>
              <w:right w:val="single" w:sz="4" w:space="0" w:color="auto"/>
            </w:tcBorders>
            <w:shd w:val="clear" w:color="auto" w:fill="auto"/>
            <w:vAlign w:val="center"/>
            <w:hideMark/>
          </w:tcPr>
          <w:p w14:paraId="2CFEFA7E" w14:textId="5E9282ED"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104</w:t>
            </w:r>
          </w:p>
        </w:tc>
      </w:tr>
      <w:tr w:rsidR="003972E4" w:rsidRPr="009D4CD4" w14:paraId="58F0716F" w14:textId="77777777" w:rsidTr="00677357">
        <w:trPr>
          <w:trHeight w:hRule="exact" w:val="284"/>
        </w:trPr>
        <w:tc>
          <w:tcPr>
            <w:tcW w:w="2814" w:type="dxa"/>
            <w:tcBorders>
              <w:top w:val="nil"/>
              <w:left w:val="single" w:sz="4" w:space="0" w:color="auto"/>
              <w:bottom w:val="single" w:sz="4" w:space="0" w:color="auto"/>
              <w:right w:val="single" w:sz="4" w:space="0" w:color="auto"/>
            </w:tcBorders>
            <w:shd w:val="clear" w:color="auto" w:fill="auto"/>
            <w:vAlign w:val="center"/>
            <w:hideMark/>
          </w:tcPr>
          <w:p w14:paraId="3FAE05B2" w14:textId="77777777" w:rsidR="003972E4" w:rsidRPr="009D4CD4" w:rsidRDefault="003972E4" w:rsidP="003972E4">
            <w:pPr>
              <w:spacing w:after="0" w:line="240" w:lineRule="auto"/>
              <w:ind w:firstLineChars="300" w:firstLine="540"/>
              <w:jc w:val="left"/>
              <w:rPr>
                <w:rFonts w:eastAsia="Times New Roman"/>
                <w:sz w:val="18"/>
                <w:szCs w:val="18"/>
                <w:lang w:eastAsia="fr-FR"/>
              </w:rPr>
            </w:pPr>
            <w:r w:rsidRPr="009D4CD4">
              <w:rPr>
                <w:rFonts w:eastAsia="Times New Roman"/>
                <w:sz w:val="18"/>
                <w:szCs w:val="18"/>
                <w:lang w:eastAsia="fr-FR"/>
              </w:rPr>
              <w:t>Hommes</w:t>
            </w:r>
          </w:p>
        </w:tc>
        <w:tc>
          <w:tcPr>
            <w:tcW w:w="861" w:type="dxa"/>
            <w:tcBorders>
              <w:top w:val="nil"/>
              <w:left w:val="single" w:sz="4" w:space="0" w:color="auto"/>
              <w:bottom w:val="single" w:sz="4" w:space="0" w:color="auto"/>
              <w:right w:val="single" w:sz="4" w:space="0" w:color="auto"/>
            </w:tcBorders>
            <w:shd w:val="clear" w:color="auto" w:fill="auto"/>
            <w:vAlign w:val="center"/>
          </w:tcPr>
          <w:p w14:paraId="121D5E1A" w14:textId="2450D0ED"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810</w:t>
            </w:r>
          </w:p>
        </w:tc>
        <w:tc>
          <w:tcPr>
            <w:tcW w:w="861" w:type="dxa"/>
            <w:tcBorders>
              <w:top w:val="nil"/>
              <w:left w:val="nil"/>
              <w:bottom w:val="single" w:sz="4" w:space="0" w:color="auto"/>
              <w:right w:val="single" w:sz="4" w:space="0" w:color="auto"/>
            </w:tcBorders>
            <w:shd w:val="clear" w:color="auto" w:fill="auto"/>
            <w:vAlign w:val="center"/>
          </w:tcPr>
          <w:p w14:paraId="0BAFB628" w14:textId="7F281755"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797</w:t>
            </w:r>
          </w:p>
        </w:tc>
        <w:tc>
          <w:tcPr>
            <w:tcW w:w="862" w:type="dxa"/>
            <w:tcBorders>
              <w:top w:val="nil"/>
              <w:left w:val="nil"/>
              <w:bottom w:val="single" w:sz="4" w:space="0" w:color="auto"/>
              <w:right w:val="single" w:sz="4" w:space="0" w:color="auto"/>
            </w:tcBorders>
            <w:shd w:val="clear" w:color="auto" w:fill="auto"/>
            <w:vAlign w:val="center"/>
            <w:hideMark/>
          </w:tcPr>
          <w:p w14:paraId="6EEBE489" w14:textId="5D51765C"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789</w:t>
            </w:r>
          </w:p>
        </w:tc>
        <w:tc>
          <w:tcPr>
            <w:tcW w:w="861" w:type="dxa"/>
            <w:tcBorders>
              <w:top w:val="nil"/>
              <w:left w:val="single" w:sz="4" w:space="0" w:color="auto"/>
              <w:bottom w:val="single" w:sz="4" w:space="0" w:color="auto"/>
              <w:right w:val="single" w:sz="4" w:space="0" w:color="auto"/>
            </w:tcBorders>
            <w:shd w:val="clear" w:color="auto" w:fill="auto"/>
            <w:vAlign w:val="center"/>
          </w:tcPr>
          <w:p w14:paraId="6AAB4AF6" w14:textId="3E3FE925"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45</w:t>
            </w:r>
          </w:p>
        </w:tc>
        <w:tc>
          <w:tcPr>
            <w:tcW w:w="861" w:type="dxa"/>
            <w:tcBorders>
              <w:top w:val="nil"/>
              <w:left w:val="nil"/>
              <w:bottom w:val="single" w:sz="4" w:space="0" w:color="auto"/>
              <w:right w:val="single" w:sz="4" w:space="0" w:color="auto"/>
            </w:tcBorders>
            <w:vAlign w:val="center"/>
          </w:tcPr>
          <w:p w14:paraId="7E061989" w14:textId="7C73778F"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174</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4867AE7C" w14:textId="1428D87E"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250</w:t>
            </w:r>
          </w:p>
        </w:tc>
        <w:tc>
          <w:tcPr>
            <w:tcW w:w="861" w:type="dxa"/>
            <w:tcBorders>
              <w:top w:val="nil"/>
              <w:left w:val="nil"/>
              <w:bottom w:val="single" w:sz="4" w:space="0" w:color="auto"/>
              <w:right w:val="single" w:sz="4" w:space="0" w:color="auto"/>
            </w:tcBorders>
            <w:shd w:val="clear" w:color="auto" w:fill="auto"/>
            <w:vAlign w:val="center"/>
            <w:hideMark/>
          </w:tcPr>
          <w:p w14:paraId="4C9DB332" w14:textId="1E0976C7"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238</w:t>
            </w:r>
          </w:p>
        </w:tc>
      </w:tr>
      <w:tr w:rsidR="003972E4" w:rsidRPr="009D4CD4" w14:paraId="4A3EDD0F" w14:textId="77777777" w:rsidTr="00677357">
        <w:trPr>
          <w:trHeight w:hRule="exact" w:val="284"/>
        </w:trPr>
        <w:tc>
          <w:tcPr>
            <w:tcW w:w="2814" w:type="dxa"/>
            <w:tcBorders>
              <w:top w:val="nil"/>
              <w:left w:val="single" w:sz="4" w:space="0" w:color="auto"/>
              <w:bottom w:val="single" w:sz="4" w:space="0" w:color="auto"/>
              <w:right w:val="single" w:sz="4" w:space="0" w:color="auto"/>
            </w:tcBorders>
            <w:shd w:val="clear" w:color="auto" w:fill="auto"/>
            <w:vAlign w:val="center"/>
            <w:hideMark/>
          </w:tcPr>
          <w:p w14:paraId="1B3C9B39" w14:textId="77777777" w:rsidR="003972E4" w:rsidRPr="009D4CD4" w:rsidRDefault="003972E4" w:rsidP="003972E4">
            <w:pPr>
              <w:spacing w:after="0" w:line="240" w:lineRule="auto"/>
              <w:jc w:val="left"/>
              <w:rPr>
                <w:rFonts w:eastAsia="Times New Roman"/>
                <w:sz w:val="18"/>
                <w:szCs w:val="18"/>
                <w:lang w:eastAsia="fr-FR"/>
              </w:rPr>
            </w:pPr>
            <w:r w:rsidRPr="009D4CD4">
              <w:rPr>
                <w:rFonts w:eastAsia="Times New Roman"/>
                <w:sz w:val="18"/>
                <w:szCs w:val="18"/>
                <w:lang w:eastAsia="fr-FR"/>
              </w:rPr>
              <w:t>Rappel Recrutements (CDI)</w:t>
            </w:r>
          </w:p>
        </w:tc>
        <w:tc>
          <w:tcPr>
            <w:tcW w:w="861" w:type="dxa"/>
            <w:tcBorders>
              <w:top w:val="nil"/>
              <w:left w:val="single" w:sz="4" w:space="0" w:color="auto"/>
              <w:bottom w:val="single" w:sz="4" w:space="0" w:color="auto"/>
              <w:right w:val="single" w:sz="4" w:space="0" w:color="auto"/>
            </w:tcBorders>
            <w:shd w:val="clear" w:color="auto" w:fill="auto"/>
            <w:vAlign w:val="center"/>
          </w:tcPr>
          <w:p w14:paraId="7F1BA2C2" w14:textId="3A0A0C03"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113</w:t>
            </w:r>
          </w:p>
        </w:tc>
        <w:tc>
          <w:tcPr>
            <w:tcW w:w="861" w:type="dxa"/>
            <w:tcBorders>
              <w:top w:val="nil"/>
              <w:left w:val="nil"/>
              <w:bottom w:val="single" w:sz="4" w:space="0" w:color="auto"/>
              <w:right w:val="single" w:sz="4" w:space="0" w:color="auto"/>
            </w:tcBorders>
            <w:shd w:val="clear" w:color="auto" w:fill="auto"/>
            <w:vAlign w:val="center"/>
          </w:tcPr>
          <w:p w14:paraId="623FF080" w14:textId="19368024"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81</w:t>
            </w:r>
          </w:p>
        </w:tc>
        <w:tc>
          <w:tcPr>
            <w:tcW w:w="862" w:type="dxa"/>
            <w:tcBorders>
              <w:top w:val="nil"/>
              <w:left w:val="nil"/>
              <w:bottom w:val="single" w:sz="4" w:space="0" w:color="auto"/>
              <w:right w:val="single" w:sz="4" w:space="0" w:color="auto"/>
            </w:tcBorders>
            <w:shd w:val="clear" w:color="auto" w:fill="auto"/>
            <w:vAlign w:val="center"/>
            <w:hideMark/>
          </w:tcPr>
          <w:p w14:paraId="49FA3A70" w14:textId="28EB4D1F"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125</w:t>
            </w:r>
          </w:p>
        </w:tc>
        <w:tc>
          <w:tcPr>
            <w:tcW w:w="861" w:type="dxa"/>
            <w:tcBorders>
              <w:top w:val="nil"/>
              <w:left w:val="single" w:sz="4" w:space="0" w:color="auto"/>
              <w:bottom w:val="single" w:sz="4" w:space="0" w:color="auto"/>
              <w:right w:val="single" w:sz="4" w:space="0" w:color="auto"/>
            </w:tcBorders>
            <w:shd w:val="clear" w:color="auto" w:fill="auto"/>
            <w:vAlign w:val="center"/>
          </w:tcPr>
          <w:p w14:paraId="1FA0AFA9" w14:textId="1AD48D68"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w:t>
            </w:r>
          </w:p>
        </w:tc>
        <w:tc>
          <w:tcPr>
            <w:tcW w:w="861" w:type="dxa"/>
            <w:tcBorders>
              <w:top w:val="nil"/>
              <w:left w:val="nil"/>
              <w:bottom w:val="single" w:sz="4" w:space="0" w:color="auto"/>
              <w:right w:val="single" w:sz="4" w:space="0" w:color="auto"/>
            </w:tcBorders>
            <w:vAlign w:val="center"/>
          </w:tcPr>
          <w:p w14:paraId="08390A59" w14:textId="74BEB4FD"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23</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727F991E" w14:textId="4B0E8CB6"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41</w:t>
            </w:r>
          </w:p>
        </w:tc>
        <w:tc>
          <w:tcPr>
            <w:tcW w:w="861" w:type="dxa"/>
            <w:tcBorders>
              <w:top w:val="nil"/>
              <w:left w:val="nil"/>
              <w:bottom w:val="single" w:sz="4" w:space="0" w:color="auto"/>
              <w:right w:val="single" w:sz="4" w:space="0" w:color="auto"/>
            </w:tcBorders>
            <w:shd w:val="clear" w:color="auto" w:fill="auto"/>
            <w:vAlign w:val="center"/>
            <w:hideMark/>
          </w:tcPr>
          <w:p w14:paraId="242212FB" w14:textId="1100CECA"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36</w:t>
            </w:r>
          </w:p>
        </w:tc>
      </w:tr>
      <w:tr w:rsidR="003972E4" w:rsidRPr="009D4CD4" w14:paraId="32BAEA72" w14:textId="77777777" w:rsidTr="00677357">
        <w:trPr>
          <w:trHeight w:hRule="exact" w:val="284"/>
        </w:trPr>
        <w:tc>
          <w:tcPr>
            <w:tcW w:w="2814" w:type="dxa"/>
            <w:tcBorders>
              <w:top w:val="nil"/>
              <w:left w:val="single" w:sz="4" w:space="0" w:color="auto"/>
              <w:bottom w:val="single" w:sz="4" w:space="0" w:color="auto"/>
              <w:right w:val="single" w:sz="4" w:space="0" w:color="auto"/>
            </w:tcBorders>
            <w:shd w:val="clear" w:color="auto" w:fill="auto"/>
            <w:vAlign w:val="center"/>
            <w:hideMark/>
          </w:tcPr>
          <w:p w14:paraId="68B352ED" w14:textId="77777777" w:rsidR="003972E4" w:rsidRPr="009D4CD4" w:rsidRDefault="003972E4" w:rsidP="003972E4">
            <w:pPr>
              <w:spacing w:after="0" w:line="240" w:lineRule="auto"/>
              <w:ind w:firstLineChars="300" w:firstLine="540"/>
              <w:jc w:val="left"/>
              <w:rPr>
                <w:rFonts w:eastAsia="Times New Roman"/>
                <w:sz w:val="18"/>
                <w:szCs w:val="18"/>
                <w:lang w:eastAsia="fr-FR"/>
              </w:rPr>
            </w:pPr>
            <w:r w:rsidRPr="009D4CD4">
              <w:rPr>
                <w:rFonts w:eastAsia="Times New Roman"/>
                <w:sz w:val="18"/>
                <w:szCs w:val="18"/>
                <w:lang w:eastAsia="fr-FR"/>
              </w:rPr>
              <w:t>Femmes</w:t>
            </w:r>
          </w:p>
        </w:tc>
        <w:tc>
          <w:tcPr>
            <w:tcW w:w="861" w:type="dxa"/>
            <w:tcBorders>
              <w:top w:val="nil"/>
              <w:left w:val="single" w:sz="4" w:space="0" w:color="auto"/>
              <w:bottom w:val="single" w:sz="4" w:space="0" w:color="auto"/>
              <w:right w:val="single" w:sz="4" w:space="0" w:color="auto"/>
            </w:tcBorders>
            <w:shd w:val="clear" w:color="auto" w:fill="auto"/>
            <w:vAlign w:val="center"/>
          </w:tcPr>
          <w:p w14:paraId="42813D11" w14:textId="29553323"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60</w:t>
            </w:r>
          </w:p>
        </w:tc>
        <w:tc>
          <w:tcPr>
            <w:tcW w:w="861" w:type="dxa"/>
            <w:tcBorders>
              <w:top w:val="nil"/>
              <w:left w:val="nil"/>
              <w:bottom w:val="single" w:sz="4" w:space="0" w:color="auto"/>
              <w:right w:val="single" w:sz="4" w:space="0" w:color="auto"/>
            </w:tcBorders>
            <w:shd w:val="clear" w:color="auto" w:fill="auto"/>
            <w:vAlign w:val="center"/>
          </w:tcPr>
          <w:p w14:paraId="73108F63" w14:textId="65FA66DE"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55</w:t>
            </w:r>
          </w:p>
        </w:tc>
        <w:tc>
          <w:tcPr>
            <w:tcW w:w="862" w:type="dxa"/>
            <w:tcBorders>
              <w:top w:val="nil"/>
              <w:left w:val="nil"/>
              <w:bottom w:val="single" w:sz="4" w:space="0" w:color="auto"/>
              <w:right w:val="single" w:sz="4" w:space="0" w:color="auto"/>
            </w:tcBorders>
            <w:shd w:val="clear" w:color="auto" w:fill="auto"/>
            <w:vAlign w:val="center"/>
            <w:hideMark/>
          </w:tcPr>
          <w:p w14:paraId="5D59BD7A" w14:textId="5C4AE86F"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74</w:t>
            </w:r>
          </w:p>
        </w:tc>
        <w:tc>
          <w:tcPr>
            <w:tcW w:w="861" w:type="dxa"/>
            <w:tcBorders>
              <w:top w:val="nil"/>
              <w:left w:val="single" w:sz="4" w:space="0" w:color="auto"/>
              <w:bottom w:val="single" w:sz="4" w:space="0" w:color="auto"/>
              <w:right w:val="single" w:sz="4" w:space="0" w:color="auto"/>
            </w:tcBorders>
            <w:shd w:val="clear" w:color="auto" w:fill="auto"/>
            <w:vAlign w:val="center"/>
          </w:tcPr>
          <w:p w14:paraId="56C6DC8B" w14:textId="3C09ED31"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5</w:t>
            </w:r>
          </w:p>
        </w:tc>
        <w:tc>
          <w:tcPr>
            <w:tcW w:w="861" w:type="dxa"/>
            <w:tcBorders>
              <w:top w:val="nil"/>
              <w:left w:val="nil"/>
              <w:bottom w:val="single" w:sz="4" w:space="0" w:color="auto"/>
              <w:right w:val="single" w:sz="4" w:space="0" w:color="auto"/>
            </w:tcBorders>
            <w:vAlign w:val="center"/>
          </w:tcPr>
          <w:p w14:paraId="5630AC3E" w14:textId="53323A7B"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16</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26079791" w14:textId="0F4E9ED9"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17</w:t>
            </w:r>
          </w:p>
        </w:tc>
        <w:tc>
          <w:tcPr>
            <w:tcW w:w="861" w:type="dxa"/>
            <w:tcBorders>
              <w:top w:val="nil"/>
              <w:left w:val="nil"/>
              <w:bottom w:val="single" w:sz="4" w:space="0" w:color="auto"/>
              <w:right w:val="single" w:sz="4" w:space="0" w:color="auto"/>
            </w:tcBorders>
            <w:shd w:val="clear" w:color="auto" w:fill="auto"/>
            <w:vAlign w:val="center"/>
            <w:hideMark/>
          </w:tcPr>
          <w:p w14:paraId="0C4E4BB4" w14:textId="3DD18EA8"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16</w:t>
            </w:r>
          </w:p>
        </w:tc>
      </w:tr>
      <w:tr w:rsidR="003972E4" w:rsidRPr="009D4CD4" w14:paraId="0E2BC6C7" w14:textId="77777777" w:rsidTr="00677357">
        <w:trPr>
          <w:trHeight w:hRule="exact" w:val="284"/>
        </w:trPr>
        <w:tc>
          <w:tcPr>
            <w:tcW w:w="2814" w:type="dxa"/>
            <w:tcBorders>
              <w:top w:val="nil"/>
              <w:left w:val="single" w:sz="4" w:space="0" w:color="auto"/>
              <w:bottom w:val="single" w:sz="4" w:space="0" w:color="auto"/>
              <w:right w:val="single" w:sz="4" w:space="0" w:color="auto"/>
            </w:tcBorders>
            <w:shd w:val="clear" w:color="auto" w:fill="auto"/>
            <w:vAlign w:val="center"/>
            <w:hideMark/>
          </w:tcPr>
          <w:p w14:paraId="47C0D7C7" w14:textId="77777777" w:rsidR="003972E4" w:rsidRPr="009D4CD4" w:rsidRDefault="003972E4" w:rsidP="003972E4">
            <w:pPr>
              <w:spacing w:after="0" w:line="240" w:lineRule="auto"/>
              <w:ind w:firstLineChars="300" w:firstLine="540"/>
              <w:jc w:val="left"/>
              <w:rPr>
                <w:rFonts w:eastAsia="Times New Roman"/>
                <w:sz w:val="18"/>
                <w:szCs w:val="18"/>
                <w:lang w:eastAsia="fr-FR"/>
              </w:rPr>
            </w:pPr>
            <w:r w:rsidRPr="009D4CD4">
              <w:rPr>
                <w:rFonts w:eastAsia="Times New Roman"/>
                <w:sz w:val="18"/>
                <w:szCs w:val="18"/>
                <w:lang w:eastAsia="fr-FR"/>
              </w:rPr>
              <w:t>Hommes</w:t>
            </w:r>
          </w:p>
        </w:tc>
        <w:tc>
          <w:tcPr>
            <w:tcW w:w="861" w:type="dxa"/>
            <w:tcBorders>
              <w:top w:val="nil"/>
              <w:left w:val="single" w:sz="4" w:space="0" w:color="auto"/>
              <w:bottom w:val="single" w:sz="4" w:space="0" w:color="auto"/>
              <w:right w:val="single" w:sz="4" w:space="0" w:color="auto"/>
            </w:tcBorders>
            <w:shd w:val="clear" w:color="auto" w:fill="auto"/>
            <w:vAlign w:val="center"/>
          </w:tcPr>
          <w:p w14:paraId="4C22C841" w14:textId="5F47BD8C"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53</w:t>
            </w:r>
          </w:p>
        </w:tc>
        <w:tc>
          <w:tcPr>
            <w:tcW w:w="861" w:type="dxa"/>
            <w:tcBorders>
              <w:top w:val="nil"/>
              <w:left w:val="nil"/>
              <w:bottom w:val="single" w:sz="4" w:space="0" w:color="auto"/>
              <w:right w:val="single" w:sz="4" w:space="0" w:color="auto"/>
            </w:tcBorders>
            <w:shd w:val="clear" w:color="auto" w:fill="auto"/>
            <w:vAlign w:val="center"/>
          </w:tcPr>
          <w:p w14:paraId="6D695315" w14:textId="40C3D579"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26</w:t>
            </w:r>
          </w:p>
        </w:tc>
        <w:tc>
          <w:tcPr>
            <w:tcW w:w="862" w:type="dxa"/>
            <w:tcBorders>
              <w:top w:val="nil"/>
              <w:left w:val="nil"/>
              <w:bottom w:val="single" w:sz="4" w:space="0" w:color="auto"/>
              <w:right w:val="single" w:sz="4" w:space="0" w:color="auto"/>
            </w:tcBorders>
            <w:shd w:val="clear" w:color="auto" w:fill="auto"/>
            <w:vAlign w:val="center"/>
            <w:hideMark/>
          </w:tcPr>
          <w:p w14:paraId="7CA534ED" w14:textId="663C2097"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51</w:t>
            </w:r>
          </w:p>
        </w:tc>
        <w:tc>
          <w:tcPr>
            <w:tcW w:w="861" w:type="dxa"/>
            <w:tcBorders>
              <w:top w:val="nil"/>
              <w:left w:val="single" w:sz="4" w:space="0" w:color="auto"/>
              <w:bottom w:val="single" w:sz="4" w:space="0" w:color="auto"/>
              <w:right w:val="single" w:sz="4" w:space="0" w:color="auto"/>
            </w:tcBorders>
            <w:shd w:val="clear" w:color="auto" w:fill="auto"/>
            <w:vAlign w:val="center"/>
          </w:tcPr>
          <w:p w14:paraId="68EC624E" w14:textId="65171674"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w:t>
            </w:r>
          </w:p>
        </w:tc>
        <w:tc>
          <w:tcPr>
            <w:tcW w:w="861" w:type="dxa"/>
            <w:tcBorders>
              <w:top w:val="nil"/>
              <w:left w:val="nil"/>
              <w:bottom w:val="single" w:sz="4" w:space="0" w:color="auto"/>
              <w:right w:val="single" w:sz="4" w:space="0" w:color="auto"/>
            </w:tcBorders>
            <w:vAlign w:val="center"/>
          </w:tcPr>
          <w:p w14:paraId="2DFB1B91" w14:textId="48FA622A"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7</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4F842E11" w14:textId="244CB652"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24</w:t>
            </w:r>
          </w:p>
        </w:tc>
        <w:tc>
          <w:tcPr>
            <w:tcW w:w="861" w:type="dxa"/>
            <w:tcBorders>
              <w:top w:val="nil"/>
              <w:left w:val="nil"/>
              <w:bottom w:val="single" w:sz="4" w:space="0" w:color="auto"/>
              <w:right w:val="single" w:sz="4" w:space="0" w:color="auto"/>
            </w:tcBorders>
            <w:shd w:val="clear" w:color="auto" w:fill="auto"/>
            <w:vAlign w:val="center"/>
            <w:hideMark/>
          </w:tcPr>
          <w:p w14:paraId="1CE812F3" w14:textId="0DAB1527"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20</w:t>
            </w:r>
          </w:p>
        </w:tc>
      </w:tr>
      <w:tr w:rsidR="003972E4" w:rsidRPr="009D4CD4" w14:paraId="2E2D3FA0" w14:textId="77777777" w:rsidTr="00677357">
        <w:trPr>
          <w:trHeight w:hRule="exact" w:val="284"/>
        </w:trPr>
        <w:tc>
          <w:tcPr>
            <w:tcW w:w="2814" w:type="dxa"/>
            <w:tcBorders>
              <w:top w:val="nil"/>
              <w:left w:val="single" w:sz="4" w:space="0" w:color="auto"/>
              <w:bottom w:val="single" w:sz="4" w:space="0" w:color="auto"/>
              <w:right w:val="single" w:sz="4" w:space="0" w:color="auto"/>
            </w:tcBorders>
            <w:shd w:val="clear" w:color="auto" w:fill="auto"/>
            <w:vAlign w:val="center"/>
            <w:hideMark/>
          </w:tcPr>
          <w:p w14:paraId="4075733F" w14:textId="687A6FE9" w:rsidR="003972E4" w:rsidRPr="009D4CD4" w:rsidRDefault="003972E4" w:rsidP="003972E4">
            <w:pPr>
              <w:spacing w:after="0" w:line="240" w:lineRule="auto"/>
              <w:jc w:val="left"/>
              <w:rPr>
                <w:rFonts w:eastAsia="Times New Roman"/>
                <w:sz w:val="18"/>
                <w:szCs w:val="18"/>
                <w:lang w:eastAsia="fr-FR"/>
              </w:rPr>
            </w:pPr>
            <w:r w:rsidRPr="009D4CD4">
              <w:rPr>
                <w:rFonts w:eastAsia="Times New Roman"/>
                <w:sz w:val="18"/>
                <w:szCs w:val="18"/>
                <w:lang w:eastAsia="fr-FR"/>
              </w:rPr>
              <w:t>Nombre de promotions</w:t>
            </w:r>
          </w:p>
        </w:tc>
        <w:tc>
          <w:tcPr>
            <w:tcW w:w="861" w:type="dxa"/>
            <w:tcBorders>
              <w:top w:val="nil"/>
              <w:left w:val="single" w:sz="4" w:space="0" w:color="auto"/>
              <w:bottom w:val="single" w:sz="4" w:space="0" w:color="auto"/>
              <w:right w:val="single" w:sz="4" w:space="0" w:color="auto"/>
            </w:tcBorders>
            <w:shd w:val="clear" w:color="auto" w:fill="auto"/>
            <w:vAlign w:val="center"/>
          </w:tcPr>
          <w:p w14:paraId="74D2FF24" w14:textId="065D1305"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279</w:t>
            </w:r>
          </w:p>
        </w:tc>
        <w:tc>
          <w:tcPr>
            <w:tcW w:w="861" w:type="dxa"/>
            <w:tcBorders>
              <w:top w:val="nil"/>
              <w:left w:val="nil"/>
              <w:bottom w:val="single" w:sz="4" w:space="0" w:color="auto"/>
              <w:right w:val="single" w:sz="4" w:space="0" w:color="auto"/>
            </w:tcBorders>
            <w:shd w:val="clear" w:color="auto" w:fill="auto"/>
            <w:vAlign w:val="center"/>
          </w:tcPr>
          <w:p w14:paraId="5D92FE50" w14:textId="2BBB3F43"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229</w:t>
            </w:r>
          </w:p>
        </w:tc>
        <w:tc>
          <w:tcPr>
            <w:tcW w:w="862" w:type="dxa"/>
            <w:tcBorders>
              <w:top w:val="nil"/>
              <w:left w:val="nil"/>
              <w:bottom w:val="single" w:sz="4" w:space="0" w:color="auto"/>
              <w:right w:val="single" w:sz="4" w:space="0" w:color="auto"/>
            </w:tcBorders>
            <w:shd w:val="clear" w:color="auto" w:fill="auto"/>
            <w:vAlign w:val="center"/>
            <w:hideMark/>
          </w:tcPr>
          <w:p w14:paraId="6B33352D" w14:textId="6979C746"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178</w:t>
            </w:r>
          </w:p>
        </w:tc>
        <w:tc>
          <w:tcPr>
            <w:tcW w:w="861" w:type="dxa"/>
            <w:tcBorders>
              <w:top w:val="nil"/>
              <w:left w:val="single" w:sz="4" w:space="0" w:color="auto"/>
              <w:bottom w:val="single" w:sz="4" w:space="0" w:color="auto"/>
              <w:right w:val="single" w:sz="4" w:space="0" w:color="auto"/>
            </w:tcBorders>
            <w:shd w:val="clear" w:color="auto" w:fill="auto"/>
            <w:vAlign w:val="center"/>
          </w:tcPr>
          <w:p w14:paraId="268BF1B1" w14:textId="74EF5F4D"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63</w:t>
            </w:r>
          </w:p>
        </w:tc>
        <w:tc>
          <w:tcPr>
            <w:tcW w:w="861" w:type="dxa"/>
            <w:tcBorders>
              <w:top w:val="nil"/>
              <w:left w:val="nil"/>
              <w:bottom w:val="single" w:sz="4" w:space="0" w:color="auto"/>
              <w:right w:val="single" w:sz="4" w:space="0" w:color="auto"/>
            </w:tcBorders>
            <w:vAlign w:val="center"/>
          </w:tcPr>
          <w:p w14:paraId="37F3D0D4" w14:textId="4894CB29"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106</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61C3CDF8" w14:textId="155D50DC"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128</w:t>
            </w:r>
          </w:p>
        </w:tc>
        <w:tc>
          <w:tcPr>
            <w:tcW w:w="861" w:type="dxa"/>
            <w:tcBorders>
              <w:top w:val="nil"/>
              <w:left w:val="nil"/>
              <w:bottom w:val="single" w:sz="4" w:space="0" w:color="auto"/>
              <w:right w:val="single" w:sz="4" w:space="0" w:color="auto"/>
            </w:tcBorders>
            <w:shd w:val="clear" w:color="auto" w:fill="auto"/>
            <w:vAlign w:val="center"/>
            <w:hideMark/>
          </w:tcPr>
          <w:p w14:paraId="2FC1858D" w14:textId="2207B967"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101</w:t>
            </w:r>
          </w:p>
        </w:tc>
      </w:tr>
      <w:tr w:rsidR="003972E4" w:rsidRPr="009D4CD4" w14:paraId="49546853" w14:textId="77777777" w:rsidTr="00677357">
        <w:trPr>
          <w:trHeight w:hRule="exact" w:val="284"/>
        </w:trPr>
        <w:tc>
          <w:tcPr>
            <w:tcW w:w="2814" w:type="dxa"/>
            <w:tcBorders>
              <w:top w:val="nil"/>
              <w:left w:val="single" w:sz="4" w:space="0" w:color="auto"/>
              <w:bottom w:val="single" w:sz="4" w:space="0" w:color="auto"/>
              <w:right w:val="single" w:sz="4" w:space="0" w:color="auto"/>
            </w:tcBorders>
            <w:shd w:val="clear" w:color="auto" w:fill="auto"/>
            <w:vAlign w:val="center"/>
            <w:hideMark/>
          </w:tcPr>
          <w:p w14:paraId="18EEA8F5" w14:textId="77777777" w:rsidR="003972E4" w:rsidRPr="009D4CD4" w:rsidRDefault="003972E4" w:rsidP="003972E4">
            <w:pPr>
              <w:spacing w:after="0" w:line="240" w:lineRule="auto"/>
              <w:ind w:firstLineChars="300" w:firstLine="540"/>
              <w:jc w:val="left"/>
              <w:rPr>
                <w:rFonts w:eastAsia="Times New Roman"/>
                <w:sz w:val="18"/>
                <w:szCs w:val="18"/>
                <w:lang w:eastAsia="fr-FR"/>
              </w:rPr>
            </w:pPr>
            <w:r w:rsidRPr="009D4CD4">
              <w:rPr>
                <w:rFonts w:eastAsia="Times New Roman"/>
                <w:sz w:val="18"/>
                <w:szCs w:val="18"/>
                <w:lang w:eastAsia="fr-FR"/>
              </w:rPr>
              <w:t>Femmes</w:t>
            </w:r>
          </w:p>
        </w:tc>
        <w:tc>
          <w:tcPr>
            <w:tcW w:w="861" w:type="dxa"/>
            <w:tcBorders>
              <w:top w:val="nil"/>
              <w:left w:val="single" w:sz="4" w:space="0" w:color="auto"/>
              <w:bottom w:val="single" w:sz="4" w:space="0" w:color="auto"/>
              <w:right w:val="single" w:sz="4" w:space="0" w:color="auto"/>
            </w:tcBorders>
            <w:shd w:val="clear" w:color="auto" w:fill="auto"/>
            <w:vAlign w:val="center"/>
          </w:tcPr>
          <w:p w14:paraId="16D46B97" w14:textId="194D21FC"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191</w:t>
            </w:r>
          </w:p>
        </w:tc>
        <w:tc>
          <w:tcPr>
            <w:tcW w:w="861" w:type="dxa"/>
            <w:tcBorders>
              <w:top w:val="nil"/>
              <w:left w:val="nil"/>
              <w:bottom w:val="single" w:sz="4" w:space="0" w:color="auto"/>
              <w:right w:val="single" w:sz="4" w:space="0" w:color="auto"/>
            </w:tcBorders>
            <w:shd w:val="clear" w:color="auto" w:fill="auto"/>
            <w:vAlign w:val="center"/>
          </w:tcPr>
          <w:p w14:paraId="6E303640" w14:textId="7FDEB406"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150</w:t>
            </w:r>
          </w:p>
        </w:tc>
        <w:tc>
          <w:tcPr>
            <w:tcW w:w="862" w:type="dxa"/>
            <w:tcBorders>
              <w:top w:val="nil"/>
              <w:left w:val="nil"/>
              <w:bottom w:val="single" w:sz="4" w:space="0" w:color="auto"/>
              <w:right w:val="single" w:sz="4" w:space="0" w:color="auto"/>
            </w:tcBorders>
            <w:shd w:val="clear" w:color="auto" w:fill="auto"/>
            <w:vAlign w:val="center"/>
            <w:hideMark/>
          </w:tcPr>
          <w:p w14:paraId="4A9E3082" w14:textId="1B19EE37"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103</w:t>
            </w:r>
          </w:p>
        </w:tc>
        <w:tc>
          <w:tcPr>
            <w:tcW w:w="861" w:type="dxa"/>
            <w:tcBorders>
              <w:top w:val="nil"/>
              <w:left w:val="single" w:sz="4" w:space="0" w:color="auto"/>
              <w:bottom w:val="single" w:sz="4" w:space="0" w:color="auto"/>
              <w:right w:val="single" w:sz="4" w:space="0" w:color="auto"/>
            </w:tcBorders>
            <w:shd w:val="clear" w:color="auto" w:fill="auto"/>
            <w:vAlign w:val="center"/>
          </w:tcPr>
          <w:p w14:paraId="31B7BD6D" w14:textId="08923DEB"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20</w:t>
            </w:r>
          </w:p>
        </w:tc>
        <w:tc>
          <w:tcPr>
            <w:tcW w:w="861" w:type="dxa"/>
            <w:tcBorders>
              <w:top w:val="nil"/>
              <w:left w:val="nil"/>
              <w:bottom w:val="single" w:sz="4" w:space="0" w:color="auto"/>
              <w:right w:val="single" w:sz="4" w:space="0" w:color="auto"/>
            </w:tcBorders>
            <w:vAlign w:val="center"/>
          </w:tcPr>
          <w:p w14:paraId="37514AB1" w14:textId="0F42BEF0"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43</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70EABC09" w14:textId="1F9F24BE"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50</w:t>
            </w:r>
          </w:p>
        </w:tc>
        <w:tc>
          <w:tcPr>
            <w:tcW w:w="861" w:type="dxa"/>
            <w:tcBorders>
              <w:top w:val="nil"/>
              <w:left w:val="nil"/>
              <w:bottom w:val="single" w:sz="4" w:space="0" w:color="auto"/>
              <w:right w:val="single" w:sz="4" w:space="0" w:color="auto"/>
            </w:tcBorders>
            <w:shd w:val="clear" w:color="auto" w:fill="auto"/>
            <w:vAlign w:val="center"/>
            <w:hideMark/>
          </w:tcPr>
          <w:p w14:paraId="783CA35F" w14:textId="4CF4F0EB"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30</w:t>
            </w:r>
          </w:p>
        </w:tc>
      </w:tr>
      <w:tr w:rsidR="003972E4" w:rsidRPr="009D4CD4" w14:paraId="0555EDEA" w14:textId="77777777" w:rsidTr="00677357">
        <w:trPr>
          <w:trHeight w:hRule="exact" w:val="284"/>
        </w:trPr>
        <w:tc>
          <w:tcPr>
            <w:tcW w:w="2814" w:type="dxa"/>
            <w:tcBorders>
              <w:top w:val="nil"/>
              <w:left w:val="single" w:sz="4" w:space="0" w:color="auto"/>
              <w:bottom w:val="single" w:sz="4" w:space="0" w:color="auto"/>
              <w:right w:val="single" w:sz="4" w:space="0" w:color="auto"/>
            </w:tcBorders>
            <w:shd w:val="clear" w:color="auto" w:fill="auto"/>
            <w:vAlign w:val="center"/>
            <w:hideMark/>
          </w:tcPr>
          <w:p w14:paraId="463318E2" w14:textId="77777777" w:rsidR="003972E4" w:rsidRPr="009D4CD4" w:rsidRDefault="003972E4" w:rsidP="003972E4">
            <w:pPr>
              <w:spacing w:after="0" w:line="240" w:lineRule="auto"/>
              <w:ind w:firstLineChars="300" w:firstLine="540"/>
              <w:jc w:val="left"/>
              <w:rPr>
                <w:rFonts w:eastAsia="Times New Roman"/>
                <w:sz w:val="18"/>
                <w:szCs w:val="18"/>
                <w:lang w:eastAsia="fr-FR"/>
              </w:rPr>
            </w:pPr>
            <w:r w:rsidRPr="009D4CD4">
              <w:rPr>
                <w:rFonts w:eastAsia="Times New Roman"/>
                <w:sz w:val="18"/>
                <w:szCs w:val="18"/>
                <w:lang w:eastAsia="fr-FR"/>
              </w:rPr>
              <w:t>Hommes</w:t>
            </w:r>
          </w:p>
        </w:tc>
        <w:tc>
          <w:tcPr>
            <w:tcW w:w="861" w:type="dxa"/>
            <w:tcBorders>
              <w:top w:val="nil"/>
              <w:left w:val="single" w:sz="4" w:space="0" w:color="auto"/>
              <w:bottom w:val="single" w:sz="4" w:space="0" w:color="auto"/>
              <w:right w:val="single" w:sz="4" w:space="0" w:color="auto"/>
            </w:tcBorders>
            <w:shd w:val="clear" w:color="auto" w:fill="auto"/>
            <w:vAlign w:val="center"/>
          </w:tcPr>
          <w:p w14:paraId="314E830C" w14:textId="710DAD37"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88</w:t>
            </w:r>
          </w:p>
        </w:tc>
        <w:tc>
          <w:tcPr>
            <w:tcW w:w="861" w:type="dxa"/>
            <w:tcBorders>
              <w:top w:val="nil"/>
              <w:left w:val="nil"/>
              <w:bottom w:val="single" w:sz="4" w:space="0" w:color="auto"/>
              <w:right w:val="single" w:sz="4" w:space="0" w:color="auto"/>
            </w:tcBorders>
            <w:shd w:val="clear" w:color="auto" w:fill="auto"/>
            <w:vAlign w:val="center"/>
          </w:tcPr>
          <w:p w14:paraId="2C06413F" w14:textId="4CD46EE0"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79</w:t>
            </w:r>
          </w:p>
        </w:tc>
        <w:tc>
          <w:tcPr>
            <w:tcW w:w="862" w:type="dxa"/>
            <w:tcBorders>
              <w:top w:val="nil"/>
              <w:left w:val="nil"/>
              <w:bottom w:val="single" w:sz="4" w:space="0" w:color="auto"/>
              <w:right w:val="single" w:sz="4" w:space="0" w:color="auto"/>
            </w:tcBorders>
            <w:shd w:val="clear" w:color="auto" w:fill="auto"/>
            <w:vAlign w:val="center"/>
            <w:hideMark/>
          </w:tcPr>
          <w:p w14:paraId="0701D838" w14:textId="17811BEA"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75</w:t>
            </w:r>
          </w:p>
        </w:tc>
        <w:tc>
          <w:tcPr>
            <w:tcW w:w="861" w:type="dxa"/>
            <w:tcBorders>
              <w:top w:val="nil"/>
              <w:left w:val="single" w:sz="4" w:space="0" w:color="auto"/>
              <w:bottom w:val="single" w:sz="4" w:space="0" w:color="auto"/>
              <w:right w:val="single" w:sz="4" w:space="0" w:color="auto"/>
            </w:tcBorders>
            <w:shd w:val="clear" w:color="auto" w:fill="auto"/>
            <w:vAlign w:val="center"/>
          </w:tcPr>
          <w:p w14:paraId="6CD09703" w14:textId="7F60D4EA"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43</w:t>
            </w:r>
          </w:p>
        </w:tc>
        <w:tc>
          <w:tcPr>
            <w:tcW w:w="861" w:type="dxa"/>
            <w:tcBorders>
              <w:top w:val="nil"/>
              <w:left w:val="nil"/>
              <w:bottom w:val="single" w:sz="4" w:space="0" w:color="auto"/>
              <w:right w:val="single" w:sz="4" w:space="0" w:color="auto"/>
            </w:tcBorders>
            <w:vAlign w:val="center"/>
          </w:tcPr>
          <w:p w14:paraId="7626F280" w14:textId="0EA3A4E7" w:rsidR="003972E4" w:rsidRPr="009D4CD4" w:rsidRDefault="003972E4" w:rsidP="003972E4">
            <w:pPr>
              <w:spacing w:after="0" w:line="240" w:lineRule="auto"/>
              <w:jc w:val="left"/>
              <w:rPr>
                <w:rFonts w:eastAsia="Times New Roman"/>
                <w:b/>
                <w:bCs/>
                <w:sz w:val="16"/>
                <w:szCs w:val="16"/>
                <w:lang w:eastAsia="fr-FR"/>
              </w:rPr>
            </w:pPr>
            <w:r w:rsidRPr="009D4CD4">
              <w:rPr>
                <w:rFonts w:eastAsia="Times New Roman"/>
                <w:sz w:val="16"/>
                <w:szCs w:val="16"/>
                <w:lang w:eastAsia="fr-FR"/>
              </w:rPr>
              <w:t>63</w:t>
            </w:r>
          </w:p>
        </w:tc>
        <w:tc>
          <w:tcPr>
            <w:tcW w:w="861" w:type="dxa"/>
            <w:tcBorders>
              <w:top w:val="single" w:sz="4" w:space="0" w:color="auto"/>
              <w:left w:val="single" w:sz="4" w:space="0" w:color="auto"/>
              <w:bottom w:val="single" w:sz="4" w:space="0" w:color="auto"/>
              <w:right w:val="single" w:sz="4" w:space="0" w:color="auto"/>
            </w:tcBorders>
            <w:shd w:val="clear" w:color="auto" w:fill="auto"/>
            <w:vAlign w:val="center"/>
          </w:tcPr>
          <w:p w14:paraId="193E308C" w14:textId="44AB2E95"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78</w:t>
            </w:r>
          </w:p>
        </w:tc>
        <w:tc>
          <w:tcPr>
            <w:tcW w:w="861" w:type="dxa"/>
            <w:tcBorders>
              <w:top w:val="nil"/>
              <w:left w:val="nil"/>
              <w:bottom w:val="single" w:sz="4" w:space="0" w:color="auto"/>
              <w:right w:val="single" w:sz="4" w:space="0" w:color="auto"/>
            </w:tcBorders>
            <w:shd w:val="clear" w:color="auto" w:fill="auto"/>
            <w:vAlign w:val="center"/>
            <w:hideMark/>
          </w:tcPr>
          <w:p w14:paraId="01D9386A" w14:textId="7A3D8289" w:rsidR="003972E4" w:rsidRPr="009D4CD4" w:rsidRDefault="003972E4" w:rsidP="003972E4">
            <w:pPr>
              <w:spacing w:after="0" w:line="240" w:lineRule="auto"/>
              <w:jc w:val="left"/>
              <w:rPr>
                <w:rFonts w:eastAsia="Times New Roman"/>
                <w:sz w:val="16"/>
                <w:szCs w:val="16"/>
                <w:lang w:eastAsia="fr-FR"/>
              </w:rPr>
            </w:pPr>
            <w:r w:rsidRPr="009D4CD4">
              <w:rPr>
                <w:rFonts w:eastAsia="Times New Roman"/>
                <w:sz w:val="16"/>
                <w:szCs w:val="16"/>
                <w:lang w:eastAsia="fr-FR"/>
              </w:rPr>
              <w:t>71</w:t>
            </w:r>
          </w:p>
        </w:tc>
      </w:tr>
    </w:tbl>
    <w:p w14:paraId="4C94CE5A" w14:textId="77777777" w:rsidR="00B72A61" w:rsidRPr="009D4CD4" w:rsidRDefault="00B72A61" w:rsidP="00B72A61">
      <w:pPr>
        <w:spacing w:after="0" w:line="240" w:lineRule="auto"/>
        <w:jc w:val="left"/>
        <w:rPr>
          <w:rFonts w:cs="Arial"/>
        </w:rPr>
      </w:pPr>
    </w:p>
    <w:p w14:paraId="03BD20D7" w14:textId="4D6BBCE1" w:rsidR="00B72A61" w:rsidRPr="009D4CD4" w:rsidRDefault="00B72A61" w:rsidP="00B72A61">
      <w:pPr>
        <w:spacing w:after="0" w:line="240" w:lineRule="auto"/>
        <w:jc w:val="left"/>
        <w:rPr>
          <w:rFonts w:cs="Arial"/>
        </w:rPr>
      </w:pPr>
      <w:r w:rsidRPr="009D4CD4">
        <w:rPr>
          <w:rFonts w:cs="Arial"/>
        </w:rPr>
        <w:t xml:space="preserve">Au niveau de la </w:t>
      </w:r>
      <w:r w:rsidR="00A7717F">
        <w:rPr>
          <w:rFonts w:cs="Arial"/>
        </w:rPr>
        <w:t>Caisse Régionale</w:t>
      </w:r>
    </w:p>
    <w:tbl>
      <w:tblPr>
        <w:tblW w:w="7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6"/>
        <w:gridCol w:w="853"/>
        <w:gridCol w:w="854"/>
        <w:gridCol w:w="854"/>
      </w:tblGrid>
      <w:tr w:rsidR="001C1A8E" w:rsidRPr="009D4CD4" w14:paraId="6476ED4E" w14:textId="77777777" w:rsidTr="00523615">
        <w:trPr>
          <w:trHeight w:hRule="exact" w:val="284"/>
        </w:trPr>
        <w:tc>
          <w:tcPr>
            <w:tcW w:w="5386" w:type="dxa"/>
            <w:tcBorders>
              <w:top w:val="nil"/>
              <w:left w:val="nil"/>
              <w:bottom w:val="single" w:sz="4" w:space="0" w:color="auto"/>
              <w:right w:val="single" w:sz="4" w:space="0" w:color="auto"/>
            </w:tcBorders>
            <w:shd w:val="clear" w:color="auto" w:fill="auto"/>
            <w:vAlign w:val="center"/>
          </w:tcPr>
          <w:p w14:paraId="09A18D9C" w14:textId="77777777" w:rsidR="001C1A8E" w:rsidRPr="009D4CD4" w:rsidRDefault="001C1A8E" w:rsidP="001C1A8E">
            <w:pPr>
              <w:spacing w:after="0" w:line="240" w:lineRule="auto"/>
              <w:jc w:val="left"/>
              <w:rPr>
                <w:rFonts w:cs="Arial"/>
                <w:bCs/>
                <w:sz w:val="18"/>
                <w:szCs w:val="18"/>
              </w:rPr>
            </w:pPr>
          </w:p>
        </w:tc>
        <w:tc>
          <w:tcPr>
            <w:tcW w:w="853" w:type="dxa"/>
            <w:tcBorders>
              <w:top w:val="single" w:sz="4" w:space="0" w:color="auto"/>
              <w:left w:val="single" w:sz="4" w:space="0" w:color="auto"/>
              <w:bottom w:val="single" w:sz="4" w:space="0" w:color="auto"/>
              <w:right w:val="single" w:sz="4" w:space="0" w:color="auto"/>
            </w:tcBorders>
          </w:tcPr>
          <w:p w14:paraId="15C24150" w14:textId="02155062" w:rsidR="001C1A8E" w:rsidRPr="009D4CD4" w:rsidRDefault="001C1A8E" w:rsidP="001C1A8E">
            <w:pPr>
              <w:autoSpaceDE w:val="0"/>
              <w:autoSpaceDN w:val="0"/>
              <w:adjustRightInd w:val="0"/>
              <w:spacing w:after="0" w:line="240" w:lineRule="auto"/>
              <w:jc w:val="left"/>
              <w:rPr>
                <w:rFonts w:cs="Arial"/>
                <w:b/>
                <w:bCs/>
                <w:sz w:val="18"/>
                <w:szCs w:val="18"/>
              </w:rPr>
            </w:pPr>
            <w:r w:rsidRPr="009D4CD4">
              <w:rPr>
                <w:rFonts w:cs="Arial"/>
                <w:b/>
                <w:bCs/>
                <w:sz w:val="18"/>
                <w:szCs w:val="18"/>
              </w:rPr>
              <w:t>2021</w:t>
            </w:r>
          </w:p>
        </w:tc>
        <w:tc>
          <w:tcPr>
            <w:tcW w:w="854" w:type="dxa"/>
            <w:tcBorders>
              <w:top w:val="single" w:sz="4" w:space="0" w:color="auto"/>
              <w:left w:val="single" w:sz="4" w:space="0" w:color="auto"/>
              <w:bottom w:val="single" w:sz="4" w:space="0" w:color="auto"/>
              <w:right w:val="single" w:sz="4" w:space="0" w:color="auto"/>
            </w:tcBorders>
          </w:tcPr>
          <w:p w14:paraId="585050E9" w14:textId="36D887EC" w:rsidR="001C1A8E" w:rsidRPr="009D4CD4" w:rsidRDefault="001C1A8E" w:rsidP="001C1A8E">
            <w:pPr>
              <w:autoSpaceDE w:val="0"/>
              <w:autoSpaceDN w:val="0"/>
              <w:adjustRightInd w:val="0"/>
              <w:spacing w:after="0" w:line="240" w:lineRule="auto"/>
              <w:jc w:val="left"/>
              <w:rPr>
                <w:rFonts w:cs="Arial"/>
                <w:b/>
                <w:bCs/>
                <w:sz w:val="18"/>
                <w:szCs w:val="18"/>
              </w:rPr>
            </w:pPr>
            <w:r w:rsidRPr="009D4CD4">
              <w:rPr>
                <w:rFonts w:cs="Arial"/>
                <w:b/>
                <w:bCs/>
                <w:sz w:val="18"/>
                <w:szCs w:val="18"/>
              </w:rPr>
              <w:t>2020</w:t>
            </w:r>
          </w:p>
        </w:tc>
        <w:tc>
          <w:tcPr>
            <w:tcW w:w="854" w:type="dxa"/>
            <w:tcBorders>
              <w:top w:val="single" w:sz="4" w:space="0" w:color="auto"/>
              <w:left w:val="single" w:sz="4" w:space="0" w:color="auto"/>
              <w:bottom w:val="single" w:sz="4" w:space="0" w:color="auto"/>
              <w:right w:val="single" w:sz="4" w:space="0" w:color="auto"/>
            </w:tcBorders>
          </w:tcPr>
          <w:p w14:paraId="1C3CD2FD" w14:textId="44FCFB6D" w:rsidR="001C1A8E" w:rsidRPr="009D4CD4" w:rsidRDefault="001C1A8E" w:rsidP="001C1A8E">
            <w:pPr>
              <w:autoSpaceDE w:val="0"/>
              <w:autoSpaceDN w:val="0"/>
              <w:adjustRightInd w:val="0"/>
              <w:spacing w:after="0" w:line="240" w:lineRule="auto"/>
              <w:jc w:val="left"/>
              <w:rPr>
                <w:rFonts w:cs="Arial"/>
                <w:b/>
                <w:bCs/>
                <w:sz w:val="18"/>
                <w:szCs w:val="18"/>
              </w:rPr>
            </w:pPr>
            <w:r w:rsidRPr="009D4CD4">
              <w:rPr>
                <w:rFonts w:cs="Arial"/>
                <w:b/>
                <w:bCs/>
                <w:sz w:val="18"/>
                <w:szCs w:val="18"/>
              </w:rPr>
              <w:t>2019</w:t>
            </w:r>
          </w:p>
        </w:tc>
      </w:tr>
      <w:tr w:rsidR="001C1A8E" w:rsidRPr="009D4CD4" w14:paraId="2D465D31" w14:textId="77777777" w:rsidTr="00843FBD">
        <w:trPr>
          <w:trHeight w:val="292"/>
        </w:trPr>
        <w:tc>
          <w:tcPr>
            <w:tcW w:w="5386" w:type="dxa"/>
            <w:tcBorders>
              <w:top w:val="single" w:sz="4" w:space="0" w:color="auto"/>
              <w:left w:val="single" w:sz="4" w:space="0" w:color="auto"/>
              <w:bottom w:val="single" w:sz="4" w:space="0" w:color="auto"/>
              <w:right w:val="single" w:sz="4" w:space="0" w:color="auto"/>
            </w:tcBorders>
            <w:shd w:val="clear" w:color="auto" w:fill="auto"/>
            <w:vAlign w:val="center"/>
          </w:tcPr>
          <w:p w14:paraId="199BFDF8" w14:textId="4BED964B" w:rsidR="00843FBD" w:rsidRPr="009D4CD4" w:rsidRDefault="001C1A8E" w:rsidP="00843FBD">
            <w:pPr>
              <w:spacing w:after="0" w:line="240" w:lineRule="auto"/>
              <w:jc w:val="left"/>
              <w:rPr>
                <w:rFonts w:cs="Arial"/>
                <w:bCs/>
                <w:sz w:val="18"/>
                <w:szCs w:val="18"/>
              </w:rPr>
            </w:pPr>
            <w:r w:rsidRPr="009D4CD4">
              <w:rPr>
                <w:rFonts w:cs="Arial"/>
                <w:bCs/>
                <w:sz w:val="18"/>
                <w:szCs w:val="18"/>
              </w:rPr>
              <w:t>Part des femmes dans les postes à responsabilité</w:t>
            </w:r>
          </w:p>
        </w:tc>
        <w:tc>
          <w:tcPr>
            <w:tcW w:w="853" w:type="dxa"/>
            <w:tcBorders>
              <w:top w:val="single" w:sz="4" w:space="0" w:color="auto"/>
              <w:left w:val="single" w:sz="4" w:space="0" w:color="auto"/>
              <w:bottom w:val="single" w:sz="4" w:space="0" w:color="auto"/>
              <w:right w:val="single" w:sz="4" w:space="0" w:color="auto"/>
            </w:tcBorders>
          </w:tcPr>
          <w:p w14:paraId="106AD88E" w14:textId="4E48C305" w:rsidR="001C1A8E" w:rsidRPr="009D4CD4" w:rsidRDefault="009470BA" w:rsidP="001C1A8E">
            <w:pPr>
              <w:autoSpaceDE w:val="0"/>
              <w:autoSpaceDN w:val="0"/>
              <w:adjustRightInd w:val="0"/>
              <w:spacing w:after="0" w:line="240" w:lineRule="auto"/>
              <w:jc w:val="left"/>
              <w:rPr>
                <w:rFonts w:cs="Arial"/>
                <w:bCs/>
                <w:sz w:val="18"/>
                <w:szCs w:val="18"/>
              </w:rPr>
            </w:pPr>
            <w:r w:rsidRPr="009D4CD4">
              <w:rPr>
                <w:rFonts w:cs="Arial"/>
                <w:bCs/>
                <w:sz w:val="18"/>
                <w:szCs w:val="18"/>
              </w:rPr>
              <w:t>36,6 %</w:t>
            </w:r>
          </w:p>
        </w:tc>
        <w:tc>
          <w:tcPr>
            <w:tcW w:w="854" w:type="dxa"/>
            <w:tcBorders>
              <w:top w:val="single" w:sz="4" w:space="0" w:color="auto"/>
              <w:left w:val="single" w:sz="4" w:space="0" w:color="auto"/>
              <w:bottom w:val="single" w:sz="4" w:space="0" w:color="auto"/>
              <w:right w:val="single" w:sz="4" w:space="0" w:color="auto"/>
            </w:tcBorders>
          </w:tcPr>
          <w:p w14:paraId="6E0281AC" w14:textId="7BC7A134" w:rsidR="001C1A8E" w:rsidRPr="009D4CD4" w:rsidRDefault="001C1A8E" w:rsidP="001C1A8E">
            <w:pPr>
              <w:autoSpaceDE w:val="0"/>
              <w:autoSpaceDN w:val="0"/>
              <w:adjustRightInd w:val="0"/>
              <w:spacing w:after="0" w:line="240" w:lineRule="auto"/>
              <w:jc w:val="left"/>
              <w:rPr>
                <w:rFonts w:cs="Arial"/>
                <w:bCs/>
                <w:sz w:val="18"/>
                <w:szCs w:val="18"/>
              </w:rPr>
            </w:pPr>
            <w:r w:rsidRPr="009D4CD4">
              <w:rPr>
                <w:rFonts w:cs="Arial"/>
                <w:bCs/>
                <w:sz w:val="18"/>
                <w:szCs w:val="18"/>
              </w:rPr>
              <w:t>32,5 %</w:t>
            </w:r>
          </w:p>
        </w:tc>
        <w:tc>
          <w:tcPr>
            <w:tcW w:w="854" w:type="dxa"/>
            <w:tcBorders>
              <w:top w:val="single" w:sz="4" w:space="0" w:color="auto"/>
              <w:left w:val="single" w:sz="4" w:space="0" w:color="auto"/>
              <w:bottom w:val="single" w:sz="4" w:space="0" w:color="auto"/>
              <w:right w:val="single" w:sz="4" w:space="0" w:color="auto"/>
            </w:tcBorders>
          </w:tcPr>
          <w:p w14:paraId="71358543" w14:textId="39ED005C" w:rsidR="001C1A8E" w:rsidRPr="009D4CD4" w:rsidRDefault="001C1A8E" w:rsidP="001C1A8E">
            <w:pPr>
              <w:autoSpaceDE w:val="0"/>
              <w:autoSpaceDN w:val="0"/>
              <w:adjustRightInd w:val="0"/>
              <w:spacing w:after="0" w:line="240" w:lineRule="auto"/>
              <w:jc w:val="left"/>
              <w:rPr>
                <w:rFonts w:cs="Arial"/>
                <w:bCs/>
                <w:sz w:val="18"/>
                <w:szCs w:val="18"/>
              </w:rPr>
            </w:pPr>
            <w:r w:rsidRPr="009D4CD4">
              <w:rPr>
                <w:rFonts w:cs="Arial"/>
                <w:bCs/>
                <w:sz w:val="18"/>
                <w:szCs w:val="18"/>
              </w:rPr>
              <w:t>28,6 %</w:t>
            </w:r>
          </w:p>
        </w:tc>
      </w:tr>
      <w:tr w:rsidR="001C1A8E" w:rsidRPr="009D4CD4" w14:paraId="359D6000" w14:textId="77777777" w:rsidTr="00523615">
        <w:trPr>
          <w:trHeight w:hRule="exact" w:val="284"/>
        </w:trPr>
        <w:tc>
          <w:tcPr>
            <w:tcW w:w="5386" w:type="dxa"/>
            <w:tcBorders>
              <w:top w:val="single" w:sz="4" w:space="0" w:color="auto"/>
              <w:left w:val="single" w:sz="4" w:space="0" w:color="auto"/>
              <w:bottom w:val="single" w:sz="4" w:space="0" w:color="auto"/>
              <w:right w:val="single" w:sz="4" w:space="0" w:color="auto"/>
            </w:tcBorders>
            <w:shd w:val="clear" w:color="auto" w:fill="auto"/>
            <w:vAlign w:val="center"/>
          </w:tcPr>
          <w:p w14:paraId="7F71F265" w14:textId="77777777" w:rsidR="001C1A8E" w:rsidRPr="009D4CD4" w:rsidRDefault="001C1A8E" w:rsidP="001C1A8E">
            <w:pPr>
              <w:spacing w:after="0" w:line="240" w:lineRule="auto"/>
              <w:jc w:val="left"/>
              <w:rPr>
                <w:rFonts w:cs="Arial"/>
                <w:bCs/>
                <w:sz w:val="18"/>
                <w:szCs w:val="18"/>
              </w:rPr>
            </w:pPr>
            <w:r w:rsidRPr="009D4CD4">
              <w:rPr>
                <w:rFonts w:cs="Arial"/>
                <w:bCs/>
                <w:sz w:val="18"/>
                <w:szCs w:val="18"/>
              </w:rPr>
              <w:t>Index d’égalité professionnelle (sur 100 points)</w:t>
            </w:r>
          </w:p>
        </w:tc>
        <w:tc>
          <w:tcPr>
            <w:tcW w:w="853" w:type="dxa"/>
            <w:tcBorders>
              <w:top w:val="single" w:sz="4" w:space="0" w:color="auto"/>
              <w:left w:val="single" w:sz="4" w:space="0" w:color="auto"/>
              <w:bottom w:val="single" w:sz="4" w:space="0" w:color="auto"/>
              <w:right w:val="single" w:sz="4" w:space="0" w:color="auto"/>
            </w:tcBorders>
          </w:tcPr>
          <w:p w14:paraId="516D057A" w14:textId="320D2E3D" w:rsidR="001C1A8E" w:rsidRPr="009D4CD4" w:rsidRDefault="002C6155" w:rsidP="001C1A8E">
            <w:pPr>
              <w:autoSpaceDE w:val="0"/>
              <w:autoSpaceDN w:val="0"/>
              <w:adjustRightInd w:val="0"/>
              <w:spacing w:after="0" w:line="240" w:lineRule="auto"/>
              <w:jc w:val="left"/>
              <w:rPr>
                <w:rFonts w:cs="Arial"/>
                <w:bCs/>
                <w:sz w:val="18"/>
                <w:szCs w:val="18"/>
              </w:rPr>
            </w:pPr>
            <w:r w:rsidRPr="009D4CD4">
              <w:rPr>
                <w:rFonts w:cs="Arial"/>
                <w:bCs/>
                <w:sz w:val="18"/>
                <w:szCs w:val="18"/>
              </w:rPr>
              <w:t>93</w:t>
            </w:r>
          </w:p>
        </w:tc>
        <w:tc>
          <w:tcPr>
            <w:tcW w:w="854" w:type="dxa"/>
            <w:tcBorders>
              <w:top w:val="single" w:sz="4" w:space="0" w:color="auto"/>
              <w:left w:val="single" w:sz="4" w:space="0" w:color="auto"/>
              <w:bottom w:val="single" w:sz="4" w:space="0" w:color="auto"/>
              <w:right w:val="single" w:sz="4" w:space="0" w:color="auto"/>
            </w:tcBorders>
          </w:tcPr>
          <w:p w14:paraId="5E77EBAA" w14:textId="5CCBAA58" w:rsidR="001C1A8E" w:rsidRPr="009D4CD4" w:rsidRDefault="001C1A8E" w:rsidP="001C1A8E">
            <w:pPr>
              <w:autoSpaceDE w:val="0"/>
              <w:autoSpaceDN w:val="0"/>
              <w:adjustRightInd w:val="0"/>
              <w:spacing w:after="0" w:line="240" w:lineRule="auto"/>
              <w:jc w:val="left"/>
              <w:rPr>
                <w:rFonts w:cs="Arial"/>
                <w:bCs/>
                <w:sz w:val="18"/>
                <w:szCs w:val="18"/>
              </w:rPr>
            </w:pPr>
            <w:r w:rsidRPr="009D4CD4">
              <w:rPr>
                <w:rFonts w:cs="Arial"/>
                <w:bCs/>
                <w:sz w:val="18"/>
                <w:szCs w:val="18"/>
              </w:rPr>
              <w:t>93</w:t>
            </w:r>
          </w:p>
        </w:tc>
        <w:tc>
          <w:tcPr>
            <w:tcW w:w="854" w:type="dxa"/>
            <w:tcBorders>
              <w:top w:val="single" w:sz="4" w:space="0" w:color="auto"/>
              <w:left w:val="single" w:sz="4" w:space="0" w:color="auto"/>
              <w:bottom w:val="single" w:sz="4" w:space="0" w:color="auto"/>
              <w:right w:val="single" w:sz="4" w:space="0" w:color="auto"/>
            </w:tcBorders>
          </w:tcPr>
          <w:p w14:paraId="3998CA80" w14:textId="63EDC17E" w:rsidR="001C1A8E" w:rsidRPr="009D4CD4" w:rsidRDefault="001C1A8E" w:rsidP="001C1A8E">
            <w:pPr>
              <w:autoSpaceDE w:val="0"/>
              <w:autoSpaceDN w:val="0"/>
              <w:adjustRightInd w:val="0"/>
              <w:spacing w:after="0" w:line="240" w:lineRule="auto"/>
              <w:jc w:val="left"/>
              <w:rPr>
                <w:rFonts w:cs="Arial"/>
                <w:bCs/>
                <w:sz w:val="18"/>
                <w:szCs w:val="18"/>
              </w:rPr>
            </w:pPr>
            <w:r w:rsidRPr="009D4CD4">
              <w:rPr>
                <w:rFonts w:cs="Arial"/>
                <w:bCs/>
                <w:sz w:val="18"/>
                <w:szCs w:val="18"/>
              </w:rPr>
              <w:t>94</w:t>
            </w:r>
          </w:p>
        </w:tc>
      </w:tr>
    </w:tbl>
    <w:p w14:paraId="7178AF1F" w14:textId="77777777" w:rsidR="00B72A61" w:rsidRPr="009D4CD4" w:rsidRDefault="00B72A61" w:rsidP="00B72A61">
      <w:pPr>
        <w:spacing w:after="0" w:line="240" w:lineRule="auto"/>
        <w:jc w:val="left"/>
        <w:rPr>
          <w:rFonts w:cs="Arial"/>
        </w:rPr>
      </w:pPr>
    </w:p>
    <w:p w14:paraId="3DE33145" w14:textId="77777777" w:rsidR="00B72A61" w:rsidRPr="009D4CD4" w:rsidRDefault="00B72A61" w:rsidP="00B72A61">
      <w:pPr>
        <w:spacing w:after="0" w:line="240" w:lineRule="auto"/>
        <w:jc w:val="left"/>
        <w:rPr>
          <w:rFonts w:cs="Arial"/>
        </w:rPr>
      </w:pPr>
      <w:r w:rsidRPr="009D4CD4">
        <w:rPr>
          <w:rFonts w:cs="Arial"/>
        </w:rPr>
        <w:t xml:space="preserve">Dans le prolongement de l’accord de branche, un </w:t>
      </w:r>
      <w:r w:rsidR="007F6A53" w:rsidRPr="009D4CD4">
        <w:rPr>
          <w:rFonts w:cs="Arial"/>
        </w:rPr>
        <w:t>avenant a prolongé l’</w:t>
      </w:r>
      <w:r w:rsidRPr="009D4CD4">
        <w:rPr>
          <w:rFonts w:cs="Arial"/>
        </w:rPr>
        <w:t xml:space="preserve">accord local </w:t>
      </w:r>
      <w:r w:rsidR="007F6A53" w:rsidRPr="009D4CD4">
        <w:rPr>
          <w:rFonts w:cs="Arial"/>
        </w:rPr>
        <w:t>jusque fin 2021</w:t>
      </w:r>
      <w:r w:rsidR="00894099" w:rsidRPr="009D4CD4">
        <w:rPr>
          <w:rFonts w:cs="Arial"/>
        </w:rPr>
        <w:t xml:space="preserve"> en faveur de</w:t>
      </w:r>
      <w:r w:rsidRPr="009D4CD4">
        <w:rPr>
          <w:rFonts w:cs="Arial"/>
        </w:rPr>
        <w:t xml:space="preserve"> l’égalité professionnelle au sein de l’entreprise. Des indicateurs relatifs à l’emploi, la formation professionnelle, l’aménagement du temps de travail, la rémunération, la promotion professionnelle, sont suivis et analysés annuellement par les partenaires sociaux.</w:t>
      </w:r>
    </w:p>
    <w:p w14:paraId="4FE60B64" w14:textId="6B2E658B" w:rsidR="00B72A61" w:rsidRPr="009D4CD4" w:rsidRDefault="00B72A61" w:rsidP="00B72A61">
      <w:pPr>
        <w:spacing w:after="0" w:line="240" w:lineRule="auto"/>
        <w:jc w:val="left"/>
        <w:rPr>
          <w:rFonts w:cs="Arial"/>
        </w:rPr>
      </w:pPr>
      <w:r w:rsidRPr="009D4CD4">
        <w:rPr>
          <w:rFonts w:cs="Arial"/>
        </w:rPr>
        <w:t xml:space="preserve">La </w:t>
      </w:r>
      <w:r w:rsidR="00A7717F">
        <w:rPr>
          <w:rFonts w:cs="Arial"/>
        </w:rPr>
        <w:t>Caisse Régionale</w:t>
      </w:r>
      <w:r w:rsidRPr="009D4CD4">
        <w:rPr>
          <w:rFonts w:cs="Arial"/>
        </w:rPr>
        <w:t xml:space="preserve"> réalise chaque année un diagnostic complet sur la sit</w:t>
      </w:r>
      <w:r w:rsidR="00A97EE2" w:rsidRPr="009D4CD4">
        <w:rPr>
          <w:rFonts w:cs="Arial"/>
        </w:rPr>
        <w:t xml:space="preserve">uation des femmes et des hommes, </w:t>
      </w:r>
      <w:r w:rsidR="00F04A86">
        <w:rPr>
          <w:rFonts w:cs="Arial"/>
        </w:rPr>
        <w:t>soumis</w:t>
      </w:r>
      <w:r w:rsidRPr="009D4CD4">
        <w:rPr>
          <w:rFonts w:cs="Arial"/>
        </w:rPr>
        <w:t xml:space="preserve"> aux représentants du personnel, notamment à la Commission Egalité professionnelle. Ce diagnostic porte sur les éléments figurant dans la base de données </w:t>
      </w:r>
      <w:r w:rsidR="00894099" w:rsidRPr="009D4CD4">
        <w:rPr>
          <w:rFonts w:cs="Arial"/>
        </w:rPr>
        <w:t>économique et sociale</w:t>
      </w:r>
      <w:r w:rsidRPr="009D4CD4">
        <w:rPr>
          <w:rFonts w:cs="Arial"/>
        </w:rPr>
        <w:t xml:space="preserve">, sur le suivi des indicateurs de l'accord d'entreprise et de l'accord de branche, et sur un indicateur objectif reposant sur des panels homogènes de comparaison en matière d’égalité salariale, tel qu’en disposent les accords. Lors de la négociation sur les salaires, la </w:t>
      </w:r>
      <w:r w:rsidR="00A7717F">
        <w:rPr>
          <w:rFonts w:cs="Arial"/>
        </w:rPr>
        <w:t>Caisse Régionale</w:t>
      </w:r>
      <w:r w:rsidRPr="009D4CD4">
        <w:rPr>
          <w:rFonts w:cs="Arial"/>
        </w:rPr>
        <w:t xml:space="preserve"> établit un diagnostic sur la situation de chaque panel.</w:t>
      </w:r>
    </w:p>
    <w:p w14:paraId="3C3D0CB3" w14:textId="77777777" w:rsidR="00CB4C37" w:rsidRPr="009D4CD4" w:rsidRDefault="00B72A61" w:rsidP="00B72A61">
      <w:pPr>
        <w:spacing w:after="0" w:line="240" w:lineRule="auto"/>
        <w:jc w:val="left"/>
        <w:rPr>
          <w:rFonts w:cs="Arial"/>
        </w:rPr>
      </w:pPr>
      <w:r w:rsidRPr="009D4CD4">
        <w:rPr>
          <w:rFonts w:cs="Arial"/>
        </w:rPr>
        <w:t>Ce diagnostic permet de constater une cohérence du nombre de promotions, des augmentations individuelles et expertises avec la répartition femmes hommes dans l’entreprise, ainsi que des progrès constants de la part des femmes dans l’encadrement.</w:t>
      </w:r>
    </w:p>
    <w:p w14:paraId="765D4FFE" w14:textId="000DB9EC" w:rsidR="00CB4C37" w:rsidRPr="009D4CD4" w:rsidRDefault="00CB4C37" w:rsidP="00CB4C37">
      <w:pPr>
        <w:spacing w:after="0" w:line="240" w:lineRule="auto"/>
        <w:jc w:val="left"/>
        <w:rPr>
          <w:rFonts w:cs="Arial"/>
        </w:rPr>
      </w:pPr>
      <w:r w:rsidRPr="009D4CD4">
        <w:rPr>
          <w:rFonts w:cs="Arial"/>
        </w:rPr>
        <w:t>Afin de s’assurer de l’égalité de rémunération quel que soit le sexe, à emploi</w:t>
      </w:r>
      <w:r w:rsidR="00F04A86">
        <w:rPr>
          <w:rFonts w:cs="Arial"/>
        </w:rPr>
        <w:t>,</w:t>
      </w:r>
      <w:r w:rsidRPr="009D4CD4">
        <w:rPr>
          <w:rFonts w:cs="Arial"/>
        </w:rPr>
        <w:t xml:space="preserve"> compétences et ancienneté équivalente, la </w:t>
      </w:r>
      <w:r w:rsidR="00A7717F">
        <w:rPr>
          <w:rFonts w:cs="Arial"/>
        </w:rPr>
        <w:t>Caisse Régionale</w:t>
      </w:r>
      <w:r w:rsidRPr="009D4CD4">
        <w:rPr>
          <w:rFonts w:cs="Arial"/>
        </w:rPr>
        <w:t xml:space="preserve"> réalise chaque année un diagnostic objectif sur la base de panels de comparaison Hommes/Femmes homogènes et représentatifs, conformément à l’accord de branche sur l’égalité professionnelle.</w:t>
      </w:r>
    </w:p>
    <w:p w14:paraId="5C90E3BE" w14:textId="77777777" w:rsidR="00256B4F" w:rsidRPr="009D4CD4" w:rsidRDefault="00256B4F" w:rsidP="00CB4C37">
      <w:pPr>
        <w:pStyle w:val="Retraitcorpsdetexte"/>
        <w:spacing w:after="0" w:line="240" w:lineRule="auto"/>
        <w:ind w:left="0"/>
        <w:rPr>
          <w:rFonts w:cs="Arial"/>
        </w:rPr>
      </w:pPr>
    </w:p>
    <w:p w14:paraId="74D2C32C" w14:textId="5DCEE377" w:rsidR="00CB4C37" w:rsidRPr="009D4CD4" w:rsidRDefault="00CB4C37" w:rsidP="00CB4C37">
      <w:pPr>
        <w:pStyle w:val="Retraitcorpsdetexte"/>
        <w:spacing w:after="0" w:line="240" w:lineRule="auto"/>
        <w:ind w:left="0"/>
        <w:rPr>
          <w:rFonts w:cs="Arial"/>
          <w:i/>
        </w:rPr>
      </w:pPr>
      <w:r w:rsidRPr="009D4CD4">
        <w:rPr>
          <w:rFonts w:cs="Arial"/>
        </w:rPr>
        <w:t xml:space="preserve">L’accord de branche sur lequel s’appuie la </w:t>
      </w:r>
      <w:r w:rsidR="00A7717F">
        <w:rPr>
          <w:rFonts w:cs="Arial"/>
        </w:rPr>
        <w:t>Caisse Régionale</w:t>
      </w:r>
      <w:r w:rsidRPr="009D4CD4">
        <w:rPr>
          <w:rFonts w:cs="Arial"/>
        </w:rPr>
        <w:t xml:space="preserve"> précise en effet que</w:t>
      </w:r>
      <w:r w:rsidR="00525399" w:rsidRPr="009D4CD4">
        <w:rPr>
          <w:rFonts w:cs="Arial"/>
        </w:rPr>
        <w:t xml:space="preserve"> «</w:t>
      </w:r>
      <w:r w:rsidR="00525399" w:rsidRPr="009D4CD4">
        <w:rPr>
          <w:rFonts w:cs="Arial"/>
          <w:i/>
        </w:rPr>
        <w:t xml:space="preserve"> les</w:t>
      </w:r>
      <w:r w:rsidRPr="009D4CD4">
        <w:rPr>
          <w:rFonts w:cs="Arial"/>
          <w:i/>
        </w:rPr>
        <w:t xml:space="preserve"> Caisses régionales réaliseront les analyses en définissant des panels de comparaison hommes – femmes :</w:t>
      </w:r>
    </w:p>
    <w:p w14:paraId="0B48A0F9" w14:textId="26508D49" w:rsidR="00CB4C37" w:rsidRPr="009D4CD4" w:rsidRDefault="00CB4C37" w:rsidP="00CB4C37">
      <w:pPr>
        <w:pStyle w:val="Retraitcorpsdetexte"/>
        <w:spacing w:after="0" w:line="240" w:lineRule="auto"/>
        <w:ind w:left="0"/>
        <w:rPr>
          <w:rFonts w:cs="Arial"/>
          <w:i/>
        </w:rPr>
      </w:pPr>
      <w:r w:rsidRPr="009D4CD4">
        <w:rPr>
          <w:rFonts w:cs="Arial"/>
          <w:i/>
        </w:rPr>
        <w:t>- Homogènes en termes de : fonctions repères ou métiers ; niveaux de formation ; expérience professionnelle dans l’emploi ; compétence, expertise et niveau de contribution tels que définis par la convention collective nationale</w:t>
      </w:r>
    </w:p>
    <w:p w14:paraId="732A40EB" w14:textId="54469EAC" w:rsidR="00CB4C37" w:rsidRPr="009D4CD4" w:rsidRDefault="00CB4C37" w:rsidP="00CB4C37">
      <w:pPr>
        <w:pStyle w:val="Retraitcorpsdetexte"/>
        <w:spacing w:after="0" w:line="240" w:lineRule="auto"/>
        <w:ind w:left="0"/>
        <w:rPr>
          <w:rFonts w:cs="Arial"/>
          <w:i/>
        </w:rPr>
      </w:pPr>
      <w:r w:rsidRPr="009D4CD4">
        <w:rPr>
          <w:rFonts w:cs="Arial"/>
          <w:i/>
        </w:rPr>
        <w:t>- Représentatifs : chaque panel devra comprendre a</w:t>
      </w:r>
      <w:r w:rsidR="00256B4F" w:rsidRPr="009D4CD4">
        <w:rPr>
          <w:rFonts w:cs="Arial"/>
          <w:i/>
        </w:rPr>
        <w:t xml:space="preserve">u minimum 10 hommes et 10 </w:t>
      </w:r>
      <w:r w:rsidR="000A1AE1" w:rsidRPr="009D4CD4">
        <w:rPr>
          <w:rFonts w:cs="Arial"/>
          <w:i/>
        </w:rPr>
        <w:t>femmes,</w:t>
      </w:r>
      <w:r w:rsidRPr="009D4CD4">
        <w:rPr>
          <w:rFonts w:cs="Arial"/>
          <w:i/>
        </w:rPr>
        <w:t xml:space="preserve"> les situations particulières (absences longues…) seront à exclure ».</w:t>
      </w:r>
    </w:p>
    <w:p w14:paraId="24BA4DF1" w14:textId="77777777" w:rsidR="00CB4C37" w:rsidRPr="009D4CD4" w:rsidRDefault="00CB4C37" w:rsidP="00CB4C37">
      <w:pPr>
        <w:spacing w:after="0" w:line="240" w:lineRule="auto"/>
        <w:jc w:val="left"/>
        <w:rPr>
          <w:rFonts w:cs="Arial"/>
        </w:rPr>
      </w:pPr>
    </w:p>
    <w:p w14:paraId="17719AB9" w14:textId="643C5301" w:rsidR="00B72A61" w:rsidRPr="009D4CD4" w:rsidRDefault="00CB4C37" w:rsidP="00B72A61">
      <w:pPr>
        <w:spacing w:after="0" w:line="240" w:lineRule="auto"/>
        <w:jc w:val="left"/>
        <w:rPr>
          <w:rFonts w:cs="Arial"/>
        </w:rPr>
      </w:pPr>
      <w:r w:rsidRPr="009D4CD4">
        <w:rPr>
          <w:rFonts w:cs="Arial"/>
        </w:rPr>
        <w:t xml:space="preserve">Conformément à l’accord de branche, sont considérés comme significatif les écarts supérieurs à 2 % et doivent faire l’objet de correction si aucune explication objective les justifie. </w:t>
      </w:r>
      <w:r w:rsidR="00B72A61" w:rsidRPr="009D4CD4">
        <w:rPr>
          <w:rFonts w:cs="Arial"/>
        </w:rPr>
        <w:t xml:space="preserve">Les écarts de rémunération entre les hommes et les femmes considérés comme significatifs au sens des accords, font l’objet d’une étude systématique présentée aux instances du personnel, notamment à la Commission </w:t>
      </w:r>
      <w:r w:rsidR="00843FBD">
        <w:rPr>
          <w:rFonts w:cs="Arial"/>
        </w:rPr>
        <w:t>Egalité Professionnelle.</w:t>
      </w:r>
    </w:p>
    <w:p w14:paraId="3AB039BC" w14:textId="16A19744" w:rsidR="00CB4C37" w:rsidRPr="009D4CD4" w:rsidRDefault="00380540" w:rsidP="00CB4C37">
      <w:pPr>
        <w:spacing w:after="0" w:line="240" w:lineRule="auto"/>
        <w:jc w:val="left"/>
        <w:rPr>
          <w:rFonts w:cs="Arial"/>
        </w:rPr>
      </w:pPr>
      <w:r>
        <w:rPr>
          <w:rFonts w:cs="Arial"/>
        </w:rPr>
        <w:t>Au 30/12/2020</w:t>
      </w:r>
      <w:r w:rsidR="00CB4C37" w:rsidRPr="009D4CD4">
        <w:rPr>
          <w:rFonts w:cs="Arial"/>
        </w:rPr>
        <w:t>, 5 panels étaient en écart de plus de 2 % : 3 en faveur des hommes et 2 en faveur des femmes dans les comparaisons par tranche d’âge. Ces écarts s’expliquent par une ancienneté plus importante du sexe en écart ou par des situations individuelles (position personnelle supérieure à celle de l’emploi et donc rémunération supérieure à celle de l’emploi). Les écarts étant justifiés par des éléments objectifs, il n’y a pas eu lieu de mettre en place d’actions correctives en 2021.</w:t>
      </w:r>
    </w:p>
    <w:p w14:paraId="10F8F7E9" w14:textId="713A01BE" w:rsidR="00256B4F" w:rsidRPr="009D4CD4" w:rsidRDefault="00256B4F" w:rsidP="00DB4256">
      <w:pPr>
        <w:spacing w:after="0" w:line="240" w:lineRule="auto"/>
        <w:jc w:val="left"/>
        <w:rPr>
          <w:rFonts w:cs="Arial"/>
        </w:rPr>
      </w:pPr>
    </w:p>
    <w:p w14:paraId="6020EBD5" w14:textId="5981760A" w:rsidR="00CB4C37" w:rsidRPr="009D4CD4" w:rsidRDefault="00CB4C37" w:rsidP="00DB4256">
      <w:pPr>
        <w:spacing w:after="0" w:line="240" w:lineRule="auto"/>
      </w:pPr>
      <w:r w:rsidRPr="009D4CD4">
        <w:t xml:space="preserve">Souhaitant s’inscrire dans une démarche volontariste, et convaincue que la mixité permet à l’ensemble des talents de s’exprimer et de contribuer à l’innovation et à la performance de l’entreprise, la </w:t>
      </w:r>
      <w:r w:rsidR="00A7717F">
        <w:t>Caisse Régionale</w:t>
      </w:r>
      <w:r w:rsidRPr="009D4CD4">
        <w:t xml:space="preserve"> a mis en place fin 2019 un groupe de travail « mixité » chargé, notamment, après avoir établi un diagnostic et analysé les freins à la mixité, de proposer un plan d’action permettant d’améliorer la mixité à tous les niveaux de responsabilité dans l’entreprise.  Souhaitant intégrer les représentant du personnel dans cette démarche participative, deux membres du CSE ont été accueillis dans le groupe de travail. </w:t>
      </w:r>
    </w:p>
    <w:p w14:paraId="7A95A885" w14:textId="0920685A" w:rsidR="00CB4C37" w:rsidRPr="009D4CD4" w:rsidRDefault="00CB4C37" w:rsidP="00DB4256">
      <w:pPr>
        <w:spacing w:after="0" w:line="240" w:lineRule="auto"/>
        <w:rPr>
          <w:rFonts w:cs="Arial"/>
        </w:rPr>
      </w:pPr>
      <w:r w:rsidRPr="009D4CD4">
        <w:rPr>
          <w:rFonts w:cs="Arial"/>
        </w:rPr>
        <w:t>En 2020, les travaux n’ont pas pu se poursuivre en raison de l’indisponibilité des équipes, liée à la crise sanitaire. Ils ont repris en 2021 et le groupe de travail s’est réuni 5 fois</w:t>
      </w:r>
      <w:r w:rsidR="00DB4256" w:rsidRPr="009D4CD4">
        <w:rPr>
          <w:rFonts w:cs="Arial"/>
        </w:rPr>
        <w:t>.</w:t>
      </w:r>
      <w:r w:rsidR="00256B4F" w:rsidRPr="009D4CD4">
        <w:rPr>
          <w:rFonts w:cs="Arial"/>
        </w:rPr>
        <w:t xml:space="preserve"> Un point d’étape est prévu début 2022.</w:t>
      </w:r>
    </w:p>
    <w:p w14:paraId="5A6EF3BF" w14:textId="77777777" w:rsidR="00CB4C37" w:rsidRPr="009D4CD4" w:rsidRDefault="00CB4C37" w:rsidP="00CB4C37">
      <w:pPr>
        <w:spacing w:after="0" w:line="240" w:lineRule="auto"/>
        <w:jc w:val="left"/>
        <w:rPr>
          <w:rFonts w:cs="Arial"/>
        </w:rPr>
      </w:pPr>
    </w:p>
    <w:p w14:paraId="5F75461B" w14:textId="67A64673" w:rsidR="003F287D" w:rsidRPr="009D4CD4" w:rsidRDefault="003F287D" w:rsidP="00B72A61">
      <w:pPr>
        <w:spacing w:after="0" w:line="240" w:lineRule="auto"/>
        <w:jc w:val="left"/>
        <w:rPr>
          <w:rFonts w:cs="Arial"/>
        </w:rPr>
      </w:pPr>
    </w:p>
    <w:p w14:paraId="310F5D3D" w14:textId="53819F8D" w:rsidR="00B72A61" w:rsidRPr="009D4CD4" w:rsidRDefault="00CC1BFA" w:rsidP="00F41917">
      <w:pPr>
        <w:numPr>
          <w:ilvl w:val="0"/>
          <w:numId w:val="4"/>
        </w:numPr>
        <w:spacing w:after="0" w:line="240" w:lineRule="auto"/>
        <w:jc w:val="left"/>
        <w:rPr>
          <w:rFonts w:cs="Arial"/>
        </w:rPr>
      </w:pPr>
      <w:r w:rsidRPr="009D4CD4">
        <w:rPr>
          <w:rFonts w:cs="Arial"/>
        </w:rPr>
        <w:t>Les filiales Edokial et Inforsud Technologies (IST)</w:t>
      </w:r>
    </w:p>
    <w:p w14:paraId="3578C86C" w14:textId="3F1D9A48" w:rsidR="00B72A61" w:rsidRPr="009D4CD4" w:rsidRDefault="00B72A61" w:rsidP="00B72A61">
      <w:pPr>
        <w:spacing w:after="0" w:line="240" w:lineRule="auto"/>
        <w:jc w:val="left"/>
        <w:rPr>
          <w:rFonts w:cs="Arial"/>
        </w:rPr>
      </w:pPr>
    </w:p>
    <w:p w14:paraId="066DAC85" w14:textId="0B6F1186" w:rsidR="007C0C79" w:rsidRPr="009D4CD4" w:rsidRDefault="008C7B8B" w:rsidP="007C0C79">
      <w:pPr>
        <w:spacing w:after="0" w:line="240" w:lineRule="auto"/>
        <w:jc w:val="left"/>
        <w:rPr>
          <w:rFonts w:cs="Arial"/>
        </w:rPr>
      </w:pPr>
      <w:r w:rsidRPr="009D4CD4">
        <w:rPr>
          <w:rFonts w:cs="Arial"/>
        </w:rPr>
        <w:t>Les filiales s’interdisent</w:t>
      </w:r>
      <w:r w:rsidR="007C0C79" w:rsidRPr="009D4CD4">
        <w:rPr>
          <w:rFonts w:cs="Arial"/>
        </w:rPr>
        <w:t xml:space="preserve"> toute forme de discrimination, directe ou indirecte, en matière de relation et de conditions de travail. La lutte contre les discriminations s’applique non seulement à l’embauche, mais également à l’ensemble du parcours professionnel. Un bilan annuel est réalisé et présenté aux Instances Représentatives du Personnel. Ce bilan porte notamment sur l’accès à l’emploi, la formation professionnelle, la promotion et la politique salariale.</w:t>
      </w:r>
    </w:p>
    <w:p w14:paraId="1B426039" w14:textId="77777777" w:rsidR="003972E4" w:rsidRPr="009D4CD4" w:rsidRDefault="003972E4" w:rsidP="007C0C79">
      <w:pPr>
        <w:spacing w:after="0" w:line="240" w:lineRule="auto"/>
        <w:jc w:val="left"/>
        <w:rPr>
          <w:rFonts w:cs="Arial"/>
        </w:rPr>
      </w:pPr>
    </w:p>
    <w:p w14:paraId="6A385E00" w14:textId="0E13737E" w:rsidR="007C0C79" w:rsidRPr="009D4CD4" w:rsidRDefault="008C7B8B" w:rsidP="007C0C79">
      <w:pPr>
        <w:spacing w:after="0" w:line="240" w:lineRule="auto"/>
        <w:jc w:val="left"/>
        <w:rPr>
          <w:rFonts w:cs="Arial"/>
        </w:rPr>
      </w:pPr>
      <w:r w:rsidRPr="009D4CD4">
        <w:rPr>
          <w:rFonts w:cs="Arial"/>
        </w:rPr>
        <w:t>A Edokial, u</w:t>
      </w:r>
      <w:r w:rsidR="007C0C79" w:rsidRPr="009D4CD4">
        <w:rPr>
          <w:rFonts w:cs="Arial"/>
        </w:rPr>
        <w:t>n accord sur l’égalité Femmes Hommes a été signé en 2021. Cet accord a pour but de contrôler les écarts de rémunération, l’accès à l’emploi, la formation professionnelle, la promotion et le retour des femmes au travail après leur congé.</w:t>
      </w:r>
    </w:p>
    <w:p w14:paraId="1173466C" w14:textId="7A94558F" w:rsidR="008C7B8B" w:rsidRPr="009D4CD4" w:rsidRDefault="008C7B8B" w:rsidP="007C0C79">
      <w:pPr>
        <w:spacing w:after="0" w:line="240" w:lineRule="auto"/>
        <w:jc w:val="left"/>
        <w:rPr>
          <w:rFonts w:cs="Arial"/>
        </w:rPr>
      </w:pPr>
      <w:r w:rsidRPr="009D4CD4">
        <w:rPr>
          <w:rFonts w:cs="Arial"/>
        </w:rPr>
        <w:t xml:space="preserve">IST poursuit sa démarche en vue de réduire les inégalités Femmes Hommes. Par exemple, 60% de femmes au Comité de Direction. </w:t>
      </w:r>
    </w:p>
    <w:p w14:paraId="31E7273B" w14:textId="54A2BEA6" w:rsidR="00B72A61" w:rsidRPr="009D4CD4" w:rsidRDefault="00B72A61" w:rsidP="00B72A61">
      <w:pPr>
        <w:spacing w:after="0" w:line="240" w:lineRule="auto"/>
        <w:ind w:right="1"/>
        <w:jc w:val="left"/>
        <w:rPr>
          <w:rFonts w:cs="Arial"/>
        </w:rPr>
      </w:pPr>
    </w:p>
    <w:p w14:paraId="0278C731" w14:textId="77777777" w:rsidR="005C4C31" w:rsidRPr="009D4CD4" w:rsidRDefault="005C4C31" w:rsidP="00B72A61">
      <w:pPr>
        <w:spacing w:after="0" w:line="240" w:lineRule="auto"/>
        <w:ind w:right="1"/>
        <w:jc w:val="left"/>
        <w:rPr>
          <w:rFonts w:cs="Arial"/>
        </w:rPr>
      </w:pPr>
    </w:p>
    <w:p w14:paraId="0BD8C5A6" w14:textId="63024161" w:rsidR="00B72A61" w:rsidRPr="009D4CD4" w:rsidRDefault="00B72A61" w:rsidP="00326D6D">
      <w:pPr>
        <w:pStyle w:val="Titre3"/>
      </w:pPr>
      <w:bookmarkStart w:id="132" w:name="_Toc32416042"/>
      <w:bookmarkStart w:id="133" w:name="_Toc59444718"/>
      <w:bookmarkStart w:id="134" w:name="_Toc96698036"/>
      <w:r w:rsidRPr="009D4CD4">
        <w:t>Agir en faveur des personnes en situation de handicap</w:t>
      </w:r>
      <w:bookmarkEnd w:id="132"/>
      <w:bookmarkEnd w:id="133"/>
      <w:bookmarkEnd w:id="134"/>
    </w:p>
    <w:p w14:paraId="16232229" w14:textId="77777777" w:rsidR="00B72A61" w:rsidRPr="009D4CD4" w:rsidRDefault="00B72A61" w:rsidP="00B72A61">
      <w:pPr>
        <w:spacing w:after="0" w:line="240" w:lineRule="auto"/>
        <w:jc w:val="left"/>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810"/>
        <w:gridCol w:w="810"/>
        <w:gridCol w:w="810"/>
        <w:gridCol w:w="810"/>
        <w:gridCol w:w="810"/>
        <w:gridCol w:w="810"/>
        <w:gridCol w:w="810"/>
      </w:tblGrid>
      <w:tr w:rsidR="00CC1BFA" w:rsidRPr="009D4CD4" w14:paraId="37EF62EE" w14:textId="77777777" w:rsidTr="0015198F">
        <w:trPr>
          <w:trHeight w:hRule="exact" w:val="284"/>
        </w:trPr>
        <w:tc>
          <w:tcPr>
            <w:tcW w:w="3936" w:type="dxa"/>
            <w:tcBorders>
              <w:top w:val="nil"/>
              <w:left w:val="nil"/>
              <w:bottom w:val="nil"/>
              <w:right w:val="single" w:sz="4" w:space="0" w:color="auto"/>
            </w:tcBorders>
            <w:shd w:val="clear" w:color="auto" w:fill="auto"/>
            <w:vAlign w:val="center"/>
          </w:tcPr>
          <w:p w14:paraId="5CE242DA" w14:textId="77777777" w:rsidR="00CC1BFA" w:rsidRPr="009D4CD4" w:rsidRDefault="00CC1BFA" w:rsidP="00523615">
            <w:pPr>
              <w:spacing w:after="0" w:line="240" w:lineRule="auto"/>
              <w:ind w:left="360" w:right="140"/>
              <w:jc w:val="left"/>
              <w:rPr>
                <w:rFonts w:cs="Arial"/>
                <w:bCs/>
                <w:sz w:val="16"/>
                <w:szCs w:val="16"/>
              </w:rPr>
            </w:pPr>
            <w:r w:rsidRPr="009D4CD4">
              <w:rPr>
                <w:rFonts w:asciiTheme="minorHAnsi" w:hAnsiTheme="minorHAnsi" w:cs="Arial"/>
                <w:b/>
                <w:i/>
              </w:rPr>
              <w:t>Les chiffres - clé</w:t>
            </w:r>
          </w:p>
        </w:tc>
        <w:tc>
          <w:tcPr>
            <w:tcW w:w="810" w:type="dxa"/>
            <w:tcBorders>
              <w:top w:val="single" w:sz="4" w:space="0" w:color="auto"/>
              <w:left w:val="single" w:sz="4" w:space="0" w:color="auto"/>
              <w:bottom w:val="single" w:sz="4" w:space="0" w:color="auto"/>
              <w:right w:val="nil"/>
            </w:tcBorders>
          </w:tcPr>
          <w:p w14:paraId="6F2B9BBB" w14:textId="77777777" w:rsidR="00CC1BFA" w:rsidRPr="009D4CD4" w:rsidRDefault="00CC1BFA" w:rsidP="00523615">
            <w:pPr>
              <w:autoSpaceDE w:val="0"/>
              <w:autoSpaceDN w:val="0"/>
              <w:adjustRightInd w:val="0"/>
              <w:spacing w:after="0" w:line="240" w:lineRule="auto"/>
              <w:jc w:val="left"/>
              <w:rPr>
                <w:rFonts w:cs="Arial"/>
                <w:b/>
                <w:bCs/>
                <w:sz w:val="16"/>
                <w:szCs w:val="16"/>
              </w:rPr>
            </w:pPr>
            <w:r w:rsidRPr="009D4CD4">
              <w:rPr>
                <w:rFonts w:cs="Arial"/>
                <w:b/>
                <w:bCs/>
                <w:sz w:val="16"/>
                <w:szCs w:val="16"/>
              </w:rPr>
              <w:t>NMP</w:t>
            </w:r>
          </w:p>
        </w:tc>
        <w:tc>
          <w:tcPr>
            <w:tcW w:w="810" w:type="dxa"/>
            <w:tcBorders>
              <w:top w:val="single" w:sz="4" w:space="0" w:color="auto"/>
              <w:left w:val="nil"/>
              <w:bottom w:val="single" w:sz="4" w:space="0" w:color="auto"/>
              <w:right w:val="nil"/>
            </w:tcBorders>
          </w:tcPr>
          <w:p w14:paraId="77023C68" w14:textId="77777777" w:rsidR="00CC1BFA" w:rsidRPr="009D4CD4" w:rsidRDefault="00CC1BFA" w:rsidP="00523615">
            <w:pPr>
              <w:autoSpaceDE w:val="0"/>
              <w:autoSpaceDN w:val="0"/>
              <w:adjustRightInd w:val="0"/>
              <w:spacing w:after="0" w:line="240" w:lineRule="auto"/>
              <w:jc w:val="left"/>
              <w:rPr>
                <w:rFonts w:cs="Arial"/>
                <w:b/>
                <w:bCs/>
                <w:sz w:val="16"/>
                <w:szCs w:val="16"/>
              </w:rPr>
            </w:pPr>
          </w:p>
        </w:tc>
        <w:tc>
          <w:tcPr>
            <w:tcW w:w="810" w:type="dxa"/>
            <w:tcBorders>
              <w:top w:val="single" w:sz="4" w:space="0" w:color="auto"/>
              <w:left w:val="nil"/>
              <w:bottom w:val="single" w:sz="4" w:space="0" w:color="auto"/>
              <w:right w:val="single" w:sz="4" w:space="0" w:color="auto"/>
            </w:tcBorders>
          </w:tcPr>
          <w:p w14:paraId="2BD45C24" w14:textId="77777777" w:rsidR="00CC1BFA" w:rsidRPr="009D4CD4" w:rsidRDefault="00CC1BFA" w:rsidP="00523615">
            <w:pPr>
              <w:autoSpaceDE w:val="0"/>
              <w:autoSpaceDN w:val="0"/>
              <w:adjustRightInd w:val="0"/>
              <w:spacing w:after="0" w:line="240" w:lineRule="auto"/>
              <w:jc w:val="left"/>
              <w:rPr>
                <w:rFonts w:cs="Arial"/>
                <w:b/>
                <w:bCs/>
                <w:sz w:val="16"/>
                <w:szCs w:val="16"/>
              </w:rPr>
            </w:pPr>
          </w:p>
        </w:tc>
        <w:tc>
          <w:tcPr>
            <w:tcW w:w="810" w:type="dxa"/>
            <w:tcBorders>
              <w:top w:val="single" w:sz="4" w:space="0" w:color="auto"/>
              <w:left w:val="single" w:sz="4" w:space="0" w:color="auto"/>
              <w:bottom w:val="single" w:sz="4" w:space="0" w:color="auto"/>
              <w:right w:val="nil"/>
            </w:tcBorders>
          </w:tcPr>
          <w:p w14:paraId="0CDF9C62" w14:textId="77777777" w:rsidR="00CC1BFA" w:rsidRPr="009D4CD4" w:rsidRDefault="00CC1BFA" w:rsidP="00523615">
            <w:pPr>
              <w:autoSpaceDE w:val="0"/>
              <w:autoSpaceDN w:val="0"/>
              <w:adjustRightInd w:val="0"/>
              <w:spacing w:after="0" w:line="240" w:lineRule="auto"/>
              <w:jc w:val="left"/>
              <w:rPr>
                <w:rFonts w:cs="Arial"/>
                <w:b/>
                <w:bCs/>
                <w:sz w:val="16"/>
                <w:szCs w:val="16"/>
              </w:rPr>
            </w:pPr>
            <w:r w:rsidRPr="009D4CD4">
              <w:rPr>
                <w:rFonts w:cs="Arial"/>
                <w:b/>
                <w:bCs/>
                <w:sz w:val="16"/>
                <w:szCs w:val="16"/>
              </w:rPr>
              <w:t>IS</w:t>
            </w:r>
          </w:p>
        </w:tc>
        <w:tc>
          <w:tcPr>
            <w:tcW w:w="810" w:type="dxa"/>
            <w:tcBorders>
              <w:top w:val="single" w:sz="4" w:space="0" w:color="auto"/>
              <w:left w:val="nil"/>
              <w:bottom w:val="single" w:sz="4" w:space="0" w:color="auto"/>
              <w:right w:val="nil"/>
            </w:tcBorders>
          </w:tcPr>
          <w:p w14:paraId="35779A82" w14:textId="77777777" w:rsidR="00CC1BFA" w:rsidRPr="009D4CD4" w:rsidRDefault="00CC1BFA" w:rsidP="00523615">
            <w:pPr>
              <w:autoSpaceDE w:val="0"/>
              <w:autoSpaceDN w:val="0"/>
              <w:adjustRightInd w:val="0"/>
              <w:spacing w:after="0" w:line="240" w:lineRule="auto"/>
              <w:jc w:val="left"/>
              <w:rPr>
                <w:rFonts w:cs="Arial"/>
                <w:b/>
                <w:bCs/>
                <w:sz w:val="16"/>
                <w:szCs w:val="16"/>
              </w:rPr>
            </w:pPr>
          </w:p>
        </w:tc>
        <w:tc>
          <w:tcPr>
            <w:tcW w:w="810" w:type="dxa"/>
            <w:tcBorders>
              <w:top w:val="single" w:sz="4" w:space="0" w:color="auto"/>
              <w:left w:val="nil"/>
              <w:bottom w:val="single" w:sz="4" w:space="0" w:color="auto"/>
              <w:right w:val="nil"/>
            </w:tcBorders>
          </w:tcPr>
          <w:p w14:paraId="797F2421" w14:textId="5DA8F2CD" w:rsidR="00CC1BFA" w:rsidRPr="009D4CD4" w:rsidRDefault="00CC1BFA" w:rsidP="00523615">
            <w:pPr>
              <w:autoSpaceDE w:val="0"/>
              <w:autoSpaceDN w:val="0"/>
              <w:adjustRightInd w:val="0"/>
              <w:spacing w:after="0" w:line="240" w:lineRule="auto"/>
              <w:jc w:val="left"/>
              <w:rPr>
                <w:rFonts w:cs="Arial"/>
                <w:b/>
                <w:bCs/>
                <w:sz w:val="16"/>
                <w:szCs w:val="16"/>
              </w:rPr>
            </w:pPr>
          </w:p>
        </w:tc>
        <w:tc>
          <w:tcPr>
            <w:tcW w:w="810" w:type="dxa"/>
            <w:tcBorders>
              <w:top w:val="single" w:sz="4" w:space="0" w:color="auto"/>
              <w:left w:val="nil"/>
              <w:bottom w:val="single" w:sz="4" w:space="0" w:color="auto"/>
              <w:right w:val="single" w:sz="4" w:space="0" w:color="auto"/>
            </w:tcBorders>
          </w:tcPr>
          <w:p w14:paraId="1D99FF99" w14:textId="77777777" w:rsidR="00CC1BFA" w:rsidRPr="009D4CD4" w:rsidRDefault="00CC1BFA" w:rsidP="00523615">
            <w:pPr>
              <w:autoSpaceDE w:val="0"/>
              <w:autoSpaceDN w:val="0"/>
              <w:adjustRightInd w:val="0"/>
              <w:spacing w:after="0" w:line="240" w:lineRule="auto"/>
              <w:jc w:val="left"/>
              <w:rPr>
                <w:rFonts w:cs="Arial"/>
                <w:b/>
                <w:bCs/>
                <w:sz w:val="16"/>
                <w:szCs w:val="16"/>
              </w:rPr>
            </w:pPr>
          </w:p>
        </w:tc>
      </w:tr>
      <w:tr w:rsidR="00CC1BFA" w:rsidRPr="009D4CD4" w14:paraId="7EFD790A" w14:textId="77777777" w:rsidTr="0015198F">
        <w:trPr>
          <w:trHeight w:hRule="exact" w:val="284"/>
        </w:trPr>
        <w:tc>
          <w:tcPr>
            <w:tcW w:w="3936" w:type="dxa"/>
            <w:tcBorders>
              <w:top w:val="nil"/>
              <w:left w:val="nil"/>
              <w:bottom w:val="single" w:sz="4" w:space="0" w:color="auto"/>
              <w:right w:val="single" w:sz="4" w:space="0" w:color="auto"/>
            </w:tcBorders>
            <w:shd w:val="clear" w:color="auto" w:fill="auto"/>
            <w:vAlign w:val="center"/>
          </w:tcPr>
          <w:p w14:paraId="75B30FD6" w14:textId="77777777" w:rsidR="00CC1BFA" w:rsidRPr="009D4CD4" w:rsidRDefault="00CC1BFA" w:rsidP="001C1A8E">
            <w:pPr>
              <w:spacing w:after="0" w:line="240" w:lineRule="auto"/>
              <w:ind w:left="360" w:right="140"/>
              <w:jc w:val="left"/>
              <w:rPr>
                <w:rFonts w:cs="Arial"/>
                <w:bCs/>
                <w:sz w:val="16"/>
                <w:szCs w:val="16"/>
              </w:rPr>
            </w:pPr>
          </w:p>
        </w:tc>
        <w:tc>
          <w:tcPr>
            <w:tcW w:w="810" w:type="dxa"/>
            <w:tcBorders>
              <w:top w:val="single" w:sz="4" w:space="0" w:color="auto"/>
              <w:left w:val="single" w:sz="4" w:space="0" w:color="auto"/>
              <w:bottom w:val="single" w:sz="4" w:space="0" w:color="auto"/>
              <w:right w:val="single" w:sz="4" w:space="0" w:color="auto"/>
            </w:tcBorders>
          </w:tcPr>
          <w:p w14:paraId="71737A9A" w14:textId="0E07329A" w:rsidR="00CC1BFA" w:rsidRPr="009D4CD4" w:rsidRDefault="00CC1BFA" w:rsidP="001C1A8E">
            <w:pPr>
              <w:autoSpaceDE w:val="0"/>
              <w:autoSpaceDN w:val="0"/>
              <w:adjustRightInd w:val="0"/>
              <w:spacing w:after="0" w:line="240" w:lineRule="auto"/>
              <w:jc w:val="left"/>
              <w:rPr>
                <w:rFonts w:cs="Arial"/>
                <w:b/>
                <w:bCs/>
                <w:sz w:val="16"/>
                <w:szCs w:val="16"/>
              </w:rPr>
            </w:pPr>
            <w:r w:rsidRPr="009D4CD4">
              <w:rPr>
                <w:rFonts w:cs="Arial"/>
                <w:b/>
                <w:bCs/>
                <w:sz w:val="16"/>
                <w:szCs w:val="16"/>
              </w:rPr>
              <w:t>2021</w:t>
            </w:r>
          </w:p>
        </w:tc>
        <w:tc>
          <w:tcPr>
            <w:tcW w:w="810" w:type="dxa"/>
            <w:tcBorders>
              <w:top w:val="single" w:sz="4" w:space="0" w:color="auto"/>
              <w:left w:val="single" w:sz="4" w:space="0" w:color="auto"/>
              <w:bottom w:val="single" w:sz="4" w:space="0" w:color="auto"/>
              <w:right w:val="single" w:sz="4" w:space="0" w:color="auto"/>
            </w:tcBorders>
          </w:tcPr>
          <w:p w14:paraId="76335B81" w14:textId="790BFC32" w:rsidR="00CC1BFA" w:rsidRPr="009D4CD4" w:rsidRDefault="00CC1BFA" w:rsidP="001C1A8E">
            <w:pPr>
              <w:autoSpaceDE w:val="0"/>
              <w:autoSpaceDN w:val="0"/>
              <w:adjustRightInd w:val="0"/>
              <w:spacing w:after="0" w:line="240" w:lineRule="auto"/>
              <w:jc w:val="left"/>
              <w:rPr>
                <w:rFonts w:cs="Arial"/>
                <w:b/>
                <w:bCs/>
                <w:sz w:val="16"/>
                <w:szCs w:val="16"/>
              </w:rPr>
            </w:pPr>
            <w:r w:rsidRPr="009D4CD4">
              <w:rPr>
                <w:rFonts w:cs="Arial"/>
                <w:b/>
                <w:bCs/>
                <w:sz w:val="16"/>
                <w:szCs w:val="16"/>
              </w:rPr>
              <w:t>2020</w:t>
            </w:r>
          </w:p>
        </w:tc>
        <w:tc>
          <w:tcPr>
            <w:tcW w:w="810" w:type="dxa"/>
            <w:tcBorders>
              <w:top w:val="single" w:sz="4" w:space="0" w:color="auto"/>
              <w:left w:val="single" w:sz="4" w:space="0" w:color="auto"/>
              <w:bottom w:val="single" w:sz="4" w:space="0" w:color="auto"/>
              <w:right w:val="single" w:sz="4" w:space="0" w:color="auto"/>
            </w:tcBorders>
          </w:tcPr>
          <w:p w14:paraId="2B4A63EB" w14:textId="603A71FC" w:rsidR="00CC1BFA" w:rsidRPr="009D4CD4" w:rsidRDefault="00CC1BFA" w:rsidP="001C1A8E">
            <w:pPr>
              <w:autoSpaceDE w:val="0"/>
              <w:autoSpaceDN w:val="0"/>
              <w:adjustRightInd w:val="0"/>
              <w:spacing w:after="0" w:line="240" w:lineRule="auto"/>
              <w:jc w:val="left"/>
              <w:rPr>
                <w:rFonts w:cs="Arial"/>
                <w:b/>
                <w:bCs/>
                <w:sz w:val="16"/>
                <w:szCs w:val="16"/>
              </w:rPr>
            </w:pPr>
            <w:r w:rsidRPr="009D4CD4">
              <w:rPr>
                <w:rFonts w:cs="Arial"/>
                <w:b/>
                <w:bCs/>
                <w:sz w:val="16"/>
                <w:szCs w:val="16"/>
              </w:rPr>
              <w:t>2019</w:t>
            </w:r>
          </w:p>
        </w:tc>
        <w:tc>
          <w:tcPr>
            <w:tcW w:w="810" w:type="dxa"/>
            <w:tcBorders>
              <w:top w:val="single" w:sz="4" w:space="0" w:color="auto"/>
              <w:left w:val="single" w:sz="4" w:space="0" w:color="auto"/>
              <w:bottom w:val="single" w:sz="4" w:space="0" w:color="auto"/>
              <w:right w:val="single" w:sz="4" w:space="0" w:color="auto"/>
            </w:tcBorders>
          </w:tcPr>
          <w:p w14:paraId="5FE7F22E" w14:textId="19D0CB39" w:rsidR="00CC1BFA" w:rsidRPr="009D4CD4" w:rsidRDefault="00CC1BFA" w:rsidP="001C1A8E">
            <w:pPr>
              <w:spacing w:after="0" w:line="240" w:lineRule="auto"/>
              <w:jc w:val="left"/>
              <w:rPr>
                <w:rFonts w:cs="Arial"/>
                <w:b/>
                <w:sz w:val="16"/>
                <w:szCs w:val="16"/>
              </w:rPr>
            </w:pPr>
            <w:r w:rsidRPr="009D4CD4">
              <w:rPr>
                <w:rFonts w:cs="Arial"/>
                <w:b/>
                <w:sz w:val="16"/>
                <w:szCs w:val="16"/>
              </w:rPr>
              <w:t>21 IST</w:t>
            </w:r>
          </w:p>
        </w:tc>
        <w:tc>
          <w:tcPr>
            <w:tcW w:w="810" w:type="dxa"/>
            <w:tcBorders>
              <w:top w:val="single" w:sz="4" w:space="0" w:color="auto"/>
              <w:left w:val="single" w:sz="4" w:space="0" w:color="auto"/>
              <w:bottom w:val="single" w:sz="4" w:space="0" w:color="auto"/>
              <w:right w:val="single" w:sz="4" w:space="0" w:color="auto"/>
            </w:tcBorders>
          </w:tcPr>
          <w:p w14:paraId="6FF4E99F" w14:textId="1489301D" w:rsidR="00CC1BFA" w:rsidRPr="009D4CD4" w:rsidRDefault="00CC1BFA" w:rsidP="001C1A8E">
            <w:pPr>
              <w:spacing w:after="0" w:line="240" w:lineRule="auto"/>
              <w:jc w:val="left"/>
              <w:rPr>
                <w:rFonts w:cs="Arial"/>
                <w:b/>
                <w:sz w:val="16"/>
                <w:szCs w:val="16"/>
              </w:rPr>
            </w:pPr>
            <w:r w:rsidRPr="009D4CD4">
              <w:rPr>
                <w:rFonts w:cs="Arial"/>
                <w:b/>
                <w:sz w:val="16"/>
                <w:szCs w:val="16"/>
              </w:rPr>
              <w:t>21 EDK</w:t>
            </w:r>
          </w:p>
        </w:tc>
        <w:tc>
          <w:tcPr>
            <w:tcW w:w="810" w:type="dxa"/>
            <w:tcBorders>
              <w:top w:val="single" w:sz="4" w:space="0" w:color="auto"/>
              <w:left w:val="single" w:sz="4" w:space="0" w:color="auto"/>
              <w:bottom w:val="single" w:sz="4" w:space="0" w:color="auto"/>
              <w:right w:val="single" w:sz="4" w:space="0" w:color="auto"/>
            </w:tcBorders>
          </w:tcPr>
          <w:p w14:paraId="6042B74F" w14:textId="486F469E" w:rsidR="00CC1BFA" w:rsidRPr="009D4CD4" w:rsidRDefault="00CC1BFA" w:rsidP="001C1A8E">
            <w:pPr>
              <w:spacing w:after="0" w:line="240" w:lineRule="auto"/>
              <w:jc w:val="left"/>
              <w:rPr>
                <w:rFonts w:cs="Arial"/>
                <w:b/>
                <w:sz w:val="16"/>
                <w:szCs w:val="16"/>
              </w:rPr>
            </w:pPr>
            <w:r w:rsidRPr="009D4CD4">
              <w:rPr>
                <w:rFonts w:cs="Arial"/>
                <w:b/>
                <w:sz w:val="16"/>
                <w:szCs w:val="16"/>
              </w:rPr>
              <w:t>2020</w:t>
            </w:r>
          </w:p>
        </w:tc>
        <w:tc>
          <w:tcPr>
            <w:tcW w:w="810" w:type="dxa"/>
            <w:tcBorders>
              <w:top w:val="single" w:sz="4" w:space="0" w:color="auto"/>
              <w:left w:val="single" w:sz="4" w:space="0" w:color="auto"/>
              <w:bottom w:val="single" w:sz="4" w:space="0" w:color="auto"/>
              <w:right w:val="single" w:sz="4" w:space="0" w:color="auto"/>
            </w:tcBorders>
          </w:tcPr>
          <w:p w14:paraId="7A7F416A" w14:textId="552BE4DF" w:rsidR="00CC1BFA" w:rsidRPr="009D4CD4" w:rsidRDefault="00CC1BFA" w:rsidP="001C1A8E">
            <w:pPr>
              <w:spacing w:after="0" w:line="240" w:lineRule="auto"/>
              <w:jc w:val="left"/>
              <w:rPr>
                <w:rFonts w:cs="Arial"/>
                <w:b/>
                <w:sz w:val="16"/>
                <w:szCs w:val="16"/>
              </w:rPr>
            </w:pPr>
            <w:r w:rsidRPr="009D4CD4">
              <w:rPr>
                <w:rFonts w:cs="Arial"/>
                <w:b/>
                <w:sz w:val="16"/>
                <w:szCs w:val="16"/>
              </w:rPr>
              <w:t>2019</w:t>
            </w:r>
          </w:p>
        </w:tc>
      </w:tr>
      <w:tr w:rsidR="00CC1BFA" w:rsidRPr="009D4CD4" w14:paraId="3867E758" w14:textId="77777777" w:rsidTr="00DA209A">
        <w:trPr>
          <w:trHeight w:hRule="exact" w:val="284"/>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5D196673" w14:textId="2B554262" w:rsidR="00CC1BFA" w:rsidRPr="009D4CD4" w:rsidRDefault="00CC1BFA" w:rsidP="001C1A8E">
            <w:pPr>
              <w:spacing w:after="0" w:line="240" w:lineRule="auto"/>
              <w:jc w:val="left"/>
              <w:rPr>
                <w:rFonts w:cs="Arial"/>
                <w:bCs/>
                <w:sz w:val="16"/>
                <w:szCs w:val="16"/>
              </w:rPr>
            </w:pPr>
            <w:r w:rsidRPr="009D4CD4">
              <w:rPr>
                <w:rFonts w:cs="Arial"/>
                <w:bCs/>
                <w:sz w:val="16"/>
                <w:szCs w:val="16"/>
              </w:rPr>
              <w:t>Nombre de salariés CDI  en situation de handicap</w:t>
            </w:r>
          </w:p>
        </w:tc>
        <w:tc>
          <w:tcPr>
            <w:tcW w:w="810" w:type="dxa"/>
            <w:tcBorders>
              <w:top w:val="single" w:sz="4" w:space="0" w:color="auto"/>
              <w:left w:val="single" w:sz="4" w:space="0" w:color="auto"/>
              <w:bottom w:val="single" w:sz="4" w:space="0" w:color="auto"/>
              <w:right w:val="single" w:sz="4" w:space="0" w:color="auto"/>
            </w:tcBorders>
          </w:tcPr>
          <w:p w14:paraId="327C2052" w14:textId="6D15AB60"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109</w:t>
            </w:r>
          </w:p>
        </w:tc>
        <w:tc>
          <w:tcPr>
            <w:tcW w:w="810" w:type="dxa"/>
            <w:tcBorders>
              <w:top w:val="single" w:sz="4" w:space="0" w:color="auto"/>
              <w:left w:val="single" w:sz="4" w:space="0" w:color="auto"/>
              <w:bottom w:val="single" w:sz="4" w:space="0" w:color="auto"/>
              <w:right w:val="single" w:sz="4" w:space="0" w:color="auto"/>
            </w:tcBorders>
          </w:tcPr>
          <w:p w14:paraId="5EF0BBC2" w14:textId="3D33BC72"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104</w:t>
            </w:r>
          </w:p>
        </w:tc>
        <w:tc>
          <w:tcPr>
            <w:tcW w:w="810" w:type="dxa"/>
            <w:tcBorders>
              <w:top w:val="single" w:sz="4" w:space="0" w:color="auto"/>
              <w:left w:val="single" w:sz="4" w:space="0" w:color="auto"/>
              <w:bottom w:val="single" w:sz="4" w:space="0" w:color="auto"/>
              <w:right w:val="single" w:sz="4" w:space="0" w:color="auto"/>
            </w:tcBorders>
          </w:tcPr>
          <w:p w14:paraId="545FF6BD" w14:textId="67571B41"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100</w:t>
            </w:r>
          </w:p>
        </w:tc>
        <w:tc>
          <w:tcPr>
            <w:tcW w:w="810" w:type="dxa"/>
            <w:tcBorders>
              <w:top w:val="single" w:sz="4" w:space="0" w:color="auto"/>
              <w:left w:val="single" w:sz="4" w:space="0" w:color="auto"/>
              <w:bottom w:val="single" w:sz="4" w:space="0" w:color="auto"/>
              <w:right w:val="single" w:sz="4" w:space="0" w:color="auto"/>
            </w:tcBorders>
          </w:tcPr>
          <w:p w14:paraId="008994C5" w14:textId="4A0C850F" w:rsidR="00CC1BFA" w:rsidRPr="009D4CD4" w:rsidRDefault="00CC1BFA" w:rsidP="001C1A8E">
            <w:pPr>
              <w:spacing w:after="0" w:line="240" w:lineRule="auto"/>
              <w:jc w:val="left"/>
              <w:rPr>
                <w:rFonts w:cs="Arial"/>
                <w:sz w:val="16"/>
                <w:szCs w:val="16"/>
              </w:rPr>
            </w:pPr>
            <w:r w:rsidRPr="009D4CD4">
              <w:rPr>
                <w:rFonts w:cs="Arial"/>
                <w:sz w:val="16"/>
                <w:szCs w:val="16"/>
              </w:rPr>
              <w:t>0</w:t>
            </w:r>
          </w:p>
        </w:tc>
        <w:tc>
          <w:tcPr>
            <w:tcW w:w="810" w:type="dxa"/>
            <w:tcBorders>
              <w:top w:val="single" w:sz="4" w:space="0" w:color="auto"/>
              <w:left w:val="single" w:sz="4" w:space="0" w:color="auto"/>
              <w:bottom w:val="single" w:sz="4" w:space="0" w:color="auto"/>
              <w:right w:val="single" w:sz="4" w:space="0" w:color="auto"/>
            </w:tcBorders>
          </w:tcPr>
          <w:p w14:paraId="7B1805CA" w14:textId="090A43E2" w:rsidR="00CC1BFA" w:rsidRPr="009D4CD4" w:rsidRDefault="00DA209A" w:rsidP="001C1A8E">
            <w:pPr>
              <w:spacing w:after="0" w:line="240" w:lineRule="auto"/>
              <w:jc w:val="left"/>
              <w:rPr>
                <w:rFonts w:cs="Arial"/>
                <w:sz w:val="16"/>
                <w:szCs w:val="16"/>
              </w:rPr>
            </w:pPr>
            <w:r w:rsidRPr="009D4CD4">
              <w:rPr>
                <w:rFonts w:cs="Arial"/>
                <w:sz w:val="16"/>
                <w:szCs w:val="16"/>
              </w:rPr>
              <w:t>8</w:t>
            </w:r>
          </w:p>
        </w:tc>
        <w:tc>
          <w:tcPr>
            <w:tcW w:w="810" w:type="dxa"/>
            <w:tcBorders>
              <w:top w:val="single" w:sz="4" w:space="0" w:color="auto"/>
              <w:left w:val="single" w:sz="4" w:space="0" w:color="auto"/>
              <w:bottom w:val="single" w:sz="4" w:space="0" w:color="auto"/>
              <w:right w:val="single" w:sz="4" w:space="0" w:color="auto"/>
            </w:tcBorders>
          </w:tcPr>
          <w:p w14:paraId="391CF074" w14:textId="21B36AE1" w:rsidR="00CC1BFA" w:rsidRPr="009D4CD4" w:rsidRDefault="00CC1BFA" w:rsidP="001C1A8E">
            <w:pPr>
              <w:spacing w:after="0" w:line="240" w:lineRule="auto"/>
              <w:jc w:val="left"/>
              <w:rPr>
                <w:rFonts w:cs="Arial"/>
                <w:sz w:val="16"/>
                <w:szCs w:val="16"/>
              </w:rPr>
            </w:pPr>
            <w:r w:rsidRPr="009D4CD4">
              <w:rPr>
                <w:rFonts w:cs="Arial"/>
                <w:sz w:val="16"/>
                <w:szCs w:val="16"/>
              </w:rPr>
              <w:t>10</w:t>
            </w:r>
          </w:p>
        </w:tc>
        <w:tc>
          <w:tcPr>
            <w:tcW w:w="810" w:type="dxa"/>
            <w:tcBorders>
              <w:top w:val="single" w:sz="4" w:space="0" w:color="auto"/>
              <w:left w:val="single" w:sz="4" w:space="0" w:color="auto"/>
              <w:bottom w:val="single" w:sz="4" w:space="0" w:color="auto"/>
              <w:right w:val="single" w:sz="4" w:space="0" w:color="auto"/>
            </w:tcBorders>
          </w:tcPr>
          <w:p w14:paraId="26417666" w14:textId="4C23A4DD" w:rsidR="00CC1BFA" w:rsidRPr="009D4CD4" w:rsidRDefault="00CC1BFA" w:rsidP="001C1A8E">
            <w:pPr>
              <w:spacing w:after="0" w:line="240" w:lineRule="auto"/>
              <w:jc w:val="left"/>
              <w:rPr>
                <w:rFonts w:cs="Arial"/>
                <w:sz w:val="16"/>
                <w:szCs w:val="16"/>
              </w:rPr>
            </w:pPr>
            <w:r w:rsidRPr="009D4CD4">
              <w:rPr>
                <w:rFonts w:cs="Arial"/>
                <w:sz w:val="16"/>
                <w:szCs w:val="16"/>
              </w:rPr>
              <w:t>6</w:t>
            </w:r>
          </w:p>
        </w:tc>
      </w:tr>
      <w:tr w:rsidR="00CC1BFA" w:rsidRPr="009D4CD4" w14:paraId="3F137362" w14:textId="77777777" w:rsidTr="00DA209A">
        <w:trPr>
          <w:trHeight w:hRule="exact" w:val="284"/>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0522EEF8" w14:textId="77777777" w:rsidR="00CC1BFA" w:rsidRPr="009D4CD4" w:rsidRDefault="00CC1BFA" w:rsidP="001C1A8E">
            <w:pPr>
              <w:spacing w:after="0" w:line="240" w:lineRule="auto"/>
              <w:jc w:val="left"/>
              <w:rPr>
                <w:rFonts w:cs="Arial"/>
                <w:bCs/>
                <w:sz w:val="16"/>
                <w:szCs w:val="16"/>
              </w:rPr>
            </w:pPr>
            <w:r w:rsidRPr="009D4CD4">
              <w:rPr>
                <w:rFonts w:cs="Arial"/>
                <w:bCs/>
                <w:sz w:val="16"/>
                <w:szCs w:val="16"/>
              </w:rPr>
              <w:t>Recrutement salariés handicapés (CDI)</w:t>
            </w:r>
          </w:p>
        </w:tc>
        <w:tc>
          <w:tcPr>
            <w:tcW w:w="810" w:type="dxa"/>
            <w:tcBorders>
              <w:top w:val="single" w:sz="4" w:space="0" w:color="auto"/>
              <w:left w:val="single" w:sz="4" w:space="0" w:color="auto"/>
              <w:bottom w:val="single" w:sz="4" w:space="0" w:color="auto"/>
              <w:right w:val="single" w:sz="4" w:space="0" w:color="auto"/>
            </w:tcBorders>
          </w:tcPr>
          <w:p w14:paraId="283644F6" w14:textId="66C4B36C"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3</w:t>
            </w:r>
          </w:p>
        </w:tc>
        <w:tc>
          <w:tcPr>
            <w:tcW w:w="810" w:type="dxa"/>
            <w:tcBorders>
              <w:top w:val="single" w:sz="4" w:space="0" w:color="auto"/>
              <w:left w:val="single" w:sz="4" w:space="0" w:color="auto"/>
              <w:bottom w:val="single" w:sz="4" w:space="0" w:color="auto"/>
              <w:right w:val="single" w:sz="4" w:space="0" w:color="auto"/>
            </w:tcBorders>
          </w:tcPr>
          <w:p w14:paraId="450052EE" w14:textId="13BD6867"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2</w:t>
            </w:r>
          </w:p>
        </w:tc>
        <w:tc>
          <w:tcPr>
            <w:tcW w:w="810" w:type="dxa"/>
            <w:tcBorders>
              <w:top w:val="single" w:sz="4" w:space="0" w:color="auto"/>
              <w:left w:val="single" w:sz="4" w:space="0" w:color="auto"/>
              <w:bottom w:val="single" w:sz="4" w:space="0" w:color="auto"/>
              <w:right w:val="single" w:sz="4" w:space="0" w:color="auto"/>
            </w:tcBorders>
          </w:tcPr>
          <w:p w14:paraId="387A4BD4" w14:textId="11E0631D"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2</w:t>
            </w:r>
          </w:p>
        </w:tc>
        <w:tc>
          <w:tcPr>
            <w:tcW w:w="810" w:type="dxa"/>
            <w:tcBorders>
              <w:top w:val="single" w:sz="4" w:space="0" w:color="auto"/>
              <w:left w:val="single" w:sz="4" w:space="0" w:color="auto"/>
              <w:bottom w:val="single" w:sz="4" w:space="0" w:color="auto"/>
              <w:right w:val="single" w:sz="4" w:space="0" w:color="auto"/>
            </w:tcBorders>
          </w:tcPr>
          <w:p w14:paraId="46BBD5EA" w14:textId="6F7829E1" w:rsidR="00CC1BFA" w:rsidRPr="009D4CD4" w:rsidRDefault="00CC1BFA" w:rsidP="001C1A8E">
            <w:pPr>
              <w:spacing w:after="0" w:line="240" w:lineRule="auto"/>
              <w:jc w:val="left"/>
              <w:rPr>
                <w:rFonts w:cs="Arial"/>
                <w:sz w:val="16"/>
                <w:szCs w:val="16"/>
              </w:rPr>
            </w:pPr>
            <w:r w:rsidRPr="009D4CD4">
              <w:rPr>
                <w:rFonts w:cs="Arial"/>
                <w:sz w:val="16"/>
                <w:szCs w:val="16"/>
              </w:rPr>
              <w:t>0</w:t>
            </w:r>
          </w:p>
        </w:tc>
        <w:tc>
          <w:tcPr>
            <w:tcW w:w="810" w:type="dxa"/>
            <w:tcBorders>
              <w:top w:val="single" w:sz="4" w:space="0" w:color="auto"/>
              <w:left w:val="single" w:sz="4" w:space="0" w:color="auto"/>
              <w:bottom w:val="single" w:sz="4" w:space="0" w:color="auto"/>
              <w:right w:val="single" w:sz="4" w:space="0" w:color="auto"/>
            </w:tcBorders>
          </w:tcPr>
          <w:p w14:paraId="7F001457" w14:textId="196E522A" w:rsidR="00CC1BFA" w:rsidRPr="009D4CD4" w:rsidRDefault="00DA209A" w:rsidP="001C1A8E">
            <w:pPr>
              <w:spacing w:after="0" w:line="240" w:lineRule="auto"/>
              <w:jc w:val="left"/>
              <w:rPr>
                <w:rFonts w:cs="Arial"/>
                <w:sz w:val="16"/>
                <w:szCs w:val="16"/>
              </w:rPr>
            </w:pPr>
            <w:r w:rsidRPr="009D4CD4">
              <w:rPr>
                <w:rFonts w:cs="Arial"/>
                <w:sz w:val="16"/>
                <w:szCs w:val="16"/>
              </w:rPr>
              <w:t>0</w:t>
            </w:r>
          </w:p>
        </w:tc>
        <w:tc>
          <w:tcPr>
            <w:tcW w:w="810" w:type="dxa"/>
            <w:tcBorders>
              <w:top w:val="single" w:sz="4" w:space="0" w:color="auto"/>
              <w:left w:val="single" w:sz="4" w:space="0" w:color="auto"/>
              <w:bottom w:val="single" w:sz="4" w:space="0" w:color="auto"/>
              <w:right w:val="single" w:sz="4" w:space="0" w:color="auto"/>
            </w:tcBorders>
          </w:tcPr>
          <w:p w14:paraId="2F0A39F1" w14:textId="63A2FE3B" w:rsidR="00CC1BFA" w:rsidRPr="009D4CD4" w:rsidRDefault="00CC1BFA" w:rsidP="001C1A8E">
            <w:pPr>
              <w:spacing w:after="0" w:line="240" w:lineRule="auto"/>
              <w:jc w:val="left"/>
              <w:rPr>
                <w:rFonts w:cs="Arial"/>
                <w:sz w:val="16"/>
                <w:szCs w:val="16"/>
              </w:rPr>
            </w:pPr>
            <w:r w:rsidRPr="009D4CD4">
              <w:rPr>
                <w:rFonts w:cs="Arial"/>
                <w:sz w:val="16"/>
                <w:szCs w:val="16"/>
              </w:rPr>
              <w:t>1</w:t>
            </w:r>
          </w:p>
        </w:tc>
        <w:tc>
          <w:tcPr>
            <w:tcW w:w="810" w:type="dxa"/>
            <w:tcBorders>
              <w:top w:val="single" w:sz="4" w:space="0" w:color="auto"/>
              <w:left w:val="single" w:sz="4" w:space="0" w:color="auto"/>
              <w:bottom w:val="single" w:sz="4" w:space="0" w:color="auto"/>
              <w:right w:val="single" w:sz="4" w:space="0" w:color="auto"/>
            </w:tcBorders>
          </w:tcPr>
          <w:p w14:paraId="365D946A" w14:textId="3E47EB04" w:rsidR="00CC1BFA" w:rsidRPr="009D4CD4" w:rsidRDefault="00CC1BFA" w:rsidP="001C1A8E">
            <w:pPr>
              <w:spacing w:after="0" w:line="240" w:lineRule="auto"/>
              <w:jc w:val="left"/>
              <w:rPr>
                <w:rFonts w:cs="Arial"/>
                <w:sz w:val="16"/>
                <w:szCs w:val="16"/>
              </w:rPr>
            </w:pPr>
            <w:r w:rsidRPr="009D4CD4">
              <w:rPr>
                <w:rFonts w:cs="Arial"/>
                <w:sz w:val="16"/>
                <w:szCs w:val="16"/>
              </w:rPr>
              <w:t>3</w:t>
            </w:r>
          </w:p>
        </w:tc>
      </w:tr>
      <w:tr w:rsidR="00DA209A" w:rsidRPr="009D4CD4" w14:paraId="786761DC" w14:textId="77777777" w:rsidTr="00DA209A">
        <w:trPr>
          <w:trHeight w:hRule="exact" w:val="284"/>
        </w:trPr>
        <w:tc>
          <w:tcPr>
            <w:tcW w:w="3936" w:type="dxa"/>
            <w:tcBorders>
              <w:top w:val="single" w:sz="4" w:space="0" w:color="auto"/>
              <w:left w:val="nil"/>
              <w:bottom w:val="nil"/>
              <w:right w:val="nil"/>
            </w:tcBorders>
            <w:shd w:val="clear" w:color="auto" w:fill="auto"/>
            <w:vAlign w:val="center"/>
          </w:tcPr>
          <w:p w14:paraId="55205940" w14:textId="77777777" w:rsidR="00DA209A" w:rsidRPr="009D4CD4" w:rsidRDefault="00DA209A" w:rsidP="001C1A8E">
            <w:pPr>
              <w:spacing w:after="0" w:line="240" w:lineRule="auto"/>
              <w:jc w:val="left"/>
              <w:rPr>
                <w:rFonts w:cs="Arial"/>
                <w:bCs/>
                <w:sz w:val="16"/>
                <w:szCs w:val="16"/>
              </w:rPr>
            </w:pPr>
          </w:p>
        </w:tc>
        <w:tc>
          <w:tcPr>
            <w:tcW w:w="810" w:type="dxa"/>
            <w:tcBorders>
              <w:top w:val="single" w:sz="4" w:space="0" w:color="auto"/>
              <w:left w:val="nil"/>
              <w:bottom w:val="nil"/>
              <w:right w:val="nil"/>
            </w:tcBorders>
          </w:tcPr>
          <w:p w14:paraId="550CD6F2" w14:textId="77777777" w:rsidR="00DA209A" w:rsidRPr="009D4CD4" w:rsidRDefault="00DA209A" w:rsidP="001C1A8E">
            <w:pPr>
              <w:autoSpaceDE w:val="0"/>
              <w:autoSpaceDN w:val="0"/>
              <w:adjustRightInd w:val="0"/>
              <w:spacing w:after="0" w:line="240" w:lineRule="auto"/>
              <w:jc w:val="left"/>
              <w:rPr>
                <w:rFonts w:cs="Arial"/>
                <w:bCs/>
                <w:sz w:val="16"/>
                <w:szCs w:val="16"/>
              </w:rPr>
            </w:pPr>
          </w:p>
        </w:tc>
        <w:tc>
          <w:tcPr>
            <w:tcW w:w="810" w:type="dxa"/>
            <w:tcBorders>
              <w:top w:val="single" w:sz="4" w:space="0" w:color="auto"/>
              <w:left w:val="nil"/>
              <w:bottom w:val="nil"/>
              <w:right w:val="nil"/>
            </w:tcBorders>
          </w:tcPr>
          <w:p w14:paraId="689EF4ED" w14:textId="77777777" w:rsidR="00DA209A" w:rsidRPr="009D4CD4" w:rsidRDefault="00DA209A" w:rsidP="001C1A8E">
            <w:pPr>
              <w:autoSpaceDE w:val="0"/>
              <w:autoSpaceDN w:val="0"/>
              <w:adjustRightInd w:val="0"/>
              <w:spacing w:after="0" w:line="240" w:lineRule="auto"/>
              <w:jc w:val="left"/>
              <w:rPr>
                <w:rFonts w:cs="Arial"/>
                <w:bCs/>
                <w:sz w:val="16"/>
                <w:szCs w:val="16"/>
              </w:rPr>
            </w:pPr>
          </w:p>
        </w:tc>
        <w:tc>
          <w:tcPr>
            <w:tcW w:w="810" w:type="dxa"/>
            <w:tcBorders>
              <w:top w:val="single" w:sz="4" w:space="0" w:color="auto"/>
              <w:left w:val="nil"/>
              <w:bottom w:val="nil"/>
              <w:right w:val="nil"/>
            </w:tcBorders>
          </w:tcPr>
          <w:p w14:paraId="35272155" w14:textId="77777777" w:rsidR="00DA209A" w:rsidRPr="009D4CD4" w:rsidRDefault="00DA209A" w:rsidP="001C1A8E">
            <w:pPr>
              <w:autoSpaceDE w:val="0"/>
              <w:autoSpaceDN w:val="0"/>
              <w:adjustRightInd w:val="0"/>
              <w:spacing w:after="0" w:line="240" w:lineRule="auto"/>
              <w:jc w:val="left"/>
              <w:rPr>
                <w:rFonts w:cs="Arial"/>
                <w:bCs/>
                <w:sz w:val="16"/>
                <w:szCs w:val="16"/>
              </w:rPr>
            </w:pPr>
          </w:p>
        </w:tc>
        <w:tc>
          <w:tcPr>
            <w:tcW w:w="810" w:type="dxa"/>
            <w:tcBorders>
              <w:top w:val="single" w:sz="4" w:space="0" w:color="auto"/>
              <w:left w:val="nil"/>
              <w:bottom w:val="nil"/>
              <w:right w:val="nil"/>
            </w:tcBorders>
          </w:tcPr>
          <w:p w14:paraId="39368FAC" w14:textId="77777777" w:rsidR="00DA209A" w:rsidRPr="009D4CD4" w:rsidRDefault="00DA209A" w:rsidP="001C1A8E">
            <w:pPr>
              <w:spacing w:after="0" w:line="240" w:lineRule="auto"/>
              <w:jc w:val="left"/>
              <w:rPr>
                <w:rFonts w:cs="Arial"/>
                <w:sz w:val="16"/>
                <w:szCs w:val="16"/>
              </w:rPr>
            </w:pPr>
          </w:p>
        </w:tc>
        <w:tc>
          <w:tcPr>
            <w:tcW w:w="810" w:type="dxa"/>
            <w:tcBorders>
              <w:top w:val="single" w:sz="4" w:space="0" w:color="auto"/>
              <w:left w:val="nil"/>
              <w:bottom w:val="nil"/>
              <w:right w:val="nil"/>
            </w:tcBorders>
          </w:tcPr>
          <w:p w14:paraId="7D32927F" w14:textId="77777777" w:rsidR="00DA209A" w:rsidRPr="009D4CD4" w:rsidRDefault="00DA209A" w:rsidP="001C1A8E">
            <w:pPr>
              <w:spacing w:after="0" w:line="240" w:lineRule="auto"/>
              <w:jc w:val="left"/>
              <w:rPr>
                <w:rFonts w:cs="Arial"/>
                <w:sz w:val="16"/>
                <w:szCs w:val="16"/>
              </w:rPr>
            </w:pPr>
          </w:p>
        </w:tc>
        <w:tc>
          <w:tcPr>
            <w:tcW w:w="810" w:type="dxa"/>
            <w:tcBorders>
              <w:top w:val="single" w:sz="4" w:space="0" w:color="auto"/>
              <w:left w:val="nil"/>
              <w:bottom w:val="nil"/>
              <w:right w:val="nil"/>
            </w:tcBorders>
          </w:tcPr>
          <w:p w14:paraId="182B0A40" w14:textId="77777777" w:rsidR="00DA209A" w:rsidRPr="009D4CD4" w:rsidRDefault="00DA209A" w:rsidP="001C1A8E">
            <w:pPr>
              <w:spacing w:after="0" w:line="240" w:lineRule="auto"/>
              <w:jc w:val="left"/>
              <w:rPr>
                <w:rFonts w:cs="Arial"/>
                <w:sz w:val="16"/>
                <w:szCs w:val="16"/>
              </w:rPr>
            </w:pPr>
          </w:p>
        </w:tc>
        <w:tc>
          <w:tcPr>
            <w:tcW w:w="810" w:type="dxa"/>
            <w:tcBorders>
              <w:top w:val="single" w:sz="4" w:space="0" w:color="auto"/>
              <w:left w:val="nil"/>
              <w:bottom w:val="nil"/>
              <w:right w:val="nil"/>
            </w:tcBorders>
          </w:tcPr>
          <w:p w14:paraId="4634F352" w14:textId="77777777" w:rsidR="00DA209A" w:rsidRPr="009D4CD4" w:rsidRDefault="00DA209A" w:rsidP="001C1A8E">
            <w:pPr>
              <w:spacing w:after="0" w:line="240" w:lineRule="auto"/>
              <w:jc w:val="left"/>
              <w:rPr>
                <w:rFonts w:cs="Arial"/>
                <w:sz w:val="16"/>
                <w:szCs w:val="16"/>
              </w:rPr>
            </w:pPr>
          </w:p>
        </w:tc>
      </w:tr>
      <w:tr w:rsidR="00DA209A" w:rsidRPr="009D4CD4" w14:paraId="15B173A8" w14:textId="77777777" w:rsidTr="00DA209A">
        <w:trPr>
          <w:trHeight w:hRule="exact" w:val="284"/>
        </w:trPr>
        <w:tc>
          <w:tcPr>
            <w:tcW w:w="3936" w:type="dxa"/>
            <w:tcBorders>
              <w:top w:val="nil"/>
              <w:left w:val="nil"/>
              <w:bottom w:val="single" w:sz="4" w:space="0" w:color="auto"/>
              <w:right w:val="nil"/>
            </w:tcBorders>
            <w:shd w:val="clear" w:color="auto" w:fill="auto"/>
            <w:vAlign w:val="center"/>
          </w:tcPr>
          <w:p w14:paraId="1FD47BDE" w14:textId="17DF525A" w:rsidR="00DA209A" w:rsidRPr="009D4CD4" w:rsidRDefault="00DA209A" w:rsidP="001C1A8E">
            <w:pPr>
              <w:spacing w:after="0" w:line="240" w:lineRule="auto"/>
              <w:jc w:val="left"/>
              <w:rPr>
                <w:rFonts w:cs="Arial"/>
                <w:bCs/>
                <w:sz w:val="16"/>
                <w:szCs w:val="16"/>
              </w:rPr>
            </w:pPr>
            <w:r w:rsidRPr="009D4CD4">
              <w:rPr>
                <w:rFonts w:cs="Arial"/>
                <w:bCs/>
                <w:sz w:val="16"/>
                <w:szCs w:val="16"/>
              </w:rPr>
              <w:t xml:space="preserve">Au niveau de la </w:t>
            </w:r>
            <w:r w:rsidR="00A7717F">
              <w:rPr>
                <w:rFonts w:cs="Arial"/>
                <w:bCs/>
                <w:sz w:val="16"/>
                <w:szCs w:val="16"/>
              </w:rPr>
              <w:t>Caisse Régionale</w:t>
            </w:r>
          </w:p>
        </w:tc>
        <w:tc>
          <w:tcPr>
            <w:tcW w:w="810" w:type="dxa"/>
            <w:tcBorders>
              <w:top w:val="nil"/>
              <w:left w:val="nil"/>
              <w:bottom w:val="single" w:sz="4" w:space="0" w:color="auto"/>
              <w:right w:val="nil"/>
            </w:tcBorders>
          </w:tcPr>
          <w:p w14:paraId="35A0C0D3" w14:textId="77777777" w:rsidR="00DA209A" w:rsidRPr="009D4CD4" w:rsidRDefault="00DA209A" w:rsidP="001C1A8E">
            <w:pPr>
              <w:autoSpaceDE w:val="0"/>
              <w:autoSpaceDN w:val="0"/>
              <w:adjustRightInd w:val="0"/>
              <w:spacing w:after="0" w:line="240" w:lineRule="auto"/>
              <w:jc w:val="left"/>
              <w:rPr>
                <w:rFonts w:cs="Arial"/>
                <w:bCs/>
                <w:sz w:val="16"/>
                <w:szCs w:val="16"/>
              </w:rPr>
            </w:pPr>
          </w:p>
        </w:tc>
        <w:tc>
          <w:tcPr>
            <w:tcW w:w="810" w:type="dxa"/>
            <w:tcBorders>
              <w:top w:val="nil"/>
              <w:left w:val="nil"/>
              <w:bottom w:val="single" w:sz="4" w:space="0" w:color="auto"/>
              <w:right w:val="nil"/>
            </w:tcBorders>
          </w:tcPr>
          <w:p w14:paraId="73123BEF" w14:textId="77777777" w:rsidR="00DA209A" w:rsidRPr="009D4CD4" w:rsidRDefault="00DA209A" w:rsidP="001C1A8E">
            <w:pPr>
              <w:autoSpaceDE w:val="0"/>
              <w:autoSpaceDN w:val="0"/>
              <w:adjustRightInd w:val="0"/>
              <w:spacing w:after="0" w:line="240" w:lineRule="auto"/>
              <w:jc w:val="left"/>
              <w:rPr>
                <w:rFonts w:cs="Arial"/>
                <w:bCs/>
                <w:sz w:val="16"/>
                <w:szCs w:val="16"/>
              </w:rPr>
            </w:pPr>
          </w:p>
        </w:tc>
        <w:tc>
          <w:tcPr>
            <w:tcW w:w="810" w:type="dxa"/>
            <w:tcBorders>
              <w:top w:val="nil"/>
              <w:left w:val="nil"/>
              <w:bottom w:val="single" w:sz="4" w:space="0" w:color="auto"/>
              <w:right w:val="nil"/>
            </w:tcBorders>
          </w:tcPr>
          <w:p w14:paraId="1D924580" w14:textId="77777777" w:rsidR="00DA209A" w:rsidRPr="009D4CD4" w:rsidRDefault="00DA209A" w:rsidP="001C1A8E">
            <w:pPr>
              <w:autoSpaceDE w:val="0"/>
              <w:autoSpaceDN w:val="0"/>
              <w:adjustRightInd w:val="0"/>
              <w:spacing w:after="0" w:line="240" w:lineRule="auto"/>
              <w:jc w:val="left"/>
              <w:rPr>
                <w:rFonts w:cs="Arial"/>
                <w:bCs/>
                <w:sz w:val="16"/>
                <w:szCs w:val="16"/>
              </w:rPr>
            </w:pPr>
          </w:p>
        </w:tc>
        <w:tc>
          <w:tcPr>
            <w:tcW w:w="810" w:type="dxa"/>
            <w:tcBorders>
              <w:top w:val="nil"/>
              <w:left w:val="nil"/>
              <w:bottom w:val="nil"/>
              <w:right w:val="nil"/>
            </w:tcBorders>
          </w:tcPr>
          <w:p w14:paraId="0F80F4C7" w14:textId="77777777" w:rsidR="00DA209A" w:rsidRPr="009D4CD4" w:rsidRDefault="00DA209A" w:rsidP="001C1A8E">
            <w:pPr>
              <w:spacing w:after="0" w:line="240" w:lineRule="auto"/>
              <w:jc w:val="left"/>
              <w:rPr>
                <w:rFonts w:cs="Arial"/>
                <w:sz w:val="16"/>
                <w:szCs w:val="16"/>
              </w:rPr>
            </w:pPr>
          </w:p>
        </w:tc>
        <w:tc>
          <w:tcPr>
            <w:tcW w:w="810" w:type="dxa"/>
            <w:tcBorders>
              <w:top w:val="nil"/>
              <w:left w:val="nil"/>
              <w:bottom w:val="nil"/>
              <w:right w:val="nil"/>
            </w:tcBorders>
          </w:tcPr>
          <w:p w14:paraId="613B2F63" w14:textId="77777777" w:rsidR="00DA209A" w:rsidRPr="009D4CD4" w:rsidRDefault="00DA209A" w:rsidP="001C1A8E">
            <w:pPr>
              <w:spacing w:after="0" w:line="240" w:lineRule="auto"/>
              <w:jc w:val="left"/>
              <w:rPr>
                <w:rFonts w:cs="Arial"/>
                <w:sz w:val="16"/>
                <w:szCs w:val="16"/>
              </w:rPr>
            </w:pPr>
          </w:p>
        </w:tc>
        <w:tc>
          <w:tcPr>
            <w:tcW w:w="810" w:type="dxa"/>
            <w:tcBorders>
              <w:top w:val="nil"/>
              <w:left w:val="nil"/>
              <w:bottom w:val="nil"/>
              <w:right w:val="nil"/>
            </w:tcBorders>
          </w:tcPr>
          <w:p w14:paraId="3695D28A" w14:textId="77777777" w:rsidR="00DA209A" w:rsidRPr="009D4CD4" w:rsidRDefault="00DA209A" w:rsidP="001C1A8E">
            <w:pPr>
              <w:spacing w:after="0" w:line="240" w:lineRule="auto"/>
              <w:jc w:val="left"/>
              <w:rPr>
                <w:rFonts w:cs="Arial"/>
                <w:sz w:val="16"/>
                <w:szCs w:val="16"/>
              </w:rPr>
            </w:pPr>
          </w:p>
        </w:tc>
        <w:tc>
          <w:tcPr>
            <w:tcW w:w="810" w:type="dxa"/>
            <w:tcBorders>
              <w:top w:val="nil"/>
              <w:left w:val="nil"/>
              <w:bottom w:val="nil"/>
              <w:right w:val="nil"/>
            </w:tcBorders>
          </w:tcPr>
          <w:p w14:paraId="2CBACF5A" w14:textId="77777777" w:rsidR="00DA209A" w:rsidRPr="009D4CD4" w:rsidRDefault="00DA209A" w:rsidP="001C1A8E">
            <w:pPr>
              <w:spacing w:after="0" w:line="240" w:lineRule="auto"/>
              <w:jc w:val="left"/>
              <w:rPr>
                <w:rFonts w:cs="Arial"/>
                <w:sz w:val="16"/>
                <w:szCs w:val="16"/>
              </w:rPr>
            </w:pPr>
          </w:p>
        </w:tc>
      </w:tr>
      <w:tr w:rsidR="00CC1BFA" w:rsidRPr="009D4CD4" w14:paraId="7CC3495F" w14:textId="77777777" w:rsidTr="00DA209A">
        <w:trPr>
          <w:trHeight w:hRule="exact" w:val="284"/>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683E5E60" w14:textId="295B6281" w:rsidR="00CC1BFA" w:rsidRPr="009D4CD4" w:rsidRDefault="00CC1BFA" w:rsidP="001C1A8E">
            <w:pPr>
              <w:spacing w:after="0" w:line="240" w:lineRule="auto"/>
              <w:jc w:val="left"/>
              <w:rPr>
                <w:rFonts w:cs="Arial"/>
                <w:bCs/>
                <w:sz w:val="16"/>
                <w:szCs w:val="16"/>
              </w:rPr>
            </w:pPr>
            <w:r w:rsidRPr="009D4CD4">
              <w:rPr>
                <w:rFonts w:cs="Arial"/>
                <w:bCs/>
                <w:sz w:val="16"/>
                <w:szCs w:val="16"/>
              </w:rPr>
              <w:t>Taux d’emploi de travailleurs handicapés (n-1)</w:t>
            </w:r>
          </w:p>
        </w:tc>
        <w:tc>
          <w:tcPr>
            <w:tcW w:w="810" w:type="dxa"/>
            <w:tcBorders>
              <w:top w:val="single" w:sz="4" w:space="0" w:color="auto"/>
              <w:left w:val="single" w:sz="4" w:space="0" w:color="auto"/>
              <w:bottom w:val="single" w:sz="4" w:space="0" w:color="auto"/>
              <w:right w:val="single" w:sz="4" w:space="0" w:color="auto"/>
            </w:tcBorders>
          </w:tcPr>
          <w:p w14:paraId="3BB778AB" w14:textId="6B3D5E2E"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ND</w:t>
            </w:r>
          </w:p>
        </w:tc>
        <w:tc>
          <w:tcPr>
            <w:tcW w:w="810" w:type="dxa"/>
            <w:tcBorders>
              <w:top w:val="single" w:sz="4" w:space="0" w:color="auto"/>
              <w:left w:val="single" w:sz="4" w:space="0" w:color="auto"/>
              <w:bottom w:val="single" w:sz="4" w:space="0" w:color="auto"/>
              <w:right w:val="single" w:sz="4" w:space="0" w:color="auto"/>
            </w:tcBorders>
          </w:tcPr>
          <w:p w14:paraId="089D1243" w14:textId="4DFE6A2C"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6,3 %</w:t>
            </w:r>
          </w:p>
        </w:tc>
        <w:tc>
          <w:tcPr>
            <w:tcW w:w="810" w:type="dxa"/>
            <w:tcBorders>
              <w:top w:val="single" w:sz="4" w:space="0" w:color="auto"/>
              <w:left w:val="single" w:sz="4" w:space="0" w:color="auto"/>
              <w:bottom w:val="single" w:sz="4" w:space="0" w:color="auto"/>
              <w:right w:val="single" w:sz="4" w:space="0" w:color="auto"/>
            </w:tcBorders>
          </w:tcPr>
          <w:p w14:paraId="0CD25B86" w14:textId="2C2BC9F7" w:rsidR="00CC1BFA" w:rsidRPr="009D4CD4" w:rsidRDefault="00CC1BFA" w:rsidP="001C1A8E">
            <w:pPr>
              <w:autoSpaceDE w:val="0"/>
              <w:autoSpaceDN w:val="0"/>
              <w:adjustRightInd w:val="0"/>
              <w:spacing w:after="0" w:line="240" w:lineRule="auto"/>
              <w:jc w:val="left"/>
              <w:rPr>
                <w:rFonts w:cs="Arial"/>
                <w:bCs/>
                <w:sz w:val="16"/>
                <w:szCs w:val="16"/>
              </w:rPr>
            </w:pPr>
            <w:r w:rsidRPr="009D4CD4">
              <w:rPr>
                <w:rFonts w:cs="Arial"/>
                <w:bCs/>
                <w:sz w:val="16"/>
                <w:szCs w:val="16"/>
              </w:rPr>
              <w:t>6,1 %</w:t>
            </w:r>
          </w:p>
        </w:tc>
        <w:tc>
          <w:tcPr>
            <w:tcW w:w="810" w:type="dxa"/>
            <w:tcBorders>
              <w:top w:val="nil"/>
              <w:left w:val="single" w:sz="4" w:space="0" w:color="auto"/>
              <w:bottom w:val="nil"/>
              <w:right w:val="nil"/>
            </w:tcBorders>
          </w:tcPr>
          <w:p w14:paraId="7D0DEC95" w14:textId="44121B3F" w:rsidR="00CC1BFA" w:rsidRPr="009D4CD4" w:rsidRDefault="00CC1BFA" w:rsidP="001C1A8E">
            <w:pPr>
              <w:spacing w:after="0" w:line="240" w:lineRule="auto"/>
              <w:jc w:val="left"/>
              <w:rPr>
                <w:rFonts w:cs="Arial"/>
                <w:sz w:val="16"/>
                <w:szCs w:val="16"/>
              </w:rPr>
            </w:pPr>
          </w:p>
        </w:tc>
        <w:tc>
          <w:tcPr>
            <w:tcW w:w="810" w:type="dxa"/>
            <w:tcBorders>
              <w:top w:val="nil"/>
              <w:left w:val="nil"/>
              <w:bottom w:val="nil"/>
              <w:right w:val="nil"/>
            </w:tcBorders>
          </w:tcPr>
          <w:p w14:paraId="044EDE91" w14:textId="388FDEDD" w:rsidR="00CC1BFA" w:rsidRPr="009D4CD4" w:rsidRDefault="00CC1BFA" w:rsidP="001C1A8E">
            <w:pPr>
              <w:spacing w:after="0" w:line="240" w:lineRule="auto"/>
              <w:jc w:val="left"/>
              <w:rPr>
                <w:rFonts w:cs="Arial"/>
                <w:sz w:val="16"/>
                <w:szCs w:val="16"/>
              </w:rPr>
            </w:pPr>
          </w:p>
        </w:tc>
        <w:tc>
          <w:tcPr>
            <w:tcW w:w="810" w:type="dxa"/>
            <w:tcBorders>
              <w:top w:val="nil"/>
              <w:left w:val="nil"/>
              <w:bottom w:val="nil"/>
              <w:right w:val="nil"/>
            </w:tcBorders>
          </w:tcPr>
          <w:p w14:paraId="1A3A0638" w14:textId="5032A73B" w:rsidR="00CC1BFA" w:rsidRPr="009D4CD4" w:rsidRDefault="00CC1BFA" w:rsidP="001C1A8E">
            <w:pPr>
              <w:spacing w:after="0" w:line="240" w:lineRule="auto"/>
              <w:jc w:val="left"/>
              <w:rPr>
                <w:rFonts w:cs="Arial"/>
                <w:sz w:val="16"/>
                <w:szCs w:val="16"/>
              </w:rPr>
            </w:pPr>
          </w:p>
        </w:tc>
        <w:tc>
          <w:tcPr>
            <w:tcW w:w="810" w:type="dxa"/>
            <w:tcBorders>
              <w:top w:val="nil"/>
              <w:left w:val="nil"/>
              <w:bottom w:val="nil"/>
              <w:right w:val="nil"/>
            </w:tcBorders>
          </w:tcPr>
          <w:p w14:paraId="3F0D5003" w14:textId="79C46FE9" w:rsidR="00CC1BFA" w:rsidRPr="009D4CD4" w:rsidRDefault="00CC1BFA" w:rsidP="001C1A8E">
            <w:pPr>
              <w:spacing w:after="0" w:line="240" w:lineRule="auto"/>
              <w:jc w:val="left"/>
              <w:rPr>
                <w:rFonts w:cs="Arial"/>
                <w:sz w:val="16"/>
                <w:szCs w:val="16"/>
              </w:rPr>
            </w:pPr>
          </w:p>
        </w:tc>
      </w:tr>
    </w:tbl>
    <w:p w14:paraId="1EDEF407" w14:textId="47AAA39F" w:rsidR="00677357" w:rsidRDefault="00677357" w:rsidP="00B72A61">
      <w:pPr>
        <w:spacing w:after="0" w:line="240" w:lineRule="auto"/>
        <w:jc w:val="left"/>
      </w:pPr>
    </w:p>
    <w:p w14:paraId="7853F77B" w14:textId="77777777" w:rsidR="00677357" w:rsidRDefault="00677357">
      <w:pPr>
        <w:spacing w:after="0" w:line="240" w:lineRule="auto"/>
        <w:jc w:val="left"/>
      </w:pPr>
      <w:r>
        <w:br w:type="page"/>
      </w:r>
    </w:p>
    <w:p w14:paraId="149C445B" w14:textId="5F2C9E3B" w:rsidR="00B72A61" w:rsidRPr="009D4CD4" w:rsidRDefault="00B72A61" w:rsidP="00F41917">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64911F2A" w14:textId="77777777" w:rsidR="005E2849" w:rsidRPr="009D4CD4" w:rsidRDefault="005E2849" w:rsidP="009C33E6">
      <w:pPr>
        <w:pStyle w:val="NormalWeb"/>
        <w:shd w:val="clear" w:color="auto" w:fill="FFFFFF"/>
        <w:spacing w:before="0" w:beforeAutospacing="0" w:after="0" w:afterAutospacing="0"/>
        <w:rPr>
          <w:rFonts w:ascii="Calibri" w:hAnsi="Calibri" w:cs="Calibri"/>
          <w:sz w:val="22"/>
          <w:szCs w:val="22"/>
        </w:rPr>
      </w:pPr>
    </w:p>
    <w:p w14:paraId="0D9BA40A" w14:textId="5034C82B" w:rsidR="00AF33AE" w:rsidRPr="009D4CD4" w:rsidRDefault="00AF33AE" w:rsidP="00AF33AE">
      <w:pPr>
        <w:spacing w:after="0" w:line="240" w:lineRule="auto"/>
        <w:rPr>
          <w:rFonts w:cs="Calibri"/>
          <w:lang w:eastAsia="fr-FR"/>
        </w:rPr>
      </w:pPr>
      <w:r w:rsidRPr="009D4CD4">
        <w:rPr>
          <w:lang w:eastAsia="fr-FR"/>
        </w:rPr>
        <w:t xml:space="preserve">La </w:t>
      </w:r>
      <w:r w:rsidR="00A7717F">
        <w:rPr>
          <w:lang w:eastAsia="fr-FR"/>
        </w:rPr>
        <w:t>Caisse Régionale</w:t>
      </w:r>
      <w:r w:rsidRPr="009D4CD4">
        <w:rPr>
          <w:lang w:eastAsia="fr-FR"/>
        </w:rPr>
        <w:t xml:space="preserve"> poursuit sa politique en faveur des personnes handicapées, grâce notamment à des mesures concourant au maintien dans l’emploi, aux recrutements externes, et au développement du travail dans le secteur adapté et protégé. </w:t>
      </w:r>
    </w:p>
    <w:p w14:paraId="26F0DB57" w14:textId="7CA2DAD0" w:rsidR="00AF33AE" w:rsidRPr="009D4CD4" w:rsidRDefault="00AF33AE" w:rsidP="00AF33AE">
      <w:pPr>
        <w:spacing w:after="0" w:line="240" w:lineRule="auto"/>
        <w:rPr>
          <w:lang w:eastAsia="fr-FR"/>
        </w:rPr>
      </w:pPr>
      <w:r w:rsidRPr="009D4CD4">
        <w:rPr>
          <w:lang w:eastAsia="fr-FR"/>
        </w:rPr>
        <w:t>Un axe important de la politique en faveur des personnes handicapées du Crédit Agricole Nord Midi-Pyrénées porte sur le recrutement. Au niveau du Groupe Crédit Agricole, le 4</w:t>
      </w:r>
      <w:r w:rsidRPr="009D4CD4">
        <w:rPr>
          <w:vertAlign w:val="superscript"/>
          <w:lang w:eastAsia="fr-FR"/>
        </w:rPr>
        <w:t>ème</w:t>
      </w:r>
      <w:r w:rsidRPr="009D4CD4">
        <w:rPr>
          <w:lang w:eastAsia="fr-FR"/>
        </w:rPr>
        <w:t xml:space="preserve"> accord « HECA », regroupant l’ensemble de Caisses Régionales et portant sur la période 2020- 2022 fixe comme ambition pour les Caisses régionales de participer à l’employabilité des salariés handicapés pour atteindre, au terme de l’accord, la proportion de 6% minimum de l’effectif au niveau national sans qu’une entité ne puisse se situer en dessous d’un taux de 5%. Cet accord précise des objectifs nationaux de recrutements à hauteur de 450 salariés reconnus travailleurs handicapés dont 200 CDI, sur la période des 3 ans.</w:t>
      </w:r>
    </w:p>
    <w:p w14:paraId="011B6BEE" w14:textId="697D3E04" w:rsidR="00AF33AE" w:rsidRPr="009D4CD4" w:rsidRDefault="00AF33AE" w:rsidP="00AF33AE">
      <w:pPr>
        <w:spacing w:after="0" w:line="240" w:lineRule="auto"/>
        <w:jc w:val="left"/>
        <w:rPr>
          <w:lang w:eastAsia="fr-FR"/>
        </w:rPr>
      </w:pPr>
      <w:r w:rsidRPr="009D4CD4">
        <w:rPr>
          <w:lang w:eastAsia="fr-FR"/>
        </w:rPr>
        <w:t>Le CANMP poursuit sa politique de recrutement en ouvrant tous les postes à tous et en mentionnant dans les offres d’emploi externes, que les postes sont aménagés en conséquence. En 2021, 2 CDI ont rejoint les effectifs, ainsi que 2 nouveaux CDD, dont un a ensuite été retenu pour un contrat CDI.</w:t>
      </w:r>
    </w:p>
    <w:p w14:paraId="14083C57" w14:textId="5524B550" w:rsidR="00AF33AE" w:rsidRPr="009D4CD4" w:rsidRDefault="00AF33AE" w:rsidP="00AF33AE">
      <w:pPr>
        <w:spacing w:after="0" w:line="240" w:lineRule="auto"/>
        <w:jc w:val="left"/>
        <w:rPr>
          <w:lang w:eastAsia="fr-FR"/>
        </w:rPr>
      </w:pPr>
      <w:r w:rsidRPr="009D4CD4">
        <w:rPr>
          <w:lang w:eastAsia="fr-FR"/>
        </w:rPr>
        <w:t xml:space="preserve">En 2021, la </w:t>
      </w:r>
      <w:r w:rsidR="00A7717F">
        <w:rPr>
          <w:lang w:eastAsia="fr-FR"/>
        </w:rPr>
        <w:t>Caisse Régionale</w:t>
      </w:r>
      <w:r w:rsidRPr="009D4CD4">
        <w:rPr>
          <w:lang w:eastAsia="fr-FR"/>
        </w:rPr>
        <w:t xml:space="preserve"> a participé au Salon en ligne HelloHandicap. Elle poursuit ses actions et auprès des acteurs locaux Pôle emploi et Cap emploi, afin de relayer sa politique d’emploi auprès des personnes reconnues travailleur handicapé.</w:t>
      </w:r>
    </w:p>
    <w:p w14:paraId="1AFF95E6" w14:textId="77777777" w:rsidR="00AF33AE" w:rsidRPr="009D4CD4" w:rsidRDefault="00AF33AE" w:rsidP="00AF33AE">
      <w:pPr>
        <w:spacing w:after="0" w:line="240" w:lineRule="auto"/>
        <w:jc w:val="left"/>
        <w:rPr>
          <w:lang w:eastAsia="fr-FR"/>
        </w:rPr>
      </w:pPr>
    </w:p>
    <w:p w14:paraId="5A2651B0" w14:textId="64525A92" w:rsidR="00AF33AE" w:rsidRPr="009D4CD4" w:rsidRDefault="00AF33AE" w:rsidP="00AF33AE">
      <w:pPr>
        <w:spacing w:after="0" w:line="240" w:lineRule="auto"/>
        <w:jc w:val="left"/>
        <w:rPr>
          <w:rFonts w:cs="Calibri"/>
          <w:lang w:eastAsia="fr-FR"/>
        </w:rPr>
      </w:pPr>
      <w:r w:rsidRPr="009D4CD4">
        <w:rPr>
          <w:lang w:eastAsia="fr-FR"/>
        </w:rPr>
        <w:t xml:space="preserve">Le CANMP a participé à l’évolution du cursus de formation en alternance, conjointement avec l’Université Champollion (Albi). Le Diplôme d’Etablissement, qui prépare au métier d’Attaché de clientèle, dure maintenant 16 mois et permet d’accéder au niveau requis pour intégrer la </w:t>
      </w:r>
      <w:r w:rsidR="00A7717F">
        <w:rPr>
          <w:lang w:eastAsia="fr-FR"/>
        </w:rPr>
        <w:t>Caisse Régionale</w:t>
      </w:r>
      <w:r w:rsidRPr="009D4CD4">
        <w:rPr>
          <w:lang w:eastAsia="fr-FR"/>
        </w:rPr>
        <w:t xml:space="preserve">. </w:t>
      </w:r>
      <w:r w:rsidRPr="009D4CD4">
        <w:rPr>
          <w:i/>
          <w:lang w:eastAsia="fr-FR"/>
        </w:rPr>
        <w:t xml:space="preserve"> </w:t>
      </w:r>
      <w:r w:rsidRPr="009D4CD4">
        <w:rPr>
          <w:lang w:eastAsia="fr-FR"/>
        </w:rPr>
        <w:t>La promotion qui a débuté en 2020 s’est poursuivie sur 2021 en s’adaptant au contexte sanitaire</w:t>
      </w:r>
      <w:r w:rsidRPr="009D4CD4">
        <w:rPr>
          <w:i/>
          <w:lang w:eastAsia="fr-FR"/>
        </w:rPr>
        <w:t>.</w:t>
      </w:r>
    </w:p>
    <w:p w14:paraId="0B18A6D1" w14:textId="579A76D7" w:rsidR="00AF33AE" w:rsidRPr="009D4CD4" w:rsidRDefault="00AF33AE" w:rsidP="00AF33AE">
      <w:pPr>
        <w:spacing w:after="0" w:line="240" w:lineRule="auto"/>
        <w:jc w:val="left"/>
        <w:rPr>
          <w:lang w:eastAsia="fr-FR"/>
        </w:rPr>
      </w:pPr>
      <w:r w:rsidRPr="009D4CD4">
        <w:rPr>
          <w:lang w:eastAsia="fr-FR"/>
        </w:rPr>
        <w:t>22 salariés recrutés à l’issue de cette formation évoluent dans l’entreprise, soit vers des métiers de conseil en agence, soit de technicien dans des services administratifs. On constate que leur évolution se réalise au même rythme que la moyenne des autres salariés.</w:t>
      </w:r>
    </w:p>
    <w:p w14:paraId="5BCDFC28" w14:textId="77777777" w:rsidR="00AF33AE" w:rsidRPr="009D4CD4" w:rsidRDefault="00AF33AE" w:rsidP="00AF33AE">
      <w:pPr>
        <w:spacing w:after="0" w:line="240" w:lineRule="auto"/>
        <w:jc w:val="left"/>
        <w:rPr>
          <w:lang w:eastAsia="fr-FR"/>
        </w:rPr>
      </w:pPr>
    </w:p>
    <w:p w14:paraId="52D2A1E2" w14:textId="294C28CC" w:rsidR="00AF33AE" w:rsidRPr="009D4CD4" w:rsidRDefault="00AF33AE" w:rsidP="00AF33AE">
      <w:pPr>
        <w:spacing w:after="0" w:line="240" w:lineRule="auto"/>
        <w:rPr>
          <w:lang w:eastAsia="fr-FR"/>
        </w:rPr>
      </w:pPr>
      <w:r w:rsidRPr="009D4CD4">
        <w:rPr>
          <w:lang w:eastAsia="fr-FR"/>
        </w:rPr>
        <w:t xml:space="preserve">Un autre axe important de la politique en faveur des personnes handicapées concerne le maintien dans l’emploi des collaborateurs reconnus travailleurs handicapés. La </w:t>
      </w:r>
      <w:r w:rsidR="00A7717F">
        <w:rPr>
          <w:lang w:eastAsia="fr-FR"/>
        </w:rPr>
        <w:t>Caisse Régionale</w:t>
      </w:r>
      <w:r w:rsidRPr="009D4CD4">
        <w:rPr>
          <w:lang w:eastAsia="fr-FR"/>
        </w:rPr>
        <w:t xml:space="preserve"> accompagne les salariés dans leurs démarches administratives auprès des Maisons Départementales pour les Personnes Handicapées. Elle</w:t>
      </w:r>
      <w:r w:rsidR="00F04A86">
        <w:rPr>
          <w:lang w:eastAsia="fr-FR"/>
        </w:rPr>
        <w:t xml:space="preserve"> </w:t>
      </w:r>
      <w:r w:rsidRPr="009D4CD4">
        <w:rPr>
          <w:lang w:eastAsia="fr-FR"/>
        </w:rPr>
        <w:t xml:space="preserve">prend en charge les accompagnements adaptés. Selon les préconisations des médecins du travail ou de la prévention des risques de la Mutualité Sociale Agricole, sont réalisés des aménagements de temps, de postes, des mises à disposition de fauteuils personnalisés, bras articulés, grands écrans etc. Les aménagements sont mis en place par les différents services de la </w:t>
      </w:r>
      <w:r w:rsidR="00A7717F">
        <w:rPr>
          <w:lang w:eastAsia="fr-FR"/>
        </w:rPr>
        <w:t>Caisse Régionale</w:t>
      </w:r>
      <w:r w:rsidRPr="009D4CD4">
        <w:rPr>
          <w:lang w:eastAsia="fr-FR"/>
        </w:rPr>
        <w:t xml:space="preserve"> (logistique, informatique-téléphonie). </w:t>
      </w:r>
    </w:p>
    <w:p w14:paraId="50756993" w14:textId="77777777" w:rsidR="00AF33AE" w:rsidRPr="009D4CD4" w:rsidRDefault="00AF33AE" w:rsidP="00AF33AE">
      <w:pPr>
        <w:spacing w:after="0" w:line="240" w:lineRule="auto"/>
        <w:rPr>
          <w:b/>
          <w:i/>
          <w:lang w:eastAsia="fr-FR"/>
        </w:rPr>
      </w:pPr>
      <w:r w:rsidRPr="009D4CD4">
        <w:rPr>
          <w:lang w:eastAsia="fr-FR"/>
        </w:rPr>
        <w:t>En 2021, ces aménagements ont concerné 29 salariés reconnus travailleurs handicapés, principalement pour permettre une reprise du travail suite à un arrêt maladie</w:t>
      </w:r>
      <w:r w:rsidRPr="009D4CD4">
        <w:rPr>
          <w:b/>
          <w:i/>
          <w:lang w:eastAsia="fr-FR"/>
        </w:rPr>
        <w:t xml:space="preserve">. </w:t>
      </w:r>
    </w:p>
    <w:p w14:paraId="2CB287EE" w14:textId="77777777" w:rsidR="00AF33AE" w:rsidRPr="009D4CD4" w:rsidRDefault="00AF33AE" w:rsidP="00AF33AE">
      <w:pPr>
        <w:spacing w:after="0" w:line="240" w:lineRule="auto"/>
        <w:rPr>
          <w:lang w:eastAsia="fr-FR"/>
        </w:rPr>
      </w:pPr>
    </w:p>
    <w:p w14:paraId="47EB2F21" w14:textId="3227674B" w:rsidR="00AF33AE" w:rsidRPr="009D4CD4" w:rsidRDefault="00AF33AE" w:rsidP="00AF33AE">
      <w:pPr>
        <w:spacing w:after="0" w:line="240" w:lineRule="auto"/>
        <w:rPr>
          <w:b/>
          <w:i/>
          <w:lang w:eastAsia="fr-FR"/>
        </w:rPr>
      </w:pPr>
      <w:r w:rsidRPr="009D4CD4">
        <w:rPr>
          <w:lang w:eastAsia="fr-FR"/>
        </w:rPr>
        <w:t>Chaque année, les salariés sont incités à réaliser gratuitement un dépistage auditif auprès de la médecine du travail. Ils sont informés de la possibilité de prise en charge financière des appareils auditifs.</w:t>
      </w:r>
    </w:p>
    <w:p w14:paraId="293D934A" w14:textId="77777777" w:rsidR="00AF33AE" w:rsidRPr="009D4CD4" w:rsidRDefault="00AF33AE" w:rsidP="00AF33AE">
      <w:pPr>
        <w:spacing w:after="0" w:line="240" w:lineRule="auto"/>
        <w:jc w:val="left"/>
        <w:rPr>
          <w:lang w:eastAsia="fr-FR"/>
        </w:rPr>
      </w:pPr>
    </w:p>
    <w:p w14:paraId="247BE8A5" w14:textId="09087006" w:rsidR="00AF33AE" w:rsidRPr="009D4CD4" w:rsidRDefault="00AF33AE" w:rsidP="00AF33AE">
      <w:pPr>
        <w:spacing w:after="0" w:line="240" w:lineRule="auto"/>
        <w:jc w:val="left"/>
        <w:rPr>
          <w:lang w:eastAsia="fr-FR"/>
        </w:rPr>
      </w:pPr>
      <w:r w:rsidRPr="009D4CD4">
        <w:rPr>
          <w:lang w:eastAsia="fr-FR"/>
        </w:rPr>
        <w:t xml:space="preserve">La </w:t>
      </w:r>
      <w:r w:rsidR="00A7717F">
        <w:rPr>
          <w:lang w:eastAsia="fr-FR"/>
        </w:rPr>
        <w:t>Caisse Régionale</w:t>
      </w:r>
      <w:r w:rsidRPr="009D4CD4">
        <w:rPr>
          <w:lang w:eastAsia="fr-FR"/>
        </w:rPr>
        <w:t xml:space="preserve"> mène des actions de sensibilisation auprès des salariés et des jeunes.</w:t>
      </w:r>
    </w:p>
    <w:p w14:paraId="10BA5F30" w14:textId="71A87E3A" w:rsidR="00AF33AE" w:rsidRPr="009D4CD4" w:rsidRDefault="00AF33AE" w:rsidP="00AF33AE">
      <w:pPr>
        <w:spacing w:after="0" w:line="240" w:lineRule="auto"/>
        <w:rPr>
          <w:rFonts w:cstheme="minorHAnsi"/>
        </w:rPr>
      </w:pPr>
      <w:r w:rsidRPr="009D4CD4">
        <w:rPr>
          <w:lang w:eastAsia="fr-FR"/>
        </w:rPr>
        <w:t xml:space="preserve">Par exemple, les salariés du CANMP sont informés des actions réalisées en faveur des personnes handicapées lors de la Semaine nationale pour l’emploi des personnes handicapées en novembre, à travers notamment une information collective disponible sur l’intranet. En 2021, cette information a porté sur le rappel des nouvelles mesures de </w:t>
      </w:r>
      <w:r w:rsidRPr="009D4CD4">
        <w:rPr>
          <w:rFonts w:cstheme="minorHAnsi"/>
        </w:rPr>
        <w:t>l’ accord du 20 juillet 2020 relatif à l’emploi des travailleurs handicapés c’est-à-dire le recours à 2 jours de congés supplémentaires par an afin de réaliser des démarches administratives ou pour des actes médicaux ou paramédicaux, et au Télétravail pouvant être porté au-delà d’un jour ;13 salariés bénéficient de jours de télétravail supplémentaires et que 10 salariés ont utilisé ces jours de congés spécifiques sur 2021.</w:t>
      </w:r>
    </w:p>
    <w:p w14:paraId="58E25DB9" w14:textId="77777777" w:rsidR="00AF33AE" w:rsidRPr="009D4CD4" w:rsidRDefault="00AF33AE" w:rsidP="00AF33AE">
      <w:pPr>
        <w:spacing w:after="0" w:line="240" w:lineRule="auto"/>
        <w:rPr>
          <w:rFonts w:cstheme="minorHAnsi"/>
        </w:rPr>
      </w:pPr>
      <w:r w:rsidRPr="009D4CD4">
        <w:rPr>
          <w:rFonts w:cstheme="minorHAnsi"/>
        </w:rPr>
        <w:t xml:space="preserve">Dans cette communication, ont été reprécisés les différents contacts – MSA- MDPH – le nom du nouveau Référent Handicap, information accessible sur l’Intranet. </w:t>
      </w:r>
    </w:p>
    <w:p w14:paraId="4A7DA478" w14:textId="0C31D06D" w:rsidR="00AF33AE" w:rsidRPr="009D4CD4" w:rsidRDefault="00AF33AE" w:rsidP="00AF33AE">
      <w:pPr>
        <w:spacing w:after="0" w:line="240" w:lineRule="auto"/>
        <w:rPr>
          <w:rFonts w:cstheme="minorHAnsi"/>
        </w:rPr>
      </w:pPr>
      <w:r w:rsidRPr="009D4CD4">
        <w:rPr>
          <w:rFonts w:cstheme="minorHAnsi"/>
        </w:rPr>
        <w:t>Lors de cette Semaine Européenne pour l’Emploi des Personnes Handicapées, des permanences ont aussi été organisées sur chacun des sites par le Référent handicap afin de rencontrer individuellement les salariés concernés. C</w:t>
      </w:r>
      <w:r w:rsidRPr="009D4CD4">
        <w:rPr>
          <w:lang w:eastAsia="fr-FR"/>
        </w:rPr>
        <w:t xml:space="preserve">haque salarié a reçu </w:t>
      </w:r>
      <w:r w:rsidRPr="009D4CD4">
        <w:rPr>
          <w:rFonts w:cstheme="minorHAnsi"/>
        </w:rPr>
        <w:t>un mini bloc-notes afin que chacun puisse avoir un regard différent sur le handicap, « 50 astuces pour être un.e collègue Handiaccueillant.e».</w:t>
      </w:r>
    </w:p>
    <w:p w14:paraId="25CAC06D" w14:textId="77777777" w:rsidR="00AF33AE" w:rsidRPr="009D4CD4" w:rsidRDefault="00AF33AE" w:rsidP="00AF33AE">
      <w:pPr>
        <w:spacing w:after="0" w:line="240" w:lineRule="auto"/>
        <w:rPr>
          <w:lang w:eastAsia="fr-FR"/>
        </w:rPr>
      </w:pPr>
    </w:p>
    <w:p w14:paraId="3D79DA82" w14:textId="3965CF43" w:rsidR="00AF33AE" w:rsidRPr="009D4CD4" w:rsidRDefault="00AF33AE" w:rsidP="00AF33AE">
      <w:pPr>
        <w:spacing w:after="0" w:line="240" w:lineRule="auto"/>
        <w:textAlignment w:val="baseline"/>
        <w:rPr>
          <w:lang w:eastAsia="fr-FR"/>
        </w:rPr>
      </w:pPr>
      <w:r w:rsidRPr="009D4CD4">
        <w:rPr>
          <w:lang w:eastAsia="fr-FR"/>
        </w:rPr>
        <w:t xml:space="preserve">Enfin, par ses achats auprès du secteur protégé, Etablissement et service d’aide par le travail (Esat) ou Entreprise adaptée (EA), la </w:t>
      </w:r>
      <w:r w:rsidR="00A7717F">
        <w:rPr>
          <w:lang w:eastAsia="fr-FR"/>
        </w:rPr>
        <w:t>Caisse Régionale</w:t>
      </w:r>
      <w:r w:rsidRPr="009D4CD4">
        <w:rPr>
          <w:lang w:eastAsia="fr-FR"/>
        </w:rPr>
        <w:t xml:space="preserve"> participe à l’intégration sociale des personnes handicapées. Travaux d’entretien d’espace vert, d’imprimerie, de conditionnement, de restauration sont quelques exemples de prestations confiées à ce secteur. Chaque année de nouveaux fournisseurs sont retenus lors de nos appels d’offre, comme en 2020 pour le nettoyage des distributeurs automatiques.</w:t>
      </w:r>
    </w:p>
    <w:p w14:paraId="17878DDC" w14:textId="77777777" w:rsidR="00B72A61" w:rsidRPr="009D4CD4" w:rsidRDefault="00B72A61" w:rsidP="00B72A61">
      <w:pPr>
        <w:spacing w:after="0" w:line="240" w:lineRule="auto"/>
        <w:jc w:val="left"/>
      </w:pPr>
    </w:p>
    <w:p w14:paraId="053C64F5" w14:textId="5AB3BE42" w:rsidR="00B72A61" w:rsidRPr="009D4CD4" w:rsidRDefault="00B72A61" w:rsidP="0015198F">
      <w:pPr>
        <w:numPr>
          <w:ilvl w:val="0"/>
          <w:numId w:val="4"/>
        </w:numPr>
        <w:spacing w:after="0" w:line="240" w:lineRule="auto"/>
        <w:jc w:val="left"/>
      </w:pPr>
      <w:r w:rsidRPr="009D4CD4">
        <w:rPr>
          <w:rFonts w:cs="Arial"/>
        </w:rPr>
        <w:t>Le</w:t>
      </w:r>
      <w:r w:rsidR="00CC1BFA" w:rsidRPr="009D4CD4">
        <w:rPr>
          <w:rFonts w:cs="Arial"/>
        </w:rPr>
        <w:t>s filiales Edokial et Inforsud Technologies (IST)</w:t>
      </w:r>
    </w:p>
    <w:p w14:paraId="3C96D486" w14:textId="77777777" w:rsidR="00CC1BFA" w:rsidRPr="009D4CD4" w:rsidRDefault="00CC1BFA" w:rsidP="00484FF7">
      <w:pPr>
        <w:spacing w:after="0" w:line="240" w:lineRule="auto"/>
        <w:ind w:left="720"/>
        <w:jc w:val="left"/>
      </w:pPr>
    </w:p>
    <w:p w14:paraId="2B1E8FCB" w14:textId="77777777" w:rsidR="00FD74CD" w:rsidRPr="009D4CD4" w:rsidRDefault="00045845" w:rsidP="00FD74CD">
      <w:pPr>
        <w:spacing w:after="0" w:line="240" w:lineRule="auto"/>
        <w:jc w:val="left"/>
      </w:pPr>
      <w:bookmarkStart w:id="135" w:name="_Toc32416043"/>
      <w:bookmarkStart w:id="136" w:name="_Toc59444719"/>
      <w:r w:rsidRPr="009D4CD4">
        <w:rPr>
          <w:rFonts w:cs="Arial"/>
        </w:rPr>
        <w:t>Les offres d’emploi sont ouvertes à tous, sans discrimination par rap</w:t>
      </w:r>
      <w:r w:rsidR="00FB6B57" w:rsidRPr="009D4CD4">
        <w:rPr>
          <w:rFonts w:cs="Arial"/>
        </w:rPr>
        <w:t>port aux personnes handicapées.</w:t>
      </w:r>
      <w:r w:rsidR="00FD74CD" w:rsidRPr="009D4CD4">
        <w:rPr>
          <w:rFonts w:cs="Arial"/>
        </w:rPr>
        <w:t xml:space="preserve"> </w:t>
      </w:r>
      <w:r w:rsidR="00FD74CD" w:rsidRPr="009D4CD4">
        <w:t xml:space="preserve">Pour certaines opérations, comme par exemple le conditionnement manuel, ÉDOKIAL fait appel notamment à des Etablissements et Service d’Aide par le Travail comme, en 2020, l’ESAT Stéphanois. </w:t>
      </w:r>
    </w:p>
    <w:p w14:paraId="35AD27F8" w14:textId="55301E6A" w:rsidR="00045845" w:rsidRPr="009D4CD4" w:rsidRDefault="00045845" w:rsidP="00045845">
      <w:pPr>
        <w:spacing w:after="0" w:line="240" w:lineRule="auto"/>
        <w:jc w:val="left"/>
        <w:rPr>
          <w:rFonts w:cs="Arial"/>
        </w:rPr>
      </w:pPr>
    </w:p>
    <w:p w14:paraId="1CED9FC9" w14:textId="77777777" w:rsidR="005C4C31" w:rsidRPr="009D4CD4" w:rsidRDefault="005C4C31" w:rsidP="00045845">
      <w:pPr>
        <w:spacing w:after="0" w:line="240" w:lineRule="auto"/>
        <w:jc w:val="left"/>
      </w:pPr>
    </w:p>
    <w:p w14:paraId="3EA011FD" w14:textId="107DBD1A" w:rsidR="00B72A61" w:rsidRPr="009D4CD4" w:rsidRDefault="00B72A61" w:rsidP="00326D6D">
      <w:pPr>
        <w:pStyle w:val="Titre2"/>
      </w:pPr>
      <w:bookmarkStart w:id="137" w:name="_Toc96698037"/>
      <w:r w:rsidRPr="009D4CD4">
        <w:t>Réduire l'impact environnemental du Crédit Agricole</w:t>
      </w:r>
      <w:bookmarkEnd w:id="135"/>
      <w:bookmarkEnd w:id="136"/>
      <w:r w:rsidR="00DF00B4" w:rsidRPr="009D4CD4">
        <w:t xml:space="preserve"> Nord Midi-Pyrénées</w:t>
      </w:r>
      <w:bookmarkEnd w:id="137"/>
    </w:p>
    <w:p w14:paraId="1202A7F2" w14:textId="77777777" w:rsidR="00937437" w:rsidRPr="009D4CD4" w:rsidRDefault="00937437" w:rsidP="00B72A61">
      <w:pPr>
        <w:spacing w:after="0" w:line="240" w:lineRule="auto"/>
        <w:jc w:val="left"/>
      </w:pPr>
    </w:p>
    <w:p w14:paraId="4A6F3C70" w14:textId="3EE9F532" w:rsidR="005A599D" w:rsidRPr="009D4CD4" w:rsidRDefault="00DF00B4" w:rsidP="00B72A61">
      <w:pPr>
        <w:spacing w:after="0" w:line="240" w:lineRule="auto"/>
        <w:jc w:val="left"/>
      </w:pPr>
      <w:r w:rsidRPr="009D4CD4">
        <w:t>Engagé</w:t>
      </w:r>
      <w:r w:rsidR="00B72A61" w:rsidRPr="009D4CD4">
        <w:t xml:space="preserve"> à diminuer l’impact de ses activités sur l’environnement, le </w:t>
      </w:r>
      <w:r w:rsidRPr="009D4CD4">
        <w:t>CANMP</w:t>
      </w:r>
      <w:r w:rsidR="00B72A61" w:rsidRPr="009D4CD4">
        <w:t xml:space="preserve"> concentre ses actions sur les axes suivants : </w:t>
      </w:r>
    </w:p>
    <w:p w14:paraId="428F22E8" w14:textId="6A8C5202" w:rsidR="00B72A61" w:rsidRPr="009D4CD4" w:rsidRDefault="001059AE" w:rsidP="00B72A61">
      <w:pPr>
        <w:spacing w:after="0" w:line="240" w:lineRule="auto"/>
        <w:jc w:val="left"/>
        <w:rPr>
          <w:strike/>
        </w:rPr>
      </w:pPr>
      <w:r w:rsidRPr="009D4CD4">
        <w:t>&gt; S’en</w:t>
      </w:r>
      <w:r w:rsidR="00F04A86">
        <w:t>gager dans une politique climat,</w:t>
      </w:r>
    </w:p>
    <w:p w14:paraId="083AED09" w14:textId="0568500F" w:rsidR="00B72A61" w:rsidRPr="009D4CD4" w:rsidRDefault="00B72A61" w:rsidP="00B72A61">
      <w:pPr>
        <w:spacing w:after="0" w:line="240" w:lineRule="auto"/>
        <w:jc w:val="left"/>
      </w:pPr>
      <w:r w:rsidRPr="009D4CD4">
        <w:t>&gt; Favoriser la plantation d’arbres</w:t>
      </w:r>
      <w:r w:rsidR="00E5582E" w:rsidRPr="009D4CD4">
        <w:t>,</w:t>
      </w:r>
    </w:p>
    <w:p w14:paraId="0DD41536" w14:textId="665BF1CB" w:rsidR="00303619" w:rsidRPr="009D4CD4" w:rsidRDefault="00303619" w:rsidP="00B72A61">
      <w:pPr>
        <w:spacing w:after="0" w:line="240" w:lineRule="auto"/>
        <w:jc w:val="left"/>
      </w:pPr>
      <w:r w:rsidRPr="009D4CD4">
        <w:t>&gt; Réduire l’impact environnemental des ressources utilisées,</w:t>
      </w:r>
      <w:r w:rsidRPr="009D4CD4">
        <w:br/>
        <w:t>&gt; Réduire l’impact environnemental des déchets produits,</w:t>
      </w:r>
    </w:p>
    <w:p w14:paraId="4EBC0865" w14:textId="0998B6E8" w:rsidR="00B72A61" w:rsidRPr="00C05C3F" w:rsidRDefault="00B72A61" w:rsidP="00B72A61">
      <w:pPr>
        <w:spacing w:after="0" w:line="240" w:lineRule="auto"/>
        <w:jc w:val="left"/>
        <w:rPr>
          <w:sz w:val="20"/>
        </w:rPr>
      </w:pPr>
      <w:r w:rsidRPr="009D4CD4">
        <w:rPr>
          <w:sz w:val="20"/>
        </w:rPr>
        <w:t>&gt; A</w:t>
      </w:r>
      <w:r w:rsidRPr="009D4CD4">
        <w:t>gir pour la protection de la biodiversité</w:t>
      </w:r>
      <w:r w:rsidR="00E5582E" w:rsidRPr="009D4CD4">
        <w:t>.</w:t>
      </w:r>
    </w:p>
    <w:p w14:paraId="640C3DE4" w14:textId="77777777" w:rsidR="005A599D" w:rsidRPr="009D4CD4" w:rsidRDefault="005A599D" w:rsidP="00B72A61">
      <w:pPr>
        <w:spacing w:after="0" w:line="240" w:lineRule="auto"/>
        <w:jc w:val="left"/>
      </w:pPr>
    </w:p>
    <w:p w14:paraId="130F4184" w14:textId="304488D6" w:rsidR="002B0947" w:rsidRPr="009D4CD4" w:rsidRDefault="001059AE" w:rsidP="00326D6D">
      <w:pPr>
        <w:pStyle w:val="Titre3"/>
      </w:pPr>
      <w:bookmarkStart w:id="138" w:name="_Toc96095143"/>
      <w:bookmarkStart w:id="139" w:name="_Toc96095321"/>
      <w:bookmarkStart w:id="140" w:name="_Toc96698038"/>
      <w:bookmarkEnd w:id="138"/>
      <w:bookmarkEnd w:id="139"/>
      <w:r w:rsidRPr="009D4CD4">
        <w:t>S’engager dans une p</w:t>
      </w:r>
      <w:r w:rsidR="005A599D" w:rsidRPr="009D4CD4">
        <w:t>olitique climat</w:t>
      </w:r>
      <w:bookmarkEnd w:id="140"/>
    </w:p>
    <w:p w14:paraId="36E552BC" w14:textId="77777777" w:rsidR="006C2858" w:rsidRPr="009D4CD4" w:rsidRDefault="006C2858" w:rsidP="00B72A61">
      <w:pPr>
        <w:spacing w:after="0" w:line="240" w:lineRule="auto"/>
        <w:jc w:val="left"/>
      </w:pPr>
    </w:p>
    <w:p w14:paraId="6333CD7D" w14:textId="7AB740DE" w:rsidR="00E746A4" w:rsidRPr="009D4CD4" w:rsidRDefault="006C2858" w:rsidP="00E746A4">
      <w:pPr>
        <w:spacing w:after="0" w:line="240" w:lineRule="auto"/>
        <w:jc w:val="left"/>
        <w:rPr>
          <w:rFonts w:asciiTheme="minorHAnsi" w:hAnsiTheme="minorHAnsi"/>
        </w:rPr>
      </w:pPr>
      <w:r w:rsidRPr="009D4CD4">
        <w:rPr>
          <w:rFonts w:asciiTheme="minorHAnsi" w:hAnsiTheme="minorHAnsi"/>
        </w:rPr>
        <w:t xml:space="preserve">Le dérèglement climatique constitue le défi majeur de nos sociétés. </w:t>
      </w:r>
      <w:r w:rsidR="00DF00B4" w:rsidRPr="009D4CD4">
        <w:rPr>
          <w:rFonts w:asciiTheme="minorHAnsi" w:hAnsiTheme="minorHAnsi"/>
        </w:rPr>
        <w:t>L</w:t>
      </w:r>
      <w:r w:rsidRPr="009D4CD4">
        <w:rPr>
          <w:rFonts w:asciiTheme="minorHAnsi" w:hAnsiTheme="minorHAnsi"/>
        </w:rPr>
        <w:t xml:space="preserve">es français ne s’y trompent pas, plaçant la question environnementale au cœur de leurs préoccupations. Face à ce défi, le CANMP a décidé de </w:t>
      </w:r>
      <w:r w:rsidR="0010611F" w:rsidRPr="009D4CD4">
        <w:rPr>
          <w:rFonts w:asciiTheme="minorHAnsi" w:hAnsiTheme="minorHAnsi"/>
        </w:rPr>
        <w:t>s’engager dans une politique climat</w:t>
      </w:r>
      <w:r w:rsidR="00380540">
        <w:rPr>
          <w:rFonts w:asciiTheme="minorHAnsi" w:hAnsiTheme="minorHAnsi"/>
        </w:rPr>
        <w:t xml:space="preserve">, qui sera formalisée en 2022. L’ambition de cette politique est concentrée </w:t>
      </w:r>
      <w:r w:rsidR="0010611F" w:rsidRPr="009D4CD4">
        <w:rPr>
          <w:rFonts w:asciiTheme="minorHAnsi" w:hAnsiTheme="minorHAnsi"/>
        </w:rPr>
        <w:t xml:space="preserve">sur les points suivants : </w:t>
      </w:r>
    </w:p>
    <w:p w14:paraId="2C36062A" w14:textId="08AF7A1C" w:rsidR="0010611F" w:rsidRPr="009D4CD4" w:rsidRDefault="0010611F" w:rsidP="00E746A4">
      <w:pPr>
        <w:spacing w:after="0" w:line="240" w:lineRule="auto"/>
        <w:jc w:val="left"/>
      </w:pPr>
      <w:r w:rsidRPr="009D4CD4">
        <w:rPr>
          <w:rFonts w:asciiTheme="minorHAnsi" w:hAnsiTheme="minorHAnsi"/>
        </w:rPr>
        <w:t>&gt;</w:t>
      </w:r>
      <w:r w:rsidRPr="009D4CD4">
        <w:t xml:space="preserve"> Mesurer les émissions et définir une trajectoire,</w:t>
      </w:r>
    </w:p>
    <w:p w14:paraId="6A86B5B4" w14:textId="7B8C30A2" w:rsidR="0010611F" w:rsidRPr="009D4CD4" w:rsidRDefault="00E11AFE" w:rsidP="00E746A4">
      <w:pPr>
        <w:spacing w:after="0" w:line="240" w:lineRule="auto"/>
        <w:jc w:val="left"/>
      </w:pPr>
      <w:r w:rsidRPr="009D4CD4">
        <w:t>&gt; Réduire l’</w:t>
      </w:r>
      <w:r w:rsidR="0010611F" w:rsidRPr="009D4CD4">
        <w:t>empreinte carbone de l’énergie et des déplacements professionnels routiers,</w:t>
      </w:r>
    </w:p>
    <w:p w14:paraId="5CA94223" w14:textId="04D53EC9" w:rsidR="0010611F" w:rsidRPr="009D4CD4" w:rsidRDefault="00E11AFE" w:rsidP="0010611F">
      <w:pPr>
        <w:spacing w:after="0" w:line="240" w:lineRule="auto"/>
        <w:jc w:val="left"/>
        <w:rPr>
          <w:rFonts w:asciiTheme="minorHAnsi" w:hAnsiTheme="minorHAnsi"/>
        </w:rPr>
      </w:pPr>
      <w:r w:rsidRPr="009D4CD4">
        <w:rPr>
          <w:rFonts w:asciiTheme="minorHAnsi" w:hAnsiTheme="minorHAnsi"/>
        </w:rPr>
        <w:t>&gt; Evaluer l’</w:t>
      </w:r>
      <w:r w:rsidR="0010611F" w:rsidRPr="009D4CD4">
        <w:rPr>
          <w:rFonts w:asciiTheme="minorHAnsi" w:hAnsiTheme="minorHAnsi"/>
        </w:rPr>
        <w:t>empreinte carbone liée aux financements</w:t>
      </w:r>
      <w:r w:rsidR="00F04A86">
        <w:rPr>
          <w:rFonts w:asciiTheme="minorHAnsi" w:hAnsiTheme="minorHAnsi"/>
        </w:rPr>
        <w:t>,</w:t>
      </w:r>
    </w:p>
    <w:p w14:paraId="6E8AF143" w14:textId="13D30432" w:rsidR="0010611F" w:rsidRPr="009D4CD4" w:rsidRDefault="0010611F" w:rsidP="00E746A4">
      <w:pPr>
        <w:spacing w:after="0" w:line="240" w:lineRule="auto"/>
        <w:jc w:val="left"/>
        <w:rPr>
          <w:rFonts w:asciiTheme="minorHAnsi" w:hAnsiTheme="minorHAnsi"/>
        </w:rPr>
      </w:pPr>
      <w:r w:rsidRPr="009D4CD4">
        <w:t>&gt; Contribuer à la réduction globale des émissions de gaz à effet de serre</w:t>
      </w:r>
      <w:r w:rsidR="00F04A86">
        <w:t>.</w:t>
      </w:r>
    </w:p>
    <w:p w14:paraId="555F24F4" w14:textId="0C0BCF44" w:rsidR="00E746A4" w:rsidRPr="009D4CD4" w:rsidRDefault="0010611F" w:rsidP="00E746A4">
      <w:pPr>
        <w:pStyle w:val="Titre4"/>
        <w:ind w:left="784" w:hanging="13"/>
      </w:pPr>
      <w:bookmarkStart w:id="141" w:name="_Toc96698039"/>
      <w:r w:rsidRPr="009D4CD4">
        <w:t>Mesurer les émissions et définir une trajectoire</w:t>
      </w:r>
      <w:bookmarkEnd w:id="141"/>
      <w:r w:rsidRPr="009D4CD4">
        <w:t xml:space="preserve"> </w:t>
      </w:r>
    </w:p>
    <w:p w14:paraId="3E1977BD" w14:textId="14279E57" w:rsidR="00E746A4" w:rsidRPr="009D4CD4" w:rsidRDefault="00E746A4" w:rsidP="00E746A4">
      <w:pPr>
        <w:spacing w:after="0" w:line="240" w:lineRule="auto"/>
        <w:jc w:val="left"/>
        <w:rPr>
          <w:rFonts w:cs="Arial"/>
        </w:rPr>
      </w:pPr>
      <w:r w:rsidRPr="009D4CD4">
        <w:rPr>
          <w:rFonts w:cs="Arial"/>
        </w:rPr>
        <w:t xml:space="preserve">Après un premier Bilan carbone complet réalisé en 2013, la </w:t>
      </w:r>
      <w:r w:rsidR="00A7717F">
        <w:rPr>
          <w:rFonts w:cs="Arial"/>
        </w:rPr>
        <w:t>Caisse Régionale</w:t>
      </w:r>
      <w:r w:rsidRPr="009D4CD4">
        <w:rPr>
          <w:rFonts w:cs="Arial"/>
        </w:rPr>
        <w:t xml:space="preserve"> </w:t>
      </w:r>
      <w:r w:rsidR="005B6735">
        <w:rPr>
          <w:rFonts w:cs="Arial"/>
        </w:rPr>
        <w:t xml:space="preserve">en </w:t>
      </w:r>
      <w:r w:rsidRPr="009D4CD4">
        <w:rPr>
          <w:rFonts w:cs="Arial"/>
        </w:rPr>
        <w:t xml:space="preserve">a réalisé un second en 2016 et un troisième fin 2020. </w:t>
      </w:r>
      <w:r w:rsidR="00380540">
        <w:rPr>
          <w:rFonts w:cs="Arial"/>
        </w:rPr>
        <w:t>Il est prévu de réaliser un prochain bilan en 2024.</w:t>
      </w:r>
    </w:p>
    <w:p w14:paraId="721351FE" w14:textId="418E7FF1" w:rsidR="00E746A4" w:rsidRPr="009D4CD4" w:rsidRDefault="00E746A4" w:rsidP="00E746A4">
      <w:pPr>
        <w:spacing w:after="0" w:line="240" w:lineRule="auto"/>
        <w:jc w:val="left"/>
        <w:rPr>
          <w:rFonts w:cs="Arial"/>
        </w:rPr>
      </w:pPr>
      <w:r w:rsidRPr="009D4CD4">
        <w:rPr>
          <w:rFonts w:cs="Arial"/>
        </w:rPr>
        <w:t xml:space="preserve">Ces bilans ont été </w:t>
      </w:r>
      <w:r w:rsidR="005B6735">
        <w:rPr>
          <w:rFonts w:cs="Arial"/>
        </w:rPr>
        <w:t>effectués</w:t>
      </w:r>
      <w:r w:rsidRPr="009D4CD4">
        <w:rPr>
          <w:rFonts w:cs="Arial"/>
        </w:rPr>
        <w:t xml:space="preserve"> dans le cadre d’une démarche volontaire d’évaluation des émissions de gaz à effet de serre. La loi impose en effet aux entreprises de plus de 500 salariés de réaliser tous les 4 ans un bilan des émissions de gaz à effet de serre (beges) sur un périmètre réduit portant sur : </w:t>
      </w:r>
    </w:p>
    <w:p w14:paraId="6A3D7049" w14:textId="77777777" w:rsidR="00E746A4" w:rsidRPr="009D4CD4" w:rsidRDefault="00E746A4" w:rsidP="00E746A4">
      <w:pPr>
        <w:spacing w:after="0" w:line="240" w:lineRule="auto"/>
        <w:jc w:val="left"/>
        <w:rPr>
          <w:rFonts w:cs="Arial"/>
        </w:rPr>
      </w:pPr>
      <w:r w:rsidRPr="009D4CD4">
        <w:rPr>
          <w:rFonts w:cs="Arial"/>
        </w:rPr>
        <w:t>- Scope 1 : émissions issues de la combustion de sources fossiles (fioul domestique, gaz naturel) et de sources organiques (plaquettes forestières) principalement pour le chauffage des bâtiments.</w:t>
      </w:r>
    </w:p>
    <w:p w14:paraId="520999D4" w14:textId="77777777" w:rsidR="00E746A4" w:rsidRPr="009D4CD4" w:rsidRDefault="00E746A4" w:rsidP="00E746A4">
      <w:pPr>
        <w:spacing w:after="0" w:line="240" w:lineRule="auto"/>
        <w:jc w:val="left"/>
        <w:rPr>
          <w:rFonts w:cs="Arial"/>
        </w:rPr>
      </w:pPr>
      <w:r w:rsidRPr="009D4CD4">
        <w:rPr>
          <w:rFonts w:cs="Arial"/>
        </w:rPr>
        <w:t>- Scope 2 : émissions provenant de la combustion des carburants utilisés par les véhicules appartenant à la société et par les véhicules de fonction, pour les déplacements professionnels.</w:t>
      </w:r>
    </w:p>
    <w:p w14:paraId="555F36C7" w14:textId="77777777" w:rsidR="00E746A4" w:rsidRPr="009D4CD4" w:rsidRDefault="00E746A4" w:rsidP="00E746A4">
      <w:pPr>
        <w:spacing w:after="0" w:line="240" w:lineRule="auto"/>
        <w:jc w:val="left"/>
        <w:rPr>
          <w:rFonts w:cs="Arial"/>
        </w:rPr>
      </w:pPr>
    </w:p>
    <w:p w14:paraId="40C54530" w14:textId="77777777" w:rsidR="00E746A4" w:rsidRPr="009D4CD4" w:rsidRDefault="00E746A4" w:rsidP="00E746A4">
      <w:pPr>
        <w:spacing w:after="0" w:line="240" w:lineRule="auto"/>
        <w:jc w:val="left"/>
        <w:rPr>
          <w:rFonts w:cs="Arial"/>
        </w:rPr>
      </w:pPr>
      <w:r w:rsidRPr="009D4CD4">
        <w:rPr>
          <w:rFonts w:cs="Arial"/>
        </w:rPr>
        <w:t>La démarche volontaire de NMP porte sur un périmètre large (scope 3) comprenant notamment : les achats de produits ou services, les immobilisations, les déchets, le transport de marchandises, les déplacements professionnels réalisés dans les véhicules personnels, ainsi que les déplacements domicile – travail.</w:t>
      </w:r>
    </w:p>
    <w:p w14:paraId="6AFC148E" w14:textId="77777777" w:rsidR="00E746A4" w:rsidRPr="009D4CD4" w:rsidRDefault="00E746A4" w:rsidP="00E746A4">
      <w:pPr>
        <w:spacing w:after="0" w:line="240" w:lineRule="auto"/>
        <w:jc w:val="left"/>
        <w:rPr>
          <w:rFonts w:cs="Arial"/>
        </w:rPr>
      </w:pPr>
    </w:p>
    <w:p w14:paraId="63AD8EC9" w14:textId="77777777" w:rsidR="00E746A4" w:rsidRPr="009D4CD4" w:rsidRDefault="00E746A4" w:rsidP="00E746A4">
      <w:pPr>
        <w:spacing w:after="0" w:line="240" w:lineRule="auto"/>
        <w:jc w:val="left"/>
        <w:rPr>
          <w:rFonts w:cs="Arial"/>
        </w:rPr>
      </w:pPr>
      <w:r w:rsidRPr="009D4CD4">
        <w:rPr>
          <w:rFonts w:cs="Arial"/>
        </w:rPr>
        <w:t>Le présent bilan carbone a été réalisé fin 2020 sur les émissions 2019, avec la méthodologie « GHG Protocol » nécessaire pour définir une trajectoire selon la méthodologie iSBT. Les résultats du bilan carbone ont été présentés en 2021.</w:t>
      </w:r>
    </w:p>
    <w:p w14:paraId="144B90F6" w14:textId="77777777" w:rsidR="00E746A4" w:rsidRPr="009D4CD4" w:rsidRDefault="00E746A4" w:rsidP="00E746A4">
      <w:pPr>
        <w:spacing w:after="0" w:line="240" w:lineRule="auto"/>
        <w:jc w:val="left"/>
        <w:rPr>
          <w:rFonts w:cs="Arial"/>
        </w:rPr>
      </w:pPr>
    </w:p>
    <w:p w14:paraId="0A293954" w14:textId="77777777" w:rsidR="00CC1BFA" w:rsidRPr="009D4CD4" w:rsidRDefault="00E746A4" w:rsidP="00E746A4">
      <w:pPr>
        <w:autoSpaceDE w:val="0"/>
        <w:autoSpaceDN w:val="0"/>
        <w:adjustRightInd w:val="0"/>
        <w:spacing w:after="0" w:line="240" w:lineRule="auto"/>
        <w:jc w:val="left"/>
        <w:rPr>
          <w:rFonts w:cs="Arial"/>
        </w:rPr>
      </w:pPr>
      <w:r w:rsidRPr="009D4CD4">
        <w:rPr>
          <w:rFonts w:cs="Arial"/>
        </w:rPr>
        <w:t xml:space="preserve">Le bilan s’élève à 24 318 téqCO2, correspondant aux émissions d’un véhicule diesel parcourant 2350 tours de la Terre et représentant 11,95 téqCO2/ETP. </w:t>
      </w:r>
    </w:p>
    <w:p w14:paraId="3204DBF9" w14:textId="4A5A6D8B" w:rsidR="00E746A4" w:rsidRPr="009D4CD4" w:rsidRDefault="00E746A4" w:rsidP="00E746A4">
      <w:pPr>
        <w:autoSpaceDE w:val="0"/>
        <w:autoSpaceDN w:val="0"/>
        <w:adjustRightInd w:val="0"/>
        <w:spacing w:after="0" w:line="240" w:lineRule="auto"/>
        <w:jc w:val="left"/>
        <w:rPr>
          <w:rFonts w:cs="Arial"/>
        </w:rPr>
      </w:pPr>
      <w:r w:rsidRPr="009D4CD4">
        <w:rPr>
          <w:rFonts w:cs="Arial"/>
        </w:rPr>
        <w:t xml:space="preserve">La répartition par poste est la suivante, avec le poids dans le total : </w:t>
      </w:r>
    </w:p>
    <w:p w14:paraId="7F77B88B" w14:textId="39F97126" w:rsidR="00E746A4" w:rsidRPr="009D4CD4" w:rsidRDefault="00E746A4" w:rsidP="00E746A4">
      <w:pPr>
        <w:tabs>
          <w:tab w:val="num" w:pos="720"/>
          <w:tab w:val="num" w:pos="1440"/>
        </w:tabs>
        <w:spacing w:after="0" w:line="240" w:lineRule="auto"/>
        <w:jc w:val="left"/>
        <w:rPr>
          <w:rFonts w:cs="Arial"/>
        </w:rPr>
      </w:pPr>
      <w:r w:rsidRPr="009D4CD4">
        <w:rPr>
          <w:rFonts w:cs="Arial"/>
        </w:rPr>
        <w:t>Immobilisations</w:t>
      </w:r>
      <w:r w:rsidRPr="009D4CD4">
        <w:rPr>
          <w:rFonts w:cs="Arial"/>
        </w:rPr>
        <w:tab/>
      </w:r>
      <w:r w:rsidRPr="009D4CD4">
        <w:rPr>
          <w:rFonts w:cs="Arial"/>
        </w:rPr>
        <w:tab/>
      </w:r>
      <w:r w:rsidRPr="009D4CD4">
        <w:rPr>
          <w:rFonts w:cs="Arial"/>
        </w:rPr>
        <w:tab/>
      </w:r>
      <w:r w:rsidRPr="009D4CD4">
        <w:rPr>
          <w:rFonts w:cs="Arial"/>
        </w:rPr>
        <w:tab/>
        <w:t>7</w:t>
      </w:r>
      <w:r w:rsidR="002814DC">
        <w:rPr>
          <w:rFonts w:cs="Arial"/>
        </w:rPr>
        <w:t xml:space="preserve"> </w:t>
      </w:r>
      <w:r w:rsidRPr="009D4CD4">
        <w:rPr>
          <w:rFonts w:cs="Arial"/>
        </w:rPr>
        <w:t>619 téqCO2</w:t>
      </w:r>
      <w:r w:rsidRPr="009D4CD4">
        <w:rPr>
          <w:rFonts w:cs="Arial"/>
        </w:rPr>
        <w:tab/>
      </w:r>
      <w:r w:rsidR="002814DC">
        <w:rPr>
          <w:rFonts w:cs="Arial"/>
        </w:rPr>
        <w:tab/>
      </w:r>
      <w:r w:rsidRPr="009D4CD4">
        <w:rPr>
          <w:rFonts w:cs="Arial"/>
        </w:rPr>
        <w:t>(31,3%)</w:t>
      </w:r>
    </w:p>
    <w:p w14:paraId="2EEFAB93" w14:textId="0015AF83" w:rsidR="00E746A4" w:rsidRPr="009D4CD4" w:rsidRDefault="00E746A4" w:rsidP="00E746A4">
      <w:pPr>
        <w:tabs>
          <w:tab w:val="num" w:pos="720"/>
          <w:tab w:val="num" w:pos="1440"/>
        </w:tabs>
        <w:spacing w:after="0" w:line="240" w:lineRule="auto"/>
        <w:jc w:val="left"/>
        <w:rPr>
          <w:rFonts w:cs="Arial"/>
        </w:rPr>
      </w:pPr>
      <w:r w:rsidRPr="009D4CD4">
        <w:rPr>
          <w:rFonts w:cs="Arial"/>
        </w:rPr>
        <w:t>Achats de matériaux et services :</w:t>
      </w:r>
      <w:r w:rsidRPr="009D4CD4">
        <w:rPr>
          <w:rFonts w:cs="Arial"/>
        </w:rPr>
        <w:tab/>
        <w:t>7</w:t>
      </w:r>
      <w:r w:rsidR="002814DC">
        <w:rPr>
          <w:rFonts w:cs="Arial"/>
        </w:rPr>
        <w:t xml:space="preserve"> </w:t>
      </w:r>
      <w:r w:rsidRPr="009D4CD4">
        <w:rPr>
          <w:rFonts w:cs="Arial"/>
        </w:rPr>
        <w:t>437 téqCO2</w:t>
      </w:r>
      <w:r w:rsidRPr="009D4CD4">
        <w:rPr>
          <w:rFonts w:cs="Arial"/>
        </w:rPr>
        <w:tab/>
      </w:r>
      <w:r w:rsidR="002814DC">
        <w:rPr>
          <w:rFonts w:cs="Arial"/>
        </w:rPr>
        <w:tab/>
      </w:r>
      <w:r w:rsidRPr="009D4CD4">
        <w:rPr>
          <w:rFonts w:cs="Arial"/>
        </w:rPr>
        <w:t>(30,6%)</w:t>
      </w:r>
    </w:p>
    <w:p w14:paraId="3B9602A4" w14:textId="735DE487" w:rsidR="00E746A4" w:rsidRPr="009D4CD4" w:rsidRDefault="00E746A4" w:rsidP="00E746A4">
      <w:pPr>
        <w:tabs>
          <w:tab w:val="num" w:pos="720"/>
          <w:tab w:val="num" w:pos="1440"/>
        </w:tabs>
        <w:spacing w:after="0" w:line="240" w:lineRule="auto"/>
        <w:jc w:val="left"/>
        <w:rPr>
          <w:rFonts w:cs="Arial"/>
        </w:rPr>
      </w:pPr>
      <w:r w:rsidRPr="009D4CD4">
        <w:rPr>
          <w:rFonts w:cs="Arial"/>
        </w:rPr>
        <w:t>Déplacements de personnes :</w:t>
      </w:r>
      <w:r w:rsidRPr="009D4CD4">
        <w:rPr>
          <w:rFonts w:cs="Arial"/>
        </w:rPr>
        <w:tab/>
      </w:r>
      <w:r w:rsidRPr="009D4CD4">
        <w:rPr>
          <w:rFonts w:cs="Arial"/>
        </w:rPr>
        <w:tab/>
        <w:t>6</w:t>
      </w:r>
      <w:r w:rsidR="002814DC">
        <w:rPr>
          <w:rFonts w:cs="Arial"/>
        </w:rPr>
        <w:t xml:space="preserve"> </w:t>
      </w:r>
      <w:r w:rsidRPr="009D4CD4">
        <w:rPr>
          <w:rFonts w:cs="Arial"/>
        </w:rPr>
        <w:t>345 téqCO2</w:t>
      </w:r>
      <w:r w:rsidRPr="009D4CD4">
        <w:rPr>
          <w:rFonts w:cs="Arial"/>
        </w:rPr>
        <w:tab/>
      </w:r>
      <w:r w:rsidR="002814DC">
        <w:rPr>
          <w:rFonts w:cs="Arial"/>
        </w:rPr>
        <w:tab/>
      </w:r>
      <w:r w:rsidRPr="009D4CD4">
        <w:rPr>
          <w:rFonts w:cs="Arial"/>
        </w:rPr>
        <w:t>(26,1%)</w:t>
      </w:r>
    </w:p>
    <w:p w14:paraId="04F01810" w14:textId="44119701" w:rsidR="00E746A4" w:rsidRPr="009D4CD4" w:rsidRDefault="00E746A4" w:rsidP="00E746A4">
      <w:pPr>
        <w:tabs>
          <w:tab w:val="num" w:pos="720"/>
          <w:tab w:val="num" w:pos="1440"/>
        </w:tabs>
        <w:spacing w:after="0" w:line="240" w:lineRule="auto"/>
        <w:jc w:val="left"/>
        <w:rPr>
          <w:rFonts w:cs="Arial"/>
        </w:rPr>
      </w:pPr>
      <w:r w:rsidRPr="009D4CD4">
        <w:rPr>
          <w:rFonts w:cs="Arial"/>
        </w:rPr>
        <w:t>Energie</w:t>
      </w:r>
      <w:r w:rsidRPr="009D4CD4">
        <w:rPr>
          <w:rFonts w:cs="Arial"/>
        </w:rPr>
        <w:tab/>
      </w:r>
      <w:r w:rsidRPr="009D4CD4">
        <w:rPr>
          <w:rFonts w:cs="Arial"/>
        </w:rPr>
        <w:tab/>
      </w:r>
      <w:r w:rsidRPr="009D4CD4">
        <w:rPr>
          <w:rFonts w:cs="Arial"/>
        </w:rPr>
        <w:tab/>
      </w:r>
      <w:r w:rsidRPr="009D4CD4">
        <w:rPr>
          <w:rFonts w:cs="Arial"/>
        </w:rPr>
        <w:tab/>
      </w:r>
      <w:r w:rsidRPr="009D4CD4">
        <w:rPr>
          <w:rFonts w:cs="Arial"/>
        </w:rPr>
        <w:tab/>
        <w:t>1</w:t>
      </w:r>
      <w:r w:rsidR="002814DC">
        <w:rPr>
          <w:rFonts w:cs="Arial"/>
        </w:rPr>
        <w:t xml:space="preserve"> </w:t>
      </w:r>
      <w:r w:rsidRPr="009D4CD4">
        <w:rPr>
          <w:rFonts w:cs="Arial"/>
        </w:rPr>
        <w:t>527 téqCO2</w:t>
      </w:r>
      <w:r w:rsidRPr="009D4CD4">
        <w:rPr>
          <w:rFonts w:cs="Arial"/>
        </w:rPr>
        <w:tab/>
      </w:r>
      <w:r w:rsidR="002814DC">
        <w:rPr>
          <w:rFonts w:cs="Arial"/>
        </w:rPr>
        <w:tab/>
      </w:r>
      <w:r w:rsidRPr="009D4CD4">
        <w:rPr>
          <w:rFonts w:cs="Arial"/>
        </w:rPr>
        <w:t>(6,3%)</w:t>
      </w:r>
    </w:p>
    <w:p w14:paraId="09D7C00F" w14:textId="2642C493" w:rsidR="00E746A4" w:rsidRPr="009D4CD4" w:rsidRDefault="00E746A4" w:rsidP="00E746A4">
      <w:pPr>
        <w:tabs>
          <w:tab w:val="num" w:pos="720"/>
          <w:tab w:val="num" w:pos="1440"/>
        </w:tabs>
        <w:spacing w:after="0" w:line="240" w:lineRule="auto"/>
        <w:jc w:val="left"/>
        <w:rPr>
          <w:rFonts w:cs="Arial"/>
        </w:rPr>
      </w:pPr>
      <w:r w:rsidRPr="009D4CD4">
        <w:rPr>
          <w:rFonts w:cs="Arial"/>
        </w:rPr>
        <w:t>Fret</w:t>
      </w:r>
      <w:r w:rsidRPr="009D4CD4">
        <w:rPr>
          <w:rFonts w:cs="Arial"/>
        </w:rPr>
        <w:tab/>
      </w:r>
      <w:r w:rsidRPr="009D4CD4">
        <w:rPr>
          <w:rFonts w:cs="Arial"/>
        </w:rPr>
        <w:tab/>
      </w:r>
      <w:r w:rsidRPr="009D4CD4">
        <w:rPr>
          <w:rFonts w:cs="Arial"/>
        </w:rPr>
        <w:tab/>
      </w:r>
      <w:r w:rsidRPr="009D4CD4">
        <w:rPr>
          <w:rFonts w:cs="Arial"/>
        </w:rPr>
        <w:tab/>
      </w:r>
      <w:r w:rsidRPr="009D4CD4">
        <w:rPr>
          <w:rFonts w:cs="Arial"/>
        </w:rPr>
        <w:tab/>
        <w:t>1</w:t>
      </w:r>
      <w:r w:rsidR="002814DC">
        <w:rPr>
          <w:rFonts w:cs="Arial"/>
        </w:rPr>
        <w:t xml:space="preserve"> </w:t>
      </w:r>
      <w:r w:rsidRPr="009D4CD4">
        <w:rPr>
          <w:rFonts w:cs="Arial"/>
        </w:rPr>
        <w:t>273 téqCO2</w:t>
      </w:r>
      <w:r w:rsidRPr="009D4CD4">
        <w:rPr>
          <w:rFonts w:cs="Arial"/>
        </w:rPr>
        <w:tab/>
      </w:r>
      <w:r w:rsidR="002814DC">
        <w:rPr>
          <w:rFonts w:cs="Arial"/>
        </w:rPr>
        <w:tab/>
      </w:r>
      <w:r w:rsidRPr="009D4CD4">
        <w:rPr>
          <w:rFonts w:cs="Arial"/>
        </w:rPr>
        <w:t>(5,2%)</w:t>
      </w:r>
    </w:p>
    <w:p w14:paraId="34EFB34D" w14:textId="74C0C3F2" w:rsidR="00E746A4" w:rsidRPr="009D4CD4" w:rsidRDefault="00E746A4" w:rsidP="00E746A4">
      <w:pPr>
        <w:tabs>
          <w:tab w:val="num" w:pos="720"/>
          <w:tab w:val="num" w:pos="1440"/>
        </w:tabs>
        <w:spacing w:after="0" w:line="240" w:lineRule="auto"/>
        <w:jc w:val="left"/>
        <w:rPr>
          <w:rFonts w:cs="Arial"/>
        </w:rPr>
      </w:pPr>
      <w:r w:rsidRPr="009D4CD4">
        <w:rPr>
          <w:rFonts w:cs="Arial"/>
        </w:rPr>
        <w:t>Autre</w:t>
      </w:r>
      <w:r w:rsidRPr="009D4CD4">
        <w:rPr>
          <w:rFonts w:cs="Arial"/>
        </w:rPr>
        <w:tab/>
      </w:r>
      <w:r w:rsidRPr="009D4CD4">
        <w:rPr>
          <w:rFonts w:cs="Arial"/>
        </w:rPr>
        <w:tab/>
      </w:r>
      <w:r w:rsidRPr="009D4CD4">
        <w:rPr>
          <w:rFonts w:cs="Arial"/>
        </w:rPr>
        <w:tab/>
      </w:r>
      <w:r w:rsidRPr="009D4CD4">
        <w:rPr>
          <w:rFonts w:cs="Arial"/>
        </w:rPr>
        <w:tab/>
      </w:r>
      <w:r w:rsidRPr="009D4CD4">
        <w:rPr>
          <w:rFonts w:cs="Arial"/>
        </w:rPr>
        <w:tab/>
      </w:r>
      <w:r w:rsidR="002814DC">
        <w:rPr>
          <w:rFonts w:cs="Arial"/>
        </w:rPr>
        <w:t xml:space="preserve">   </w:t>
      </w:r>
      <w:r w:rsidRPr="009D4CD4">
        <w:rPr>
          <w:rFonts w:cs="Arial"/>
        </w:rPr>
        <w:t>117 téqCO2</w:t>
      </w:r>
      <w:r w:rsidRPr="009D4CD4">
        <w:rPr>
          <w:rFonts w:cs="Arial"/>
        </w:rPr>
        <w:tab/>
      </w:r>
      <w:r w:rsidR="002814DC">
        <w:rPr>
          <w:rFonts w:cs="Arial"/>
        </w:rPr>
        <w:tab/>
      </w:r>
      <w:r w:rsidRPr="009D4CD4">
        <w:rPr>
          <w:rFonts w:cs="Arial"/>
        </w:rPr>
        <w:t>(0,5%)</w:t>
      </w:r>
    </w:p>
    <w:p w14:paraId="6ABE5F1F" w14:textId="77777777" w:rsidR="00E746A4" w:rsidRPr="009D4CD4" w:rsidRDefault="00E746A4" w:rsidP="00E746A4">
      <w:pPr>
        <w:autoSpaceDE w:val="0"/>
        <w:autoSpaceDN w:val="0"/>
        <w:adjustRightInd w:val="0"/>
        <w:spacing w:after="0" w:line="240" w:lineRule="auto"/>
        <w:jc w:val="left"/>
        <w:rPr>
          <w:rFonts w:cs="Arial"/>
        </w:rPr>
      </w:pPr>
    </w:p>
    <w:p w14:paraId="24541369" w14:textId="53C3F06F" w:rsidR="00E746A4" w:rsidRPr="009D4CD4" w:rsidRDefault="00E746A4" w:rsidP="00E746A4">
      <w:pPr>
        <w:autoSpaceDE w:val="0"/>
        <w:autoSpaceDN w:val="0"/>
        <w:adjustRightInd w:val="0"/>
        <w:spacing w:after="0" w:line="240" w:lineRule="auto"/>
        <w:jc w:val="left"/>
      </w:pPr>
      <w:r w:rsidRPr="009D4CD4">
        <w:rPr>
          <w:rFonts w:cs="Arial"/>
        </w:rPr>
        <w:t xml:space="preserve">Les postes des Immobilisations, des Achats de matériaux et services Intrants, ainsi que des Déplacements de personnes représentent 88,0 % des émissions. </w:t>
      </w:r>
      <w:r w:rsidRPr="009D4CD4">
        <w:t xml:space="preserve">Ces postes constituent les leviers principaux d’action pour réduire l’empreinte carbone de la </w:t>
      </w:r>
      <w:r w:rsidR="00A7717F">
        <w:t>Caisse Régionale</w:t>
      </w:r>
      <w:r w:rsidRPr="009D4CD4">
        <w:t>.</w:t>
      </w:r>
    </w:p>
    <w:p w14:paraId="4879733E" w14:textId="77777777" w:rsidR="00E746A4" w:rsidRPr="009D4CD4" w:rsidRDefault="00E746A4" w:rsidP="00E746A4">
      <w:pPr>
        <w:spacing w:after="0" w:line="240" w:lineRule="auto"/>
        <w:jc w:val="left"/>
        <w:rPr>
          <w:rFonts w:cs="Arial"/>
        </w:rPr>
      </w:pPr>
    </w:p>
    <w:p w14:paraId="7646F207" w14:textId="5F5C5878" w:rsidR="00E746A4" w:rsidRPr="009D4CD4" w:rsidRDefault="00E746A4" w:rsidP="00E746A4">
      <w:pPr>
        <w:spacing w:after="0" w:line="240" w:lineRule="auto"/>
        <w:jc w:val="left"/>
        <w:rPr>
          <w:rFonts w:cs="Arial"/>
        </w:rPr>
      </w:pPr>
      <w:r w:rsidRPr="009D4CD4">
        <w:rPr>
          <w:rFonts w:cs="Arial"/>
        </w:rPr>
        <w:t>Un groupe transverse constitué de responsables des direction</w:t>
      </w:r>
      <w:r w:rsidR="005B6735">
        <w:rPr>
          <w:rFonts w:cs="Arial"/>
        </w:rPr>
        <w:t>s</w:t>
      </w:r>
      <w:r w:rsidRPr="009D4CD4">
        <w:rPr>
          <w:rFonts w:cs="Arial"/>
        </w:rPr>
        <w:t xml:space="preserve"> RH, Logistique, Entreprises et Financière a travaillé à l’établissement d’un scénario de réduction des émissions à l’horizon 2030, aligné avec l’Accord de Paris.</w:t>
      </w:r>
    </w:p>
    <w:p w14:paraId="1ABFF4F3" w14:textId="77777777" w:rsidR="00E746A4" w:rsidRPr="009D4CD4" w:rsidRDefault="00E746A4" w:rsidP="00E746A4">
      <w:pPr>
        <w:autoSpaceDE w:val="0"/>
        <w:autoSpaceDN w:val="0"/>
        <w:adjustRightInd w:val="0"/>
        <w:spacing w:after="0" w:line="240" w:lineRule="auto"/>
        <w:jc w:val="left"/>
        <w:rPr>
          <w:rFonts w:cs="Arial"/>
        </w:rPr>
      </w:pPr>
      <w:r w:rsidRPr="009D4CD4">
        <w:rPr>
          <w:rFonts w:cs="Arial"/>
        </w:rPr>
        <w:t>Ce travail a été réalisé grâce à l’accompagnement du cabinet ECOACT en utilisant la méthodologie iSBT validée par les milieux scientifiques.</w:t>
      </w:r>
    </w:p>
    <w:p w14:paraId="5124D23D" w14:textId="77777777" w:rsidR="00E746A4" w:rsidRPr="009D4CD4" w:rsidRDefault="00E746A4" w:rsidP="00E746A4">
      <w:pPr>
        <w:autoSpaceDE w:val="0"/>
        <w:autoSpaceDN w:val="0"/>
        <w:adjustRightInd w:val="0"/>
        <w:spacing w:after="0" w:line="240" w:lineRule="auto"/>
        <w:jc w:val="left"/>
        <w:rPr>
          <w:rFonts w:cs="Arial"/>
        </w:rPr>
      </w:pPr>
      <w:r w:rsidRPr="009D4CD4">
        <w:rPr>
          <w:rFonts w:cs="Arial"/>
        </w:rPr>
        <w:t>Des hypothèses de croissance ont permis d’estimer la progression des émissions de GES si rien n’est entrepris (scénario « Business As Usual »).</w:t>
      </w:r>
    </w:p>
    <w:p w14:paraId="0CA23E56" w14:textId="77777777" w:rsidR="00E746A4" w:rsidRPr="009D4CD4" w:rsidRDefault="00E746A4" w:rsidP="00E746A4">
      <w:pPr>
        <w:autoSpaceDE w:val="0"/>
        <w:autoSpaceDN w:val="0"/>
        <w:adjustRightInd w:val="0"/>
        <w:spacing w:after="0" w:line="240" w:lineRule="auto"/>
        <w:jc w:val="left"/>
        <w:rPr>
          <w:rFonts w:cs="Arial"/>
        </w:rPr>
      </w:pPr>
      <w:r w:rsidRPr="009D4CD4">
        <w:rPr>
          <w:rFonts w:cs="Arial"/>
        </w:rPr>
        <w:t xml:space="preserve">Tous les postes d’activité –à l’exclusion des portefeuilles d’investissement et de financement -ont été analysés et les travaux immobiliers structurants intégrés. </w:t>
      </w:r>
    </w:p>
    <w:p w14:paraId="473E2A5B" w14:textId="77777777" w:rsidR="00E746A4" w:rsidRPr="009D4CD4" w:rsidRDefault="00E746A4" w:rsidP="00E746A4">
      <w:pPr>
        <w:spacing w:after="0" w:line="240" w:lineRule="auto"/>
        <w:jc w:val="left"/>
        <w:rPr>
          <w:rFonts w:cs="Arial"/>
        </w:rPr>
      </w:pPr>
    </w:p>
    <w:p w14:paraId="36EBB8FB" w14:textId="63407FD4" w:rsidR="00E746A4" w:rsidRPr="009D4CD4" w:rsidRDefault="00E746A4" w:rsidP="00E746A4">
      <w:pPr>
        <w:spacing w:after="0" w:line="240" w:lineRule="auto"/>
        <w:jc w:val="left"/>
        <w:rPr>
          <w:rFonts w:cs="Arial"/>
        </w:rPr>
      </w:pPr>
      <w:r w:rsidRPr="009D4CD4">
        <w:rPr>
          <w:rFonts w:cs="Arial"/>
        </w:rPr>
        <w:t>Les travaux du Groupe ont montré qu’une trajectoire alignée sur un objectif d’un monde subissant un récha</w:t>
      </w:r>
      <w:r w:rsidR="005B6735">
        <w:rPr>
          <w:rFonts w:cs="Arial"/>
        </w:rPr>
        <w:t>uffement « bien en dessous de 2°</w:t>
      </w:r>
      <w:r w:rsidR="002814DC">
        <w:rPr>
          <w:rFonts w:cs="Arial"/>
        </w:rPr>
        <w:t xml:space="preserve"> </w:t>
      </w:r>
      <w:r w:rsidRPr="009D4CD4">
        <w:rPr>
          <w:rFonts w:cs="Arial"/>
        </w:rPr>
        <w:t>» en 2100, nécessite de réduire les émissions du CANMP de 27,5% en 2030. L’effort de réduction s’élève à -46</w:t>
      </w:r>
      <w:r w:rsidR="005B6735">
        <w:rPr>
          <w:rFonts w:cs="Arial"/>
        </w:rPr>
        <w:t xml:space="preserve"> </w:t>
      </w:r>
      <w:r w:rsidRPr="009D4CD4">
        <w:rPr>
          <w:rFonts w:cs="Arial"/>
        </w:rPr>
        <w:t>% pour s’aligner avec une trajectoire d’un monde enregistra</w:t>
      </w:r>
      <w:r w:rsidR="00CC1BFA" w:rsidRPr="009D4CD4">
        <w:rPr>
          <w:rFonts w:cs="Arial"/>
        </w:rPr>
        <w:t>nt une augmentation contenue à 1,</w:t>
      </w:r>
      <w:r w:rsidR="00380540">
        <w:rPr>
          <w:rFonts w:cs="Arial"/>
        </w:rPr>
        <w:t>5°en 2100.</w:t>
      </w:r>
    </w:p>
    <w:p w14:paraId="64BC9018" w14:textId="33EE6AB1" w:rsidR="00E746A4" w:rsidRPr="009D4CD4" w:rsidRDefault="0010611F" w:rsidP="00E746A4">
      <w:pPr>
        <w:pStyle w:val="Titre4"/>
        <w:ind w:left="784" w:hanging="13"/>
        <w:jc w:val="left"/>
      </w:pPr>
      <w:bookmarkStart w:id="142" w:name="_Toc96698040"/>
      <w:r w:rsidRPr="009D4CD4">
        <w:t>Réduire l’</w:t>
      </w:r>
      <w:r w:rsidR="00E746A4" w:rsidRPr="009D4CD4">
        <w:t>empreinte carbone de l’énergie et des déplacements professionnels routiers</w:t>
      </w:r>
      <w:bookmarkEnd w:id="142"/>
    </w:p>
    <w:tbl>
      <w:tblPr>
        <w:tblW w:w="10620" w:type="dxa"/>
        <w:tblInd w:w="-65" w:type="dxa"/>
        <w:tblCellMar>
          <w:left w:w="70" w:type="dxa"/>
          <w:right w:w="70" w:type="dxa"/>
        </w:tblCellMar>
        <w:tblLook w:val="04A0" w:firstRow="1" w:lastRow="0" w:firstColumn="1" w:lastColumn="0" w:noHBand="0" w:noVBand="1"/>
      </w:tblPr>
      <w:tblGrid>
        <w:gridCol w:w="3340"/>
        <w:gridCol w:w="1040"/>
        <w:gridCol w:w="1040"/>
        <w:gridCol w:w="1040"/>
        <w:gridCol w:w="1040"/>
        <w:gridCol w:w="1040"/>
        <w:gridCol w:w="1040"/>
        <w:gridCol w:w="1040"/>
      </w:tblGrid>
      <w:tr w:rsidR="00CC1BFA" w:rsidRPr="009D4CD4" w14:paraId="534071B0" w14:textId="77777777" w:rsidTr="005F47B6">
        <w:trPr>
          <w:trHeight w:val="212"/>
        </w:trPr>
        <w:tc>
          <w:tcPr>
            <w:tcW w:w="3340" w:type="dxa"/>
            <w:tcBorders>
              <w:top w:val="nil"/>
              <w:left w:val="nil"/>
              <w:bottom w:val="nil"/>
              <w:right w:val="single" w:sz="4" w:space="0" w:color="auto"/>
            </w:tcBorders>
            <w:shd w:val="clear" w:color="auto" w:fill="auto"/>
            <w:vAlign w:val="center"/>
            <w:hideMark/>
          </w:tcPr>
          <w:p w14:paraId="30F0E613" w14:textId="77777777" w:rsidR="00CC1BFA" w:rsidRPr="009D4CD4" w:rsidRDefault="00CC1BFA" w:rsidP="0021245B">
            <w:pPr>
              <w:spacing w:after="0" w:line="240" w:lineRule="auto"/>
              <w:ind w:firstLineChars="100" w:firstLine="180"/>
              <w:jc w:val="left"/>
              <w:rPr>
                <w:rFonts w:eastAsia="Times New Roman"/>
                <w:b/>
                <w:bCs/>
                <w:i/>
                <w:iCs/>
                <w:sz w:val="18"/>
                <w:szCs w:val="18"/>
                <w:lang w:eastAsia="fr-FR"/>
              </w:rPr>
            </w:pPr>
            <w:r w:rsidRPr="009D4CD4">
              <w:rPr>
                <w:rFonts w:asciiTheme="minorHAnsi" w:hAnsiTheme="minorHAnsi" w:cs="Arial"/>
                <w:b/>
                <w:i/>
                <w:sz w:val="18"/>
                <w:szCs w:val="18"/>
              </w:rPr>
              <w:t>Les chiffres - clé</w:t>
            </w:r>
          </w:p>
        </w:tc>
        <w:tc>
          <w:tcPr>
            <w:tcW w:w="1040" w:type="dxa"/>
            <w:tcBorders>
              <w:top w:val="single" w:sz="4" w:space="0" w:color="auto"/>
              <w:left w:val="single" w:sz="4" w:space="0" w:color="auto"/>
              <w:bottom w:val="single" w:sz="4" w:space="0" w:color="auto"/>
              <w:right w:val="nil"/>
            </w:tcBorders>
            <w:shd w:val="clear" w:color="auto" w:fill="auto"/>
            <w:vAlign w:val="center"/>
            <w:hideMark/>
          </w:tcPr>
          <w:p w14:paraId="24B73C53" w14:textId="77777777" w:rsidR="00CC1BFA" w:rsidRPr="009D4CD4" w:rsidRDefault="00CC1BFA" w:rsidP="0021245B">
            <w:pPr>
              <w:spacing w:after="0" w:line="240" w:lineRule="auto"/>
              <w:jc w:val="left"/>
              <w:rPr>
                <w:rFonts w:eastAsia="Times New Roman"/>
                <w:b/>
                <w:bCs/>
                <w:sz w:val="18"/>
                <w:szCs w:val="18"/>
                <w:lang w:eastAsia="fr-FR"/>
              </w:rPr>
            </w:pPr>
            <w:r w:rsidRPr="009D4CD4">
              <w:rPr>
                <w:rFonts w:eastAsia="Times New Roman"/>
                <w:b/>
                <w:bCs/>
                <w:sz w:val="18"/>
                <w:szCs w:val="18"/>
                <w:lang w:eastAsia="fr-FR"/>
              </w:rPr>
              <w:t>NMP</w:t>
            </w:r>
          </w:p>
        </w:tc>
        <w:tc>
          <w:tcPr>
            <w:tcW w:w="1040" w:type="dxa"/>
            <w:tcBorders>
              <w:top w:val="single" w:sz="4" w:space="0" w:color="auto"/>
              <w:left w:val="nil"/>
              <w:bottom w:val="single" w:sz="4" w:space="0" w:color="auto"/>
              <w:right w:val="nil"/>
            </w:tcBorders>
            <w:shd w:val="clear" w:color="auto" w:fill="auto"/>
            <w:vAlign w:val="center"/>
            <w:hideMark/>
          </w:tcPr>
          <w:p w14:paraId="2491F254" w14:textId="77777777" w:rsidR="00CC1BFA" w:rsidRPr="009D4CD4" w:rsidRDefault="00CC1BFA" w:rsidP="0021245B">
            <w:pPr>
              <w:spacing w:after="0" w:line="240" w:lineRule="auto"/>
              <w:jc w:val="left"/>
              <w:rPr>
                <w:rFonts w:eastAsia="Times New Roman"/>
                <w:b/>
                <w:bCs/>
                <w:sz w:val="18"/>
                <w:szCs w:val="18"/>
                <w:lang w:eastAsia="fr-FR"/>
              </w:rPr>
            </w:pPr>
            <w:r w:rsidRPr="009D4CD4">
              <w:rPr>
                <w:rFonts w:eastAsia="Times New Roman"/>
                <w:b/>
                <w:bCs/>
                <w:sz w:val="18"/>
                <w:szCs w:val="18"/>
                <w:lang w:eastAsia="fr-FR"/>
              </w:rPr>
              <w:t> </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0E0A4082" w14:textId="77777777" w:rsidR="00CC1BFA" w:rsidRPr="009D4CD4" w:rsidRDefault="00CC1BFA" w:rsidP="0021245B">
            <w:pPr>
              <w:spacing w:after="0" w:line="240" w:lineRule="auto"/>
              <w:jc w:val="left"/>
              <w:rPr>
                <w:rFonts w:eastAsia="Times New Roman"/>
                <w:b/>
                <w:bCs/>
                <w:sz w:val="18"/>
                <w:szCs w:val="18"/>
                <w:lang w:eastAsia="fr-FR"/>
              </w:rPr>
            </w:pPr>
            <w:r w:rsidRPr="009D4CD4">
              <w:rPr>
                <w:rFonts w:eastAsia="Times New Roman"/>
                <w:b/>
                <w:bCs/>
                <w:sz w:val="18"/>
                <w:szCs w:val="18"/>
                <w:lang w:eastAsia="fr-FR"/>
              </w:rPr>
              <w:t> </w:t>
            </w:r>
          </w:p>
        </w:tc>
        <w:tc>
          <w:tcPr>
            <w:tcW w:w="1040" w:type="dxa"/>
            <w:tcBorders>
              <w:top w:val="single" w:sz="4" w:space="0" w:color="auto"/>
              <w:left w:val="single" w:sz="4" w:space="0" w:color="auto"/>
              <w:bottom w:val="single" w:sz="4" w:space="0" w:color="auto"/>
              <w:right w:val="nil"/>
            </w:tcBorders>
            <w:shd w:val="clear" w:color="auto" w:fill="auto"/>
            <w:vAlign w:val="center"/>
            <w:hideMark/>
          </w:tcPr>
          <w:p w14:paraId="3A597359" w14:textId="77777777" w:rsidR="00CC1BFA" w:rsidRPr="009D4CD4" w:rsidRDefault="00CC1BFA" w:rsidP="0021245B">
            <w:pPr>
              <w:spacing w:after="0" w:line="240" w:lineRule="auto"/>
              <w:jc w:val="left"/>
              <w:rPr>
                <w:rFonts w:eastAsia="Times New Roman"/>
                <w:b/>
                <w:bCs/>
                <w:sz w:val="18"/>
                <w:szCs w:val="18"/>
                <w:lang w:eastAsia="fr-FR"/>
              </w:rPr>
            </w:pPr>
            <w:r w:rsidRPr="009D4CD4">
              <w:rPr>
                <w:rFonts w:eastAsia="Times New Roman"/>
                <w:b/>
                <w:bCs/>
                <w:sz w:val="18"/>
                <w:szCs w:val="18"/>
                <w:lang w:eastAsia="fr-FR"/>
              </w:rPr>
              <w:t>IS</w:t>
            </w:r>
          </w:p>
        </w:tc>
        <w:tc>
          <w:tcPr>
            <w:tcW w:w="1040" w:type="dxa"/>
            <w:tcBorders>
              <w:top w:val="single" w:sz="4" w:space="0" w:color="auto"/>
              <w:left w:val="nil"/>
              <w:bottom w:val="single" w:sz="4" w:space="0" w:color="auto"/>
              <w:right w:val="nil"/>
            </w:tcBorders>
          </w:tcPr>
          <w:p w14:paraId="1EE99D89" w14:textId="77777777" w:rsidR="00CC1BFA" w:rsidRPr="009D4CD4" w:rsidRDefault="00CC1BFA" w:rsidP="0021245B">
            <w:pPr>
              <w:spacing w:after="0" w:line="240" w:lineRule="auto"/>
              <w:jc w:val="left"/>
              <w:rPr>
                <w:rFonts w:eastAsia="Times New Roman"/>
                <w:b/>
                <w:bCs/>
                <w:sz w:val="18"/>
                <w:szCs w:val="18"/>
                <w:lang w:eastAsia="fr-FR"/>
              </w:rPr>
            </w:pPr>
          </w:p>
        </w:tc>
        <w:tc>
          <w:tcPr>
            <w:tcW w:w="1040" w:type="dxa"/>
            <w:tcBorders>
              <w:top w:val="single" w:sz="4" w:space="0" w:color="auto"/>
              <w:left w:val="nil"/>
              <w:bottom w:val="single" w:sz="4" w:space="0" w:color="auto"/>
              <w:right w:val="nil"/>
            </w:tcBorders>
            <w:shd w:val="clear" w:color="auto" w:fill="auto"/>
            <w:vAlign w:val="center"/>
            <w:hideMark/>
          </w:tcPr>
          <w:p w14:paraId="14AAF90C" w14:textId="2459AA5E" w:rsidR="00CC1BFA" w:rsidRPr="009D4CD4" w:rsidRDefault="00CC1BFA" w:rsidP="0021245B">
            <w:pPr>
              <w:spacing w:after="0" w:line="240" w:lineRule="auto"/>
              <w:jc w:val="left"/>
              <w:rPr>
                <w:rFonts w:eastAsia="Times New Roman"/>
                <w:b/>
                <w:bCs/>
                <w:sz w:val="18"/>
                <w:szCs w:val="18"/>
                <w:lang w:eastAsia="fr-FR"/>
              </w:rPr>
            </w:pPr>
            <w:r w:rsidRPr="009D4CD4">
              <w:rPr>
                <w:rFonts w:eastAsia="Times New Roman"/>
                <w:b/>
                <w:bCs/>
                <w:sz w:val="18"/>
                <w:szCs w:val="18"/>
                <w:lang w:eastAsia="fr-FR"/>
              </w:rPr>
              <w:t> </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7E21016B" w14:textId="77777777" w:rsidR="00CC1BFA" w:rsidRPr="009D4CD4" w:rsidRDefault="00CC1BFA" w:rsidP="0021245B">
            <w:pPr>
              <w:spacing w:after="0" w:line="240" w:lineRule="auto"/>
              <w:jc w:val="left"/>
              <w:rPr>
                <w:rFonts w:eastAsia="Times New Roman"/>
                <w:b/>
                <w:bCs/>
                <w:sz w:val="18"/>
                <w:szCs w:val="18"/>
                <w:lang w:eastAsia="fr-FR"/>
              </w:rPr>
            </w:pPr>
            <w:r w:rsidRPr="009D4CD4">
              <w:rPr>
                <w:rFonts w:eastAsia="Times New Roman"/>
                <w:b/>
                <w:bCs/>
                <w:sz w:val="18"/>
                <w:szCs w:val="18"/>
                <w:lang w:eastAsia="fr-FR"/>
              </w:rPr>
              <w:t> </w:t>
            </w:r>
          </w:p>
        </w:tc>
      </w:tr>
      <w:tr w:rsidR="00CC1BFA" w:rsidRPr="009D4CD4" w14:paraId="3FA47AE2" w14:textId="77777777" w:rsidTr="005F47B6">
        <w:trPr>
          <w:trHeight w:val="249"/>
        </w:trPr>
        <w:tc>
          <w:tcPr>
            <w:tcW w:w="3340" w:type="dxa"/>
            <w:tcBorders>
              <w:top w:val="nil"/>
              <w:left w:val="nil"/>
              <w:bottom w:val="nil"/>
              <w:right w:val="nil"/>
            </w:tcBorders>
            <w:shd w:val="clear" w:color="auto" w:fill="auto"/>
            <w:vAlign w:val="center"/>
            <w:hideMark/>
          </w:tcPr>
          <w:p w14:paraId="6A5644AD" w14:textId="77777777" w:rsidR="00CC1BFA" w:rsidRPr="009D4CD4" w:rsidRDefault="00CC1BFA" w:rsidP="0021245B">
            <w:pPr>
              <w:spacing w:after="0" w:line="240" w:lineRule="auto"/>
              <w:jc w:val="left"/>
              <w:rPr>
                <w:rFonts w:eastAsia="Times New Roman"/>
                <w:sz w:val="18"/>
                <w:szCs w:val="18"/>
                <w:lang w:eastAsia="fr-FR"/>
              </w:rPr>
            </w:pPr>
          </w:p>
        </w:tc>
        <w:tc>
          <w:tcPr>
            <w:tcW w:w="1040" w:type="dxa"/>
            <w:tcBorders>
              <w:top w:val="nil"/>
              <w:left w:val="single" w:sz="4" w:space="0" w:color="auto"/>
              <w:bottom w:val="single" w:sz="4" w:space="0" w:color="auto"/>
              <w:right w:val="single" w:sz="4" w:space="0" w:color="auto"/>
            </w:tcBorders>
            <w:shd w:val="clear" w:color="auto" w:fill="auto"/>
            <w:vAlign w:val="center"/>
            <w:hideMark/>
          </w:tcPr>
          <w:p w14:paraId="0A959597" w14:textId="77777777" w:rsidR="00CC1BFA" w:rsidRPr="009D4CD4" w:rsidRDefault="00CC1BFA" w:rsidP="0021245B">
            <w:pPr>
              <w:spacing w:after="0" w:line="240" w:lineRule="auto"/>
              <w:jc w:val="right"/>
              <w:rPr>
                <w:rFonts w:eastAsia="Times New Roman"/>
                <w:b/>
                <w:bCs/>
                <w:sz w:val="18"/>
                <w:szCs w:val="18"/>
                <w:lang w:eastAsia="fr-FR"/>
              </w:rPr>
            </w:pPr>
            <w:r w:rsidRPr="009D4CD4">
              <w:rPr>
                <w:rFonts w:eastAsia="Times New Roman"/>
                <w:b/>
                <w:bCs/>
                <w:sz w:val="18"/>
                <w:szCs w:val="18"/>
                <w:lang w:eastAsia="fr-FR"/>
              </w:rPr>
              <w:t>2021</w:t>
            </w:r>
          </w:p>
        </w:tc>
        <w:tc>
          <w:tcPr>
            <w:tcW w:w="1040" w:type="dxa"/>
            <w:tcBorders>
              <w:top w:val="nil"/>
              <w:left w:val="nil"/>
              <w:bottom w:val="single" w:sz="4" w:space="0" w:color="auto"/>
              <w:right w:val="single" w:sz="4" w:space="0" w:color="auto"/>
            </w:tcBorders>
            <w:shd w:val="clear" w:color="auto" w:fill="auto"/>
            <w:vAlign w:val="center"/>
            <w:hideMark/>
          </w:tcPr>
          <w:p w14:paraId="2798752F" w14:textId="77777777" w:rsidR="00CC1BFA" w:rsidRPr="009D4CD4" w:rsidRDefault="00CC1BFA" w:rsidP="0021245B">
            <w:pPr>
              <w:spacing w:after="0" w:line="240" w:lineRule="auto"/>
              <w:jc w:val="right"/>
              <w:rPr>
                <w:rFonts w:eastAsia="Times New Roman"/>
                <w:b/>
                <w:bCs/>
                <w:sz w:val="18"/>
                <w:szCs w:val="18"/>
                <w:lang w:eastAsia="fr-FR"/>
              </w:rPr>
            </w:pPr>
            <w:r w:rsidRPr="009D4CD4">
              <w:rPr>
                <w:rFonts w:eastAsia="Times New Roman"/>
                <w:b/>
                <w:bCs/>
                <w:sz w:val="18"/>
                <w:szCs w:val="18"/>
                <w:lang w:eastAsia="fr-FR"/>
              </w:rPr>
              <w:t>2020</w:t>
            </w:r>
          </w:p>
        </w:tc>
        <w:tc>
          <w:tcPr>
            <w:tcW w:w="1040" w:type="dxa"/>
            <w:tcBorders>
              <w:top w:val="nil"/>
              <w:left w:val="nil"/>
              <w:bottom w:val="single" w:sz="4" w:space="0" w:color="auto"/>
              <w:right w:val="single" w:sz="4" w:space="0" w:color="auto"/>
            </w:tcBorders>
            <w:shd w:val="clear" w:color="auto" w:fill="auto"/>
            <w:vAlign w:val="center"/>
            <w:hideMark/>
          </w:tcPr>
          <w:p w14:paraId="1ED44FD0" w14:textId="77777777" w:rsidR="00CC1BFA" w:rsidRPr="009D4CD4" w:rsidRDefault="00CC1BFA" w:rsidP="0021245B">
            <w:pPr>
              <w:spacing w:after="0" w:line="240" w:lineRule="auto"/>
              <w:jc w:val="right"/>
              <w:rPr>
                <w:rFonts w:eastAsia="Times New Roman"/>
                <w:b/>
                <w:bCs/>
                <w:sz w:val="18"/>
                <w:szCs w:val="18"/>
                <w:lang w:eastAsia="fr-FR"/>
              </w:rPr>
            </w:pPr>
            <w:r w:rsidRPr="009D4CD4">
              <w:rPr>
                <w:rFonts w:eastAsia="Times New Roman"/>
                <w:b/>
                <w:bCs/>
                <w:sz w:val="18"/>
                <w:szCs w:val="18"/>
                <w:lang w:eastAsia="fr-FR"/>
              </w:rPr>
              <w:t>2019</w:t>
            </w:r>
          </w:p>
        </w:tc>
        <w:tc>
          <w:tcPr>
            <w:tcW w:w="1040" w:type="dxa"/>
            <w:tcBorders>
              <w:top w:val="nil"/>
              <w:left w:val="single" w:sz="4" w:space="0" w:color="auto"/>
              <w:bottom w:val="single" w:sz="4" w:space="0" w:color="auto"/>
              <w:right w:val="single" w:sz="4" w:space="0" w:color="auto"/>
            </w:tcBorders>
            <w:shd w:val="clear" w:color="auto" w:fill="auto"/>
            <w:vAlign w:val="center"/>
            <w:hideMark/>
          </w:tcPr>
          <w:p w14:paraId="520699D4" w14:textId="6811B26A" w:rsidR="00CC1BFA" w:rsidRPr="009D4CD4" w:rsidRDefault="005F47B6" w:rsidP="0021245B">
            <w:pPr>
              <w:spacing w:after="0" w:line="240" w:lineRule="auto"/>
              <w:jc w:val="right"/>
              <w:rPr>
                <w:rFonts w:eastAsia="Times New Roman"/>
                <w:b/>
                <w:bCs/>
                <w:sz w:val="18"/>
                <w:szCs w:val="18"/>
                <w:lang w:eastAsia="fr-FR"/>
              </w:rPr>
            </w:pPr>
            <w:r w:rsidRPr="009D4CD4">
              <w:rPr>
                <w:rFonts w:eastAsia="Times New Roman"/>
                <w:b/>
                <w:bCs/>
                <w:sz w:val="18"/>
                <w:szCs w:val="18"/>
                <w:lang w:eastAsia="fr-FR"/>
              </w:rPr>
              <w:t>21 IST</w:t>
            </w:r>
          </w:p>
        </w:tc>
        <w:tc>
          <w:tcPr>
            <w:tcW w:w="1040" w:type="dxa"/>
            <w:tcBorders>
              <w:top w:val="single" w:sz="4" w:space="0" w:color="auto"/>
              <w:left w:val="nil"/>
              <w:bottom w:val="single" w:sz="4" w:space="0" w:color="auto"/>
              <w:right w:val="single" w:sz="4" w:space="0" w:color="auto"/>
            </w:tcBorders>
          </w:tcPr>
          <w:p w14:paraId="4765295E" w14:textId="46EA2F6A" w:rsidR="00CC1BFA" w:rsidRPr="009D4CD4" w:rsidRDefault="005F47B6" w:rsidP="00184957">
            <w:pPr>
              <w:spacing w:after="0" w:line="240" w:lineRule="auto"/>
              <w:jc w:val="right"/>
              <w:rPr>
                <w:rFonts w:eastAsia="Times New Roman"/>
                <w:b/>
                <w:bCs/>
                <w:sz w:val="18"/>
                <w:szCs w:val="18"/>
                <w:lang w:eastAsia="fr-FR"/>
              </w:rPr>
            </w:pPr>
            <w:r w:rsidRPr="009D4CD4">
              <w:rPr>
                <w:rFonts w:eastAsia="Times New Roman"/>
                <w:b/>
                <w:bCs/>
                <w:sz w:val="18"/>
                <w:szCs w:val="18"/>
                <w:lang w:eastAsia="fr-FR"/>
              </w:rPr>
              <w:t>21 EDK</w:t>
            </w:r>
          </w:p>
        </w:tc>
        <w:tc>
          <w:tcPr>
            <w:tcW w:w="1040" w:type="dxa"/>
            <w:tcBorders>
              <w:top w:val="nil"/>
              <w:left w:val="single" w:sz="4" w:space="0" w:color="auto"/>
              <w:bottom w:val="single" w:sz="4" w:space="0" w:color="auto"/>
              <w:right w:val="single" w:sz="4" w:space="0" w:color="auto"/>
            </w:tcBorders>
            <w:shd w:val="clear" w:color="auto" w:fill="auto"/>
            <w:vAlign w:val="center"/>
            <w:hideMark/>
          </w:tcPr>
          <w:p w14:paraId="62484DDA" w14:textId="034D4BE4" w:rsidR="00CC1BFA" w:rsidRPr="009D4CD4" w:rsidRDefault="00CC1BFA" w:rsidP="0021245B">
            <w:pPr>
              <w:spacing w:after="0" w:line="240" w:lineRule="auto"/>
              <w:jc w:val="right"/>
              <w:rPr>
                <w:rFonts w:eastAsia="Times New Roman"/>
                <w:b/>
                <w:bCs/>
                <w:sz w:val="18"/>
                <w:szCs w:val="18"/>
                <w:lang w:eastAsia="fr-FR"/>
              </w:rPr>
            </w:pPr>
            <w:r w:rsidRPr="009D4CD4">
              <w:rPr>
                <w:rFonts w:eastAsia="Times New Roman"/>
                <w:b/>
                <w:bCs/>
                <w:sz w:val="18"/>
                <w:szCs w:val="18"/>
                <w:lang w:eastAsia="fr-FR"/>
              </w:rPr>
              <w:t>2020</w:t>
            </w:r>
          </w:p>
        </w:tc>
        <w:tc>
          <w:tcPr>
            <w:tcW w:w="1040" w:type="dxa"/>
            <w:tcBorders>
              <w:top w:val="nil"/>
              <w:left w:val="nil"/>
              <w:bottom w:val="single" w:sz="4" w:space="0" w:color="auto"/>
              <w:right w:val="single" w:sz="4" w:space="0" w:color="auto"/>
            </w:tcBorders>
            <w:shd w:val="clear" w:color="auto" w:fill="auto"/>
            <w:vAlign w:val="center"/>
            <w:hideMark/>
          </w:tcPr>
          <w:p w14:paraId="0ADF9D5C" w14:textId="77777777" w:rsidR="00CC1BFA" w:rsidRPr="009D4CD4" w:rsidRDefault="00CC1BFA" w:rsidP="0021245B">
            <w:pPr>
              <w:spacing w:after="0" w:line="240" w:lineRule="auto"/>
              <w:jc w:val="right"/>
              <w:rPr>
                <w:rFonts w:eastAsia="Times New Roman"/>
                <w:b/>
                <w:bCs/>
                <w:sz w:val="18"/>
                <w:szCs w:val="18"/>
                <w:lang w:eastAsia="fr-FR"/>
              </w:rPr>
            </w:pPr>
            <w:r w:rsidRPr="009D4CD4">
              <w:rPr>
                <w:rFonts w:eastAsia="Times New Roman"/>
                <w:b/>
                <w:bCs/>
                <w:sz w:val="18"/>
                <w:szCs w:val="18"/>
                <w:lang w:eastAsia="fr-FR"/>
              </w:rPr>
              <w:t>2019</w:t>
            </w:r>
          </w:p>
        </w:tc>
      </w:tr>
      <w:tr w:rsidR="00CC1BFA" w:rsidRPr="009D4CD4" w14:paraId="2F20D589" w14:textId="77777777" w:rsidTr="005F47B6">
        <w:trPr>
          <w:trHeight w:val="296"/>
        </w:trPr>
        <w:tc>
          <w:tcPr>
            <w:tcW w:w="33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0B0D3D" w14:textId="77777777" w:rsidR="00CC1BFA" w:rsidRPr="009D4CD4" w:rsidRDefault="00CC1BFA" w:rsidP="0021245B">
            <w:pPr>
              <w:spacing w:after="0" w:line="240" w:lineRule="auto"/>
              <w:jc w:val="left"/>
              <w:rPr>
                <w:rFonts w:eastAsia="Times New Roman"/>
                <w:sz w:val="18"/>
                <w:szCs w:val="18"/>
                <w:lang w:eastAsia="fr-FR"/>
              </w:rPr>
            </w:pPr>
            <w:r w:rsidRPr="009D4CD4">
              <w:rPr>
                <w:rFonts w:eastAsia="Times New Roman"/>
                <w:sz w:val="18"/>
                <w:szCs w:val="18"/>
                <w:lang w:eastAsia="fr-FR"/>
              </w:rPr>
              <w:t>Gaz naturel (Kwh PCI)</w:t>
            </w:r>
          </w:p>
        </w:tc>
        <w:tc>
          <w:tcPr>
            <w:tcW w:w="1040" w:type="dxa"/>
            <w:tcBorders>
              <w:top w:val="nil"/>
              <w:left w:val="single" w:sz="4" w:space="0" w:color="auto"/>
              <w:bottom w:val="single" w:sz="4" w:space="0" w:color="auto"/>
              <w:right w:val="single" w:sz="4" w:space="0" w:color="auto"/>
            </w:tcBorders>
            <w:shd w:val="clear" w:color="auto" w:fill="auto"/>
            <w:vAlign w:val="center"/>
          </w:tcPr>
          <w:p w14:paraId="5707AE88" w14:textId="7F409068"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2 785 961</w:t>
            </w:r>
          </w:p>
        </w:tc>
        <w:tc>
          <w:tcPr>
            <w:tcW w:w="1040" w:type="dxa"/>
            <w:tcBorders>
              <w:top w:val="nil"/>
              <w:left w:val="nil"/>
              <w:bottom w:val="single" w:sz="4" w:space="0" w:color="auto"/>
              <w:right w:val="single" w:sz="4" w:space="0" w:color="auto"/>
            </w:tcBorders>
            <w:shd w:val="clear" w:color="auto" w:fill="auto"/>
            <w:vAlign w:val="center"/>
            <w:hideMark/>
          </w:tcPr>
          <w:p w14:paraId="5CBF7B49"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2 691 451</w:t>
            </w:r>
          </w:p>
        </w:tc>
        <w:tc>
          <w:tcPr>
            <w:tcW w:w="1040" w:type="dxa"/>
            <w:tcBorders>
              <w:top w:val="nil"/>
              <w:left w:val="nil"/>
              <w:bottom w:val="single" w:sz="4" w:space="0" w:color="auto"/>
              <w:right w:val="single" w:sz="4" w:space="0" w:color="auto"/>
            </w:tcBorders>
            <w:shd w:val="clear" w:color="auto" w:fill="auto"/>
            <w:vAlign w:val="center"/>
            <w:hideMark/>
          </w:tcPr>
          <w:p w14:paraId="38E97E3B"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3 066 189</w:t>
            </w:r>
          </w:p>
        </w:tc>
        <w:tc>
          <w:tcPr>
            <w:tcW w:w="1040" w:type="dxa"/>
            <w:tcBorders>
              <w:top w:val="nil"/>
              <w:left w:val="single" w:sz="4" w:space="0" w:color="auto"/>
              <w:bottom w:val="single" w:sz="4" w:space="0" w:color="auto"/>
              <w:right w:val="single" w:sz="4" w:space="0" w:color="auto"/>
            </w:tcBorders>
            <w:shd w:val="clear" w:color="auto" w:fill="auto"/>
            <w:vAlign w:val="center"/>
          </w:tcPr>
          <w:p w14:paraId="709C67AF" w14:textId="55D1D9BA"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0</w:t>
            </w:r>
          </w:p>
        </w:tc>
        <w:tc>
          <w:tcPr>
            <w:tcW w:w="1040" w:type="dxa"/>
            <w:tcBorders>
              <w:top w:val="single" w:sz="4" w:space="0" w:color="auto"/>
              <w:left w:val="nil"/>
              <w:bottom w:val="single" w:sz="4" w:space="0" w:color="auto"/>
              <w:right w:val="single" w:sz="4" w:space="0" w:color="auto"/>
            </w:tcBorders>
          </w:tcPr>
          <w:p w14:paraId="4855D484" w14:textId="0828C585" w:rsidR="00CC1BFA" w:rsidRPr="00B3257B" w:rsidRDefault="00B3257B" w:rsidP="0021245B">
            <w:pPr>
              <w:spacing w:after="0" w:line="240" w:lineRule="auto"/>
              <w:jc w:val="right"/>
              <w:rPr>
                <w:rFonts w:eastAsia="Times New Roman"/>
                <w:bCs/>
                <w:sz w:val="18"/>
                <w:szCs w:val="18"/>
                <w:lang w:eastAsia="fr-FR"/>
              </w:rPr>
            </w:pPr>
            <w:r w:rsidRPr="00B3257B">
              <w:rPr>
                <w:rFonts w:eastAsia="Times New Roman"/>
                <w:bCs/>
                <w:sz w:val="18"/>
                <w:szCs w:val="18"/>
                <w:lang w:eastAsia="fr-FR"/>
              </w:rPr>
              <w:t>ND</w:t>
            </w:r>
          </w:p>
        </w:tc>
        <w:tc>
          <w:tcPr>
            <w:tcW w:w="1040" w:type="dxa"/>
            <w:tcBorders>
              <w:top w:val="nil"/>
              <w:left w:val="single" w:sz="4" w:space="0" w:color="auto"/>
              <w:bottom w:val="single" w:sz="4" w:space="0" w:color="auto"/>
              <w:right w:val="single" w:sz="4" w:space="0" w:color="auto"/>
            </w:tcBorders>
            <w:shd w:val="clear" w:color="auto" w:fill="auto"/>
            <w:vAlign w:val="center"/>
            <w:hideMark/>
          </w:tcPr>
          <w:p w14:paraId="3B42A500" w14:textId="0EF0D631"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2 015 181</w:t>
            </w:r>
          </w:p>
        </w:tc>
        <w:tc>
          <w:tcPr>
            <w:tcW w:w="1040" w:type="dxa"/>
            <w:tcBorders>
              <w:top w:val="nil"/>
              <w:left w:val="nil"/>
              <w:bottom w:val="single" w:sz="4" w:space="0" w:color="auto"/>
              <w:right w:val="single" w:sz="4" w:space="0" w:color="auto"/>
            </w:tcBorders>
            <w:shd w:val="clear" w:color="auto" w:fill="auto"/>
            <w:vAlign w:val="center"/>
            <w:hideMark/>
          </w:tcPr>
          <w:p w14:paraId="06C0D7BB"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1 714 107</w:t>
            </w:r>
          </w:p>
        </w:tc>
      </w:tr>
      <w:tr w:rsidR="00CC1BFA" w:rsidRPr="009D4CD4" w14:paraId="41DB696D" w14:textId="77777777" w:rsidTr="005F47B6">
        <w:trPr>
          <w:trHeight w:val="287"/>
        </w:trPr>
        <w:tc>
          <w:tcPr>
            <w:tcW w:w="3340" w:type="dxa"/>
            <w:tcBorders>
              <w:top w:val="nil"/>
              <w:left w:val="single" w:sz="4" w:space="0" w:color="auto"/>
              <w:bottom w:val="single" w:sz="4" w:space="0" w:color="auto"/>
              <w:right w:val="single" w:sz="4" w:space="0" w:color="auto"/>
            </w:tcBorders>
            <w:shd w:val="clear" w:color="auto" w:fill="auto"/>
            <w:vAlign w:val="center"/>
            <w:hideMark/>
          </w:tcPr>
          <w:p w14:paraId="19ACAFE1" w14:textId="77777777" w:rsidR="00CC1BFA" w:rsidRPr="009D4CD4" w:rsidRDefault="00CC1BFA" w:rsidP="0021245B">
            <w:pPr>
              <w:spacing w:after="0" w:line="240" w:lineRule="auto"/>
              <w:jc w:val="left"/>
              <w:rPr>
                <w:rFonts w:eastAsia="Times New Roman"/>
                <w:sz w:val="18"/>
                <w:szCs w:val="18"/>
                <w:lang w:eastAsia="fr-FR"/>
              </w:rPr>
            </w:pPr>
            <w:r w:rsidRPr="009D4CD4">
              <w:rPr>
                <w:rFonts w:eastAsia="Times New Roman"/>
                <w:sz w:val="18"/>
                <w:szCs w:val="18"/>
                <w:lang w:eastAsia="fr-FR"/>
              </w:rPr>
              <w:t>Fioul domestique (kWh)</w:t>
            </w:r>
          </w:p>
        </w:tc>
        <w:tc>
          <w:tcPr>
            <w:tcW w:w="1040" w:type="dxa"/>
            <w:tcBorders>
              <w:top w:val="nil"/>
              <w:left w:val="single" w:sz="4" w:space="0" w:color="auto"/>
              <w:bottom w:val="single" w:sz="4" w:space="0" w:color="auto"/>
              <w:right w:val="single" w:sz="4" w:space="0" w:color="auto"/>
            </w:tcBorders>
            <w:shd w:val="clear" w:color="auto" w:fill="auto"/>
            <w:vAlign w:val="center"/>
          </w:tcPr>
          <w:p w14:paraId="10E40CAE" w14:textId="0EF2110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717 340</w:t>
            </w:r>
          </w:p>
        </w:tc>
        <w:tc>
          <w:tcPr>
            <w:tcW w:w="1040" w:type="dxa"/>
            <w:tcBorders>
              <w:top w:val="nil"/>
              <w:left w:val="nil"/>
              <w:bottom w:val="single" w:sz="4" w:space="0" w:color="auto"/>
              <w:right w:val="single" w:sz="4" w:space="0" w:color="auto"/>
            </w:tcBorders>
            <w:shd w:val="clear" w:color="auto" w:fill="auto"/>
            <w:vAlign w:val="center"/>
            <w:hideMark/>
          </w:tcPr>
          <w:p w14:paraId="17C71CB2"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572 957</w:t>
            </w:r>
          </w:p>
        </w:tc>
        <w:tc>
          <w:tcPr>
            <w:tcW w:w="1040" w:type="dxa"/>
            <w:tcBorders>
              <w:top w:val="nil"/>
              <w:left w:val="nil"/>
              <w:bottom w:val="single" w:sz="4" w:space="0" w:color="auto"/>
              <w:right w:val="single" w:sz="4" w:space="0" w:color="auto"/>
            </w:tcBorders>
            <w:shd w:val="clear" w:color="auto" w:fill="auto"/>
            <w:vAlign w:val="center"/>
            <w:hideMark/>
          </w:tcPr>
          <w:p w14:paraId="4CA495F4"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572 000</w:t>
            </w:r>
          </w:p>
        </w:tc>
        <w:tc>
          <w:tcPr>
            <w:tcW w:w="1040" w:type="dxa"/>
            <w:tcBorders>
              <w:top w:val="nil"/>
              <w:left w:val="single" w:sz="4" w:space="0" w:color="auto"/>
              <w:bottom w:val="single" w:sz="4" w:space="0" w:color="auto"/>
              <w:right w:val="single" w:sz="4" w:space="0" w:color="auto"/>
            </w:tcBorders>
            <w:shd w:val="clear" w:color="auto" w:fill="auto"/>
            <w:vAlign w:val="center"/>
          </w:tcPr>
          <w:p w14:paraId="6119A1CE" w14:textId="26EDCBFE"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0</w:t>
            </w:r>
          </w:p>
        </w:tc>
        <w:tc>
          <w:tcPr>
            <w:tcW w:w="1040" w:type="dxa"/>
            <w:tcBorders>
              <w:top w:val="single" w:sz="4" w:space="0" w:color="auto"/>
              <w:left w:val="nil"/>
              <w:bottom w:val="single" w:sz="4" w:space="0" w:color="auto"/>
              <w:right w:val="single" w:sz="4" w:space="0" w:color="auto"/>
            </w:tcBorders>
          </w:tcPr>
          <w:p w14:paraId="23040C39" w14:textId="787D8819" w:rsidR="00CC1BFA" w:rsidRPr="00B3257B" w:rsidRDefault="00B3257B" w:rsidP="0021245B">
            <w:pPr>
              <w:spacing w:after="0" w:line="240" w:lineRule="auto"/>
              <w:jc w:val="right"/>
              <w:rPr>
                <w:rFonts w:eastAsia="Times New Roman"/>
                <w:bCs/>
                <w:sz w:val="18"/>
                <w:szCs w:val="18"/>
                <w:lang w:eastAsia="fr-FR"/>
              </w:rPr>
            </w:pPr>
            <w:r w:rsidRPr="00B3257B">
              <w:rPr>
                <w:rFonts w:eastAsia="Times New Roman"/>
                <w:bCs/>
                <w:sz w:val="18"/>
                <w:szCs w:val="18"/>
                <w:lang w:eastAsia="fr-FR"/>
              </w:rPr>
              <w:t>ND</w:t>
            </w:r>
          </w:p>
        </w:tc>
        <w:tc>
          <w:tcPr>
            <w:tcW w:w="1040" w:type="dxa"/>
            <w:tcBorders>
              <w:top w:val="nil"/>
              <w:left w:val="single" w:sz="4" w:space="0" w:color="auto"/>
              <w:bottom w:val="single" w:sz="4" w:space="0" w:color="auto"/>
              <w:right w:val="single" w:sz="4" w:space="0" w:color="auto"/>
            </w:tcBorders>
            <w:shd w:val="clear" w:color="auto" w:fill="auto"/>
            <w:vAlign w:val="center"/>
            <w:hideMark/>
          </w:tcPr>
          <w:p w14:paraId="2F6158D1" w14:textId="1FC6A711"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702 200</w:t>
            </w:r>
          </w:p>
        </w:tc>
        <w:tc>
          <w:tcPr>
            <w:tcW w:w="1040" w:type="dxa"/>
            <w:tcBorders>
              <w:top w:val="nil"/>
              <w:left w:val="nil"/>
              <w:bottom w:val="single" w:sz="4" w:space="0" w:color="auto"/>
              <w:right w:val="single" w:sz="4" w:space="0" w:color="auto"/>
            </w:tcBorders>
            <w:shd w:val="clear" w:color="auto" w:fill="auto"/>
            <w:vAlign w:val="center"/>
            <w:hideMark/>
          </w:tcPr>
          <w:p w14:paraId="449922DE"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634 400</w:t>
            </w:r>
          </w:p>
        </w:tc>
      </w:tr>
      <w:tr w:rsidR="00CC1BFA" w:rsidRPr="009D4CD4" w14:paraId="6C3F95BF" w14:textId="77777777" w:rsidTr="005F47B6">
        <w:trPr>
          <w:trHeight w:val="287"/>
        </w:trPr>
        <w:tc>
          <w:tcPr>
            <w:tcW w:w="3340" w:type="dxa"/>
            <w:tcBorders>
              <w:top w:val="nil"/>
              <w:left w:val="single" w:sz="4" w:space="0" w:color="auto"/>
              <w:bottom w:val="single" w:sz="4" w:space="0" w:color="auto"/>
              <w:right w:val="single" w:sz="4" w:space="0" w:color="auto"/>
            </w:tcBorders>
            <w:shd w:val="clear" w:color="auto" w:fill="auto"/>
            <w:vAlign w:val="center"/>
            <w:hideMark/>
          </w:tcPr>
          <w:p w14:paraId="19685F14" w14:textId="77777777" w:rsidR="00CC1BFA" w:rsidRPr="009D4CD4" w:rsidRDefault="00CC1BFA" w:rsidP="0021245B">
            <w:pPr>
              <w:spacing w:after="0" w:line="240" w:lineRule="auto"/>
              <w:jc w:val="left"/>
              <w:rPr>
                <w:rFonts w:eastAsia="Times New Roman"/>
                <w:sz w:val="18"/>
                <w:szCs w:val="18"/>
                <w:lang w:eastAsia="fr-FR"/>
              </w:rPr>
            </w:pPr>
            <w:r w:rsidRPr="009D4CD4">
              <w:rPr>
                <w:rFonts w:eastAsia="Times New Roman"/>
                <w:sz w:val="18"/>
                <w:szCs w:val="18"/>
                <w:lang w:eastAsia="fr-FR"/>
              </w:rPr>
              <w:t>Plaquettes forestières (kWh)</w:t>
            </w:r>
          </w:p>
        </w:tc>
        <w:tc>
          <w:tcPr>
            <w:tcW w:w="1040" w:type="dxa"/>
            <w:tcBorders>
              <w:top w:val="nil"/>
              <w:left w:val="single" w:sz="4" w:space="0" w:color="auto"/>
              <w:bottom w:val="single" w:sz="4" w:space="0" w:color="auto"/>
              <w:right w:val="single" w:sz="4" w:space="0" w:color="auto"/>
            </w:tcBorders>
            <w:shd w:val="clear" w:color="auto" w:fill="auto"/>
            <w:vAlign w:val="center"/>
          </w:tcPr>
          <w:p w14:paraId="54144BFF" w14:textId="53171BD7" w:rsidR="00CC1BFA" w:rsidRPr="009D4CD4" w:rsidRDefault="0079402D" w:rsidP="0021245B">
            <w:pPr>
              <w:spacing w:after="0" w:line="240" w:lineRule="auto"/>
              <w:jc w:val="right"/>
              <w:rPr>
                <w:rFonts w:eastAsia="Times New Roman"/>
                <w:sz w:val="18"/>
                <w:szCs w:val="18"/>
                <w:lang w:eastAsia="fr-FR"/>
              </w:rPr>
            </w:pPr>
            <w:r>
              <w:rPr>
                <w:rFonts w:eastAsia="Times New Roman"/>
                <w:sz w:val="18"/>
                <w:szCs w:val="18"/>
                <w:lang w:eastAsia="fr-FR"/>
              </w:rPr>
              <w:t>799 800</w:t>
            </w:r>
          </w:p>
        </w:tc>
        <w:tc>
          <w:tcPr>
            <w:tcW w:w="1040" w:type="dxa"/>
            <w:tcBorders>
              <w:top w:val="nil"/>
              <w:left w:val="nil"/>
              <w:bottom w:val="single" w:sz="4" w:space="0" w:color="auto"/>
              <w:right w:val="single" w:sz="4" w:space="0" w:color="auto"/>
            </w:tcBorders>
            <w:shd w:val="clear" w:color="auto" w:fill="auto"/>
            <w:vAlign w:val="center"/>
            <w:hideMark/>
          </w:tcPr>
          <w:p w14:paraId="29B4454A"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852 000</w:t>
            </w:r>
          </w:p>
        </w:tc>
        <w:tc>
          <w:tcPr>
            <w:tcW w:w="1040" w:type="dxa"/>
            <w:tcBorders>
              <w:top w:val="nil"/>
              <w:left w:val="nil"/>
              <w:bottom w:val="single" w:sz="4" w:space="0" w:color="auto"/>
              <w:right w:val="single" w:sz="4" w:space="0" w:color="auto"/>
            </w:tcBorders>
            <w:shd w:val="clear" w:color="auto" w:fill="auto"/>
            <w:vAlign w:val="center"/>
            <w:hideMark/>
          </w:tcPr>
          <w:p w14:paraId="03D2DE96"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876 000</w:t>
            </w:r>
          </w:p>
        </w:tc>
        <w:tc>
          <w:tcPr>
            <w:tcW w:w="1040" w:type="dxa"/>
            <w:tcBorders>
              <w:top w:val="nil"/>
              <w:left w:val="single" w:sz="4" w:space="0" w:color="auto"/>
              <w:bottom w:val="single" w:sz="4" w:space="0" w:color="auto"/>
              <w:right w:val="single" w:sz="4" w:space="0" w:color="auto"/>
            </w:tcBorders>
            <w:shd w:val="clear" w:color="auto" w:fill="auto"/>
            <w:vAlign w:val="center"/>
          </w:tcPr>
          <w:p w14:paraId="4BB1C488" w14:textId="6EB01D73"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0</w:t>
            </w:r>
          </w:p>
        </w:tc>
        <w:tc>
          <w:tcPr>
            <w:tcW w:w="1040" w:type="dxa"/>
            <w:tcBorders>
              <w:top w:val="single" w:sz="4" w:space="0" w:color="auto"/>
              <w:left w:val="nil"/>
              <w:bottom w:val="single" w:sz="4" w:space="0" w:color="auto"/>
              <w:right w:val="single" w:sz="4" w:space="0" w:color="auto"/>
            </w:tcBorders>
          </w:tcPr>
          <w:p w14:paraId="08F76404" w14:textId="544791CA" w:rsidR="00CC1BFA" w:rsidRPr="00B3257B" w:rsidRDefault="00B3257B" w:rsidP="0021245B">
            <w:pPr>
              <w:spacing w:after="0" w:line="240" w:lineRule="auto"/>
              <w:jc w:val="right"/>
              <w:rPr>
                <w:rFonts w:eastAsia="Times New Roman"/>
                <w:bCs/>
                <w:sz w:val="18"/>
                <w:szCs w:val="18"/>
                <w:lang w:eastAsia="fr-FR"/>
              </w:rPr>
            </w:pPr>
            <w:r w:rsidRPr="00B3257B">
              <w:rPr>
                <w:rFonts w:eastAsia="Times New Roman"/>
                <w:bCs/>
                <w:sz w:val="18"/>
                <w:szCs w:val="18"/>
                <w:lang w:eastAsia="fr-FR"/>
              </w:rPr>
              <w:t>ND</w:t>
            </w:r>
          </w:p>
        </w:tc>
        <w:tc>
          <w:tcPr>
            <w:tcW w:w="1040" w:type="dxa"/>
            <w:tcBorders>
              <w:top w:val="nil"/>
              <w:left w:val="single" w:sz="4" w:space="0" w:color="auto"/>
              <w:bottom w:val="single" w:sz="4" w:space="0" w:color="auto"/>
              <w:right w:val="single" w:sz="4" w:space="0" w:color="auto"/>
            </w:tcBorders>
            <w:shd w:val="clear" w:color="auto" w:fill="auto"/>
            <w:vAlign w:val="center"/>
            <w:hideMark/>
          </w:tcPr>
          <w:p w14:paraId="7DCD7D67" w14:textId="6D55A066"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0</w:t>
            </w:r>
          </w:p>
        </w:tc>
        <w:tc>
          <w:tcPr>
            <w:tcW w:w="1040" w:type="dxa"/>
            <w:tcBorders>
              <w:top w:val="nil"/>
              <w:left w:val="nil"/>
              <w:bottom w:val="single" w:sz="4" w:space="0" w:color="auto"/>
              <w:right w:val="single" w:sz="4" w:space="0" w:color="auto"/>
            </w:tcBorders>
            <w:shd w:val="clear" w:color="auto" w:fill="auto"/>
            <w:vAlign w:val="center"/>
            <w:hideMark/>
          </w:tcPr>
          <w:p w14:paraId="4F50DD1E"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0</w:t>
            </w:r>
          </w:p>
        </w:tc>
      </w:tr>
      <w:tr w:rsidR="00CC1BFA" w:rsidRPr="009D4CD4" w14:paraId="0C55E073" w14:textId="77777777" w:rsidTr="005F47B6">
        <w:trPr>
          <w:trHeight w:val="287"/>
        </w:trPr>
        <w:tc>
          <w:tcPr>
            <w:tcW w:w="3340" w:type="dxa"/>
            <w:tcBorders>
              <w:top w:val="nil"/>
              <w:left w:val="single" w:sz="4" w:space="0" w:color="auto"/>
              <w:bottom w:val="single" w:sz="4" w:space="0" w:color="auto"/>
              <w:right w:val="single" w:sz="4" w:space="0" w:color="auto"/>
            </w:tcBorders>
            <w:shd w:val="clear" w:color="auto" w:fill="auto"/>
            <w:vAlign w:val="center"/>
            <w:hideMark/>
          </w:tcPr>
          <w:p w14:paraId="5E60B606" w14:textId="77777777" w:rsidR="00CC1BFA" w:rsidRPr="009D4CD4" w:rsidRDefault="00CC1BFA" w:rsidP="0021245B">
            <w:pPr>
              <w:spacing w:after="0" w:line="240" w:lineRule="auto"/>
              <w:jc w:val="left"/>
              <w:rPr>
                <w:rFonts w:eastAsia="Times New Roman"/>
                <w:sz w:val="18"/>
                <w:szCs w:val="18"/>
                <w:lang w:eastAsia="fr-FR"/>
              </w:rPr>
            </w:pPr>
            <w:r w:rsidRPr="009D4CD4">
              <w:rPr>
                <w:rFonts w:eastAsia="Times New Roman"/>
                <w:sz w:val="18"/>
                <w:szCs w:val="18"/>
                <w:lang w:eastAsia="fr-FR"/>
              </w:rPr>
              <w:t>Electricité (Kwh)</w:t>
            </w:r>
          </w:p>
        </w:tc>
        <w:tc>
          <w:tcPr>
            <w:tcW w:w="1040" w:type="dxa"/>
            <w:tcBorders>
              <w:top w:val="nil"/>
              <w:left w:val="single" w:sz="4" w:space="0" w:color="auto"/>
              <w:bottom w:val="single" w:sz="4" w:space="0" w:color="auto"/>
              <w:right w:val="single" w:sz="4" w:space="0" w:color="auto"/>
            </w:tcBorders>
            <w:shd w:val="clear" w:color="auto" w:fill="auto"/>
            <w:vAlign w:val="center"/>
          </w:tcPr>
          <w:p w14:paraId="3F33E4EA" w14:textId="678F554F"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8 202 364</w:t>
            </w:r>
          </w:p>
        </w:tc>
        <w:tc>
          <w:tcPr>
            <w:tcW w:w="1040" w:type="dxa"/>
            <w:tcBorders>
              <w:top w:val="nil"/>
              <w:left w:val="nil"/>
              <w:bottom w:val="single" w:sz="4" w:space="0" w:color="auto"/>
              <w:right w:val="single" w:sz="4" w:space="0" w:color="auto"/>
            </w:tcBorders>
            <w:shd w:val="clear" w:color="auto" w:fill="auto"/>
            <w:vAlign w:val="center"/>
            <w:hideMark/>
          </w:tcPr>
          <w:p w14:paraId="44E1AB97"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7 777 418</w:t>
            </w:r>
          </w:p>
        </w:tc>
        <w:tc>
          <w:tcPr>
            <w:tcW w:w="1040" w:type="dxa"/>
            <w:tcBorders>
              <w:top w:val="nil"/>
              <w:left w:val="nil"/>
              <w:bottom w:val="single" w:sz="4" w:space="0" w:color="auto"/>
              <w:right w:val="single" w:sz="4" w:space="0" w:color="auto"/>
            </w:tcBorders>
            <w:shd w:val="clear" w:color="auto" w:fill="auto"/>
            <w:vAlign w:val="center"/>
            <w:hideMark/>
          </w:tcPr>
          <w:p w14:paraId="20809DBE"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8 524 330</w:t>
            </w:r>
          </w:p>
        </w:tc>
        <w:tc>
          <w:tcPr>
            <w:tcW w:w="1040" w:type="dxa"/>
            <w:tcBorders>
              <w:top w:val="nil"/>
              <w:left w:val="single" w:sz="4" w:space="0" w:color="auto"/>
              <w:bottom w:val="single" w:sz="4" w:space="0" w:color="auto"/>
              <w:right w:val="single" w:sz="4" w:space="0" w:color="auto"/>
            </w:tcBorders>
            <w:shd w:val="clear" w:color="auto" w:fill="auto"/>
            <w:vAlign w:val="center"/>
          </w:tcPr>
          <w:p w14:paraId="01304C5B" w14:textId="3669E18C"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ND</w:t>
            </w:r>
          </w:p>
        </w:tc>
        <w:tc>
          <w:tcPr>
            <w:tcW w:w="1040" w:type="dxa"/>
            <w:tcBorders>
              <w:top w:val="single" w:sz="4" w:space="0" w:color="auto"/>
              <w:left w:val="nil"/>
              <w:bottom w:val="single" w:sz="4" w:space="0" w:color="auto"/>
              <w:right w:val="single" w:sz="4" w:space="0" w:color="auto"/>
            </w:tcBorders>
          </w:tcPr>
          <w:p w14:paraId="33CBD738" w14:textId="4E9BC0EB" w:rsidR="00CC1BFA" w:rsidRPr="00B3257B" w:rsidRDefault="00B3257B" w:rsidP="0021245B">
            <w:pPr>
              <w:spacing w:after="0" w:line="240" w:lineRule="auto"/>
              <w:jc w:val="right"/>
              <w:rPr>
                <w:rFonts w:eastAsia="Times New Roman"/>
                <w:bCs/>
                <w:sz w:val="18"/>
                <w:szCs w:val="18"/>
                <w:lang w:eastAsia="fr-FR"/>
              </w:rPr>
            </w:pPr>
            <w:r w:rsidRPr="00B3257B">
              <w:rPr>
                <w:rFonts w:eastAsia="Times New Roman"/>
                <w:bCs/>
                <w:sz w:val="18"/>
                <w:szCs w:val="18"/>
                <w:lang w:eastAsia="fr-FR"/>
              </w:rPr>
              <w:t>ND</w:t>
            </w:r>
          </w:p>
        </w:tc>
        <w:tc>
          <w:tcPr>
            <w:tcW w:w="1040" w:type="dxa"/>
            <w:tcBorders>
              <w:top w:val="nil"/>
              <w:left w:val="single" w:sz="4" w:space="0" w:color="auto"/>
              <w:bottom w:val="single" w:sz="4" w:space="0" w:color="auto"/>
              <w:right w:val="single" w:sz="4" w:space="0" w:color="auto"/>
            </w:tcBorders>
            <w:shd w:val="clear" w:color="auto" w:fill="auto"/>
            <w:vAlign w:val="center"/>
            <w:hideMark/>
          </w:tcPr>
          <w:p w14:paraId="34EDF9BA" w14:textId="3E71FA6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6</w:t>
            </w:r>
            <w:r w:rsidR="005F47B6" w:rsidRPr="009D4CD4">
              <w:rPr>
                <w:rFonts w:eastAsia="Times New Roman"/>
                <w:sz w:val="18"/>
                <w:szCs w:val="18"/>
                <w:lang w:eastAsia="fr-FR"/>
              </w:rPr>
              <w:t xml:space="preserve">  </w:t>
            </w:r>
            <w:r w:rsidRPr="009D4CD4">
              <w:rPr>
                <w:rFonts w:eastAsia="Times New Roman"/>
                <w:sz w:val="18"/>
                <w:szCs w:val="18"/>
                <w:lang w:eastAsia="fr-FR"/>
              </w:rPr>
              <w:t>751126</w:t>
            </w:r>
          </w:p>
        </w:tc>
        <w:tc>
          <w:tcPr>
            <w:tcW w:w="1040" w:type="dxa"/>
            <w:tcBorders>
              <w:top w:val="nil"/>
              <w:left w:val="nil"/>
              <w:bottom w:val="single" w:sz="4" w:space="0" w:color="auto"/>
              <w:right w:val="single" w:sz="4" w:space="0" w:color="auto"/>
            </w:tcBorders>
            <w:shd w:val="clear" w:color="auto" w:fill="auto"/>
            <w:vAlign w:val="center"/>
            <w:hideMark/>
          </w:tcPr>
          <w:p w14:paraId="28923707"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6 548 067</w:t>
            </w:r>
          </w:p>
        </w:tc>
      </w:tr>
      <w:tr w:rsidR="00CC1BFA" w:rsidRPr="009D4CD4" w14:paraId="52F41C09" w14:textId="77777777" w:rsidTr="005F47B6">
        <w:trPr>
          <w:trHeight w:val="374"/>
        </w:trPr>
        <w:tc>
          <w:tcPr>
            <w:tcW w:w="3340" w:type="dxa"/>
            <w:tcBorders>
              <w:top w:val="nil"/>
              <w:left w:val="single" w:sz="4" w:space="0" w:color="auto"/>
              <w:bottom w:val="single" w:sz="4" w:space="0" w:color="auto"/>
              <w:right w:val="single" w:sz="4" w:space="0" w:color="auto"/>
            </w:tcBorders>
            <w:shd w:val="clear" w:color="auto" w:fill="auto"/>
            <w:vAlign w:val="center"/>
          </w:tcPr>
          <w:p w14:paraId="55904FE4" w14:textId="77777777" w:rsidR="00CC1BFA" w:rsidRPr="009D4CD4" w:rsidRDefault="00CC1BFA" w:rsidP="0021245B">
            <w:pPr>
              <w:spacing w:after="0" w:line="240" w:lineRule="auto"/>
              <w:jc w:val="left"/>
              <w:rPr>
                <w:rFonts w:eastAsia="Times New Roman"/>
                <w:sz w:val="18"/>
                <w:szCs w:val="18"/>
                <w:lang w:eastAsia="fr-FR"/>
              </w:rPr>
            </w:pPr>
            <w:r w:rsidRPr="009D4CD4">
              <w:rPr>
                <w:rFonts w:eastAsia="Times New Roman"/>
                <w:sz w:val="18"/>
                <w:szCs w:val="18"/>
                <w:lang w:eastAsia="fr-FR"/>
              </w:rPr>
              <w:t>Total Energie consommée (kWh)</w:t>
            </w:r>
          </w:p>
        </w:tc>
        <w:tc>
          <w:tcPr>
            <w:tcW w:w="1040" w:type="dxa"/>
            <w:tcBorders>
              <w:top w:val="nil"/>
              <w:left w:val="single" w:sz="4" w:space="0" w:color="auto"/>
              <w:bottom w:val="single" w:sz="4" w:space="0" w:color="auto"/>
              <w:right w:val="single" w:sz="4" w:space="0" w:color="auto"/>
            </w:tcBorders>
            <w:shd w:val="clear" w:color="auto" w:fill="auto"/>
            <w:vAlign w:val="center"/>
          </w:tcPr>
          <w:p w14:paraId="1C55B130" w14:textId="2A017664" w:rsidR="00CC1BFA" w:rsidRPr="009D4CD4" w:rsidRDefault="00CC1BFA" w:rsidP="0079402D">
            <w:pPr>
              <w:spacing w:after="0" w:line="240" w:lineRule="auto"/>
              <w:jc w:val="right"/>
              <w:rPr>
                <w:rFonts w:eastAsia="Times New Roman"/>
                <w:sz w:val="18"/>
                <w:szCs w:val="18"/>
                <w:lang w:eastAsia="fr-FR"/>
              </w:rPr>
            </w:pPr>
            <w:r w:rsidRPr="009D4CD4">
              <w:rPr>
                <w:rFonts w:eastAsia="Times New Roman"/>
                <w:sz w:val="18"/>
                <w:szCs w:val="18"/>
                <w:lang w:eastAsia="fr-FR"/>
              </w:rPr>
              <w:t>12 50</w:t>
            </w:r>
            <w:r w:rsidR="0079402D">
              <w:rPr>
                <w:rFonts w:eastAsia="Times New Roman"/>
                <w:sz w:val="18"/>
                <w:szCs w:val="18"/>
                <w:lang w:eastAsia="fr-FR"/>
              </w:rPr>
              <w:t>5 4</w:t>
            </w:r>
            <w:r w:rsidRPr="009D4CD4">
              <w:rPr>
                <w:rFonts w:eastAsia="Times New Roman"/>
                <w:sz w:val="18"/>
                <w:szCs w:val="18"/>
                <w:lang w:eastAsia="fr-FR"/>
              </w:rPr>
              <w:t>65</w:t>
            </w:r>
          </w:p>
        </w:tc>
        <w:tc>
          <w:tcPr>
            <w:tcW w:w="1040" w:type="dxa"/>
            <w:tcBorders>
              <w:top w:val="nil"/>
              <w:left w:val="nil"/>
              <w:bottom w:val="single" w:sz="4" w:space="0" w:color="auto"/>
              <w:right w:val="single" w:sz="4" w:space="0" w:color="auto"/>
            </w:tcBorders>
            <w:shd w:val="clear" w:color="auto" w:fill="auto"/>
            <w:vAlign w:val="center"/>
          </w:tcPr>
          <w:p w14:paraId="1E7B4805" w14:textId="77777777" w:rsidR="00CC1BFA" w:rsidRPr="009D4CD4" w:rsidRDefault="00CC1BFA" w:rsidP="0021245B">
            <w:pPr>
              <w:spacing w:after="0" w:line="240" w:lineRule="auto"/>
              <w:jc w:val="right"/>
              <w:rPr>
                <w:rFonts w:eastAsia="Times New Roman" w:cs="Arial"/>
                <w:sz w:val="18"/>
                <w:szCs w:val="18"/>
                <w:lang w:eastAsia="fr-FR"/>
              </w:rPr>
            </w:pPr>
            <w:r w:rsidRPr="009D4CD4">
              <w:rPr>
                <w:rFonts w:eastAsia="Times New Roman"/>
                <w:sz w:val="18"/>
                <w:szCs w:val="18"/>
                <w:lang w:eastAsia="fr-FR"/>
              </w:rPr>
              <w:t>11 893 826</w:t>
            </w:r>
          </w:p>
        </w:tc>
        <w:tc>
          <w:tcPr>
            <w:tcW w:w="1040" w:type="dxa"/>
            <w:tcBorders>
              <w:top w:val="nil"/>
              <w:left w:val="nil"/>
              <w:bottom w:val="single" w:sz="4" w:space="0" w:color="auto"/>
              <w:right w:val="single" w:sz="4" w:space="0" w:color="auto"/>
            </w:tcBorders>
            <w:shd w:val="clear" w:color="auto" w:fill="auto"/>
            <w:vAlign w:val="center"/>
          </w:tcPr>
          <w:p w14:paraId="7A86A986"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cs="Arial"/>
                <w:sz w:val="18"/>
                <w:szCs w:val="18"/>
                <w:lang w:eastAsia="fr-FR"/>
              </w:rPr>
              <w:t>13 038 519</w:t>
            </w:r>
          </w:p>
        </w:tc>
        <w:tc>
          <w:tcPr>
            <w:tcW w:w="1040" w:type="dxa"/>
            <w:tcBorders>
              <w:top w:val="nil"/>
              <w:left w:val="single" w:sz="4" w:space="0" w:color="auto"/>
              <w:bottom w:val="single" w:sz="4" w:space="0" w:color="auto"/>
              <w:right w:val="single" w:sz="4" w:space="0" w:color="auto"/>
            </w:tcBorders>
            <w:shd w:val="clear" w:color="000000" w:fill="FFFFFF"/>
            <w:vAlign w:val="center"/>
          </w:tcPr>
          <w:p w14:paraId="1B228559" w14:textId="5E3CB13F"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ND</w:t>
            </w:r>
          </w:p>
        </w:tc>
        <w:tc>
          <w:tcPr>
            <w:tcW w:w="1040" w:type="dxa"/>
            <w:tcBorders>
              <w:top w:val="single" w:sz="4" w:space="0" w:color="auto"/>
              <w:left w:val="nil"/>
              <w:bottom w:val="single" w:sz="4" w:space="0" w:color="auto"/>
              <w:right w:val="single" w:sz="4" w:space="0" w:color="auto"/>
            </w:tcBorders>
            <w:shd w:val="clear" w:color="000000" w:fill="FFFFFF"/>
          </w:tcPr>
          <w:p w14:paraId="2A3C37F5" w14:textId="70351235" w:rsidR="00CC1BFA" w:rsidRPr="00B3257B" w:rsidRDefault="00B3257B" w:rsidP="0021245B">
            <w:pPr>
              <w:spacing w:after="0" w:line="240" w:lineRule="auto"/>
              <w:jc w:val="right"/>
              <w:rPr>
                <w:rFonts w:eastAsia="Times New Roman"/>
                <w:bCs/>
                <w:sz w:val="18"/>
                <w:szCs w:val="18"/>
                <w:lang w:eastAsia="fr-FR"/>
              </w:rPr>
            </w:pPr>
            <w:r w:rsidRPr="00B3257B">
              <w:rPr>
                <w:rFonts w:eastAsia="Times New Roman"/>
                <w:bCs/>
                <w:sz w:val="18"/>
                <w:szCs w:val="18"/>
                <w:lang w:eastAsia="fr-FR"/>
              </w:rPr>
              <w:t>ND</w:t>
            </w:r>
          </w:p>
        </w:tc>
        <w:tc>
          <w:tcPr>
            <w:tcW w:w="1040" w:type="dxa"/>
            <w:tcBorders>
              <w:top w:val="nil"/>
              <w:left w:val="single" w:sz="4" w:space="0" w:color="auto"/>
              <w:bottom w:val="single" w:sz="4" w:space="0" w:color="auto"/>
              <w:right w:val="single" w:sz="4" w:space="0" w:color="auto"/>
            </w:tcBorders>
            <w:shd w:val="clear" w:color="000000" w:fill="FFFFFF"/>
            <w:vAlign w:val="center"/>
          </w:tcPr>
          <w:p w14:paraId="166270FD" w14:textId="126C1E39" w:rsidR="00CC1BFA" w:rsidRPr="009D4CD4" w:rsidRDefault="005F47B6" w:rsidP="0021245B">
            <w:pPr>
              <w:spacing w:after="0" w:line="240" w:lineRule="auto"/>
              <w:jc w:val="right"/>
              <w:rPr>
                <w:rFonts w:eastAsia="Times New Roman"/>
                <w:sz w:val="18"/>
                <w:szCs w:val="18"/>
                <w:lang w:eastAsia="fr-FR"/>
              </w:rPr>
            </w:pPr>
            <w:r w:rsidRPr="009D4CD4">
              <w:rPr>
                <w:rFonts w:eastAsia="Times New Roman"/>
                <w:sz w:val="18"/>
                <w:szCs w:val="18"/>
                <w:lang w:eastAsia="fr-FR"/>
              </w:rPr>
              <w:t>9 473 507</w:t>
            </w:r>
          </w:p>
        </w:tc>
        <w:tc>
          <w:tcPr>
            <w:tcW w:w="1040" w:type="dxa"/>
            <w:tcBorders>
              <w:top w:val="nil"/>
              <w:left w:val="nil"/>
              <w:bottom w:val="single" w:sz="4" w:space="0" w:color="auto"/>
              <w:right w:val="single" w:sz="4" w:space="0" w:color="auto"/>
            </w:tcBorders>
            <w:shd w:val="clear" w:color="auto" w:fill="auto"/>
            <w:vAlign w:val="center"/>
          </w:tcPr>
          <w:p w14:paraId="59956297"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8 896 574</w:t>
            </w:r>
          </w:p>
        </w:tc>
      </w:tr>
      <w:tr w:rsidR="00CC1BFA" w:rsidRPr="009D4CD4" w14:paraId="66DA3376" w14:textId="77777777" w:rsidTr="005F47B6">
        <w:trPr>
          <w:trHeight w:val="374"/>
        </w:trPr>
        <w:tc>
          <w:tcPr>
            <w:tcW w:w="3340" w:type="dxa"/>
            <w:tcBorders>
              <w:top w:val="nil"/>
              <w:left w:val="single" w:sz="4" w:space="0" w:color="auto"/>
              <w:bottom w:val="single" w:sz="4" w:space="0" w:color="auto"/>
              <w:right w:val="single" w:sz="4" w:space="0" w:color="auto"/>
            </w:tcBorders>
            <w:shd w:val="clear" w:color="auto" w:fill="auto"/>
            <w:vAlign w:val="center"/>
          </w:tcPr>
          <w:p w14:paraId="79E475A9" w14:textId="77777777" w:rsidR="00CC1BFA" w:rsidRPr="009D4CD4" w:rsidRDefault="00CC1BFA" w:rsidP="0021245B">
            <w:pPr>
              <w:spacing w:after="0" w:line="240" w:lineRule="auto"/>
              <w:jc w:val="left"/>
              <w:rPr>
                <w:rFonts w:eastAsia="Times New Roman"/>
                <w:sz w:val="18"/>
                <w:szCs w:val="18"/>
                <w:lang w:eastAsia="fr-FR"/>
              </w:rPr>
            </w:pPr>
            <w:r w:rsidRPr="009D4CD4">
              <w:rPr>
                <w:rFonts w:eastAsia="Times New Roman"/>
                <w:sz w:val="18"/>
                <w:szCs w:val="18"/>
                <w:lang w:eastAsia="fr-FR"/>
              </w:rPr>
              <w:t>Total Energie consommée par unité de surface (kWh/m²)</w:t>
            </w:r>
          </w:p>
        </w:tc>
        <w:tc>
          <w:tcPr>
            <w:tcW w:w="1040" w:type="dxa"/>
            <w:tcBorders>
              <w:top w:val="nil"/>
              <w:left w:val="single" w:sz="4" w:space="0" w:color="auto"/>
              <w:bottom w:val="single" w:sz="4" w:space="0" w:color="auto"/>
              <w:right w:val="single" w:sz="4" w:space="0" w:color="auto"/>
            </w:tcBorders>
            <w:shd w:val="clear" w:color="auto" w:fill="auto"/>
            <w:vAlign w:val="center"/>
          </w:tcPr>
          <w:p w14:paraId="4C82BFEB" w14:textId="13841358"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136</w:t>
            </w:r>
          </w:p>
        </w:tc>
        <w:tc>
          <w:tcPr>
            <w:tcW w:w="1040" w:type="dxa"/>
            <w:tcBorders>
              <w:top w:val="nil"/>
              <w:left w:val="nil"/>
              <w:bottom w:val="single" w:sz="4" w:space="0" w:color="auto"/>
              <w:right w:val="single" w:sz="4" w:space="0" w:color="auto"/>
            </w:tcBorders>
            <w:shd w:val="clear" w:color="auto" w:fill="auto"/>
            <w:vAlign w:val="center"/>
          </w:tcPr>
          <w:p w14:paraId="4F096706"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119</w:t>
            </w:r>
          </w:p>
        </w:tc>
        <w:tc>
          <w:tcPr>
            <w:tcW w:w="1040" w:type="dxa"/>
            <w:tcBorders>
              <w:top w:val="nil"/>
              <w:left w:val="nil"/>
              <w:bottom w:val="single" w:sz="4" w:space="0" w:color="auto"/>
              <w:right w:val="single" w:sz="4" w:space="0" w:color="auto"/>
            </w:tcBorders>
            <w:shd w:val="clear" w:color="auto" w:fill="auto"/>
            <w:vAlign w:val="center"/>
          </w:tcPr>
          <w:p w14:paraId="36C2240D" w14:textId="77777777" w:rsidR="00CC1BFA" w:rsidRPr="009D4CD4" w:rsidRDefault="00CC1BFA" w:rsidP="0021245B">
            <w:pPr>
              <w:spacing w:after="0" w:line="240" w:lineRule="auto"/>
              <w:jc w:val="right"/>
              <w:rPr>
                <w:rFonts w:eastAsia="Times New Roman" w:cs="Arial"/>
                <w:sz w:val="18"/>
                <w:szCs w:val="18"/>
                <w:lang w:eastAsia="fr-FR"/>
              </w:rPr>
            </w:pPr>
            <w:r w:rsidRPr="009D4CD4">
              <w:rPr>
                <w:rFonts w:eastAsia="Times New Roman" w:cs="Arial"/>
                <w:sz w:val="18"/>
                <w:szCs w:val="18"/>
                <w:lang w:eastAsia="fr-FR"/>
              </w:rPr>
              <w:t>135</w:t>
            </w:r>
          </w:p>
        </w:tc>
        <w:tc>
          <w:tcPr>
            <w:tcW w:w="1040" w:type="dxa"/>
            <w:tcBorders>
              <w:top w:val="nil"/>
              <w:left w:val="single" w:sz="4" w:space="0" w:color="auto"/>
              <w:bottom w:val="single" w:sz="4" w:space="0" w:color="auto"/>
              <w:right w:val="single" w:sz="4" w:space="0" w:color="auto"/>
            </w:tcBorders>
            <w:shd w:val="clear" w:color="000000" w:fill="FFFFFF"/>
            <w:vAlign w:val="center"/>
          </w:tcPr>
          <w:p w14:paraId="50EDDC84" w14:textId="46C5E095"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ND</w:t>
            </w:r>
          </w:p>
        </w:tc>
        <w:tc>
          <w:tcPr>
            <w:tcW w:w="1040" w:type="dxa"/>
            <w:tcBorders>
              <w:top w:val="single" w:sz="4" w:space="0" w:color="auto"/>
              <w:left w:val="nil"/>
              <w:bottom w:val="single" w:sz="4" w:space="0" w:color="auto"/>
              <w:right w:val="single" w:sz="4" w:space="0" w:color="auto"/>
            </w:tcBorders>
            <w:shd w:val="clear" w:color="000000" w:fill="FFFFFF"/>
          </w:tcPr>
          <w:p w14:paraId="7985A7C8" w14:textId="3F1B3A26" w:rsidR="00CC1BFA" w:rsidRPr="00B3257B" w:rsidRDefault="00B3257B" w:rsidP="0021245B">
            <w:pPr>
              <w:spacing w:after="0" w:line="240" w:lineRule="auto"/>
              <w:jc w:val="right"/>
              <w:rPr>
                <w:rFonts w:eastAsia="Times New Roman"/>
                <w:bCs/>
                <w:sz w:val="18"/>
                <w:szCs w:val="18"/>
                <w:lang w:eastAsia="fr-FR"/>
              </w:rPr>
            </w:pPr>
            <w:r w:rsidRPr="00B3257B">
              <w:rPr>
                <w:rFonts w:eastAsia="Times New Roman"/>
                <w:bCs/>
                <w:sz w:val="18"/>
                <w:szCs w:val="18"/>
                <w:lang w:eastAsia="fr-FR"/>
              </w:rPr>
              <w:t>ND</w:t>
            </w:r>
          </w:p>
        </w:tc>
        <w:tc>
          <w:tcPr>
            <w:tcW w:w="1040" w:type="dxa"/>
            <w:tcBorders>
              <w:top w:val="nil"/>
              <w:left w:val="single" w:sz="4" w:space="0" w:color="auto"/>
              <w:bottom w:val="single" w:sz="4" w:space="0" w:color="auto"/>
              <w:right w:val="single" w:sz="4" w:space="0" w:color="auto"/>
            </w:tcBorders>
            <w:shd w:val="clear" w:color="000000" w:fill="FFFFFF"/>
            <w:vAlign w:val="center"/>
          </w:tcPr>
          <w:p w14:paraId="50318CF8" w14:textId="633B6B06"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ND</w:t>
            </w:r>
          </w:p>
        </w:tc>
        <w:tc>
          <w:tcPr>
            <w:tcW w:w="1040" w:type="dxa"/>
            <w:tcBorders>
              <w:top w:val="nil"/>
              <w:left w:val="nil"/>
              <w:bottom w:val="single" w:sz="4" w:space="0" w:color="auto"/>
              <w:right w:val="single" w:sz="4" w:space="0" w:color="auto"/>
            </w:tcBorders>
            <w:shd w:val="clear" w:color="auto" w:fill="auto"/>
            <w:vAlign w:val="center"/>
          </w:tcPr>
          <w:p w14:paraId="17F9D7D8" w14:textId="52903A80"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ND</w:t>
            </w:r>
          </w:p>
        </w:tc>
      </w:tr>
      <w:tr w:rsidR="00CC1BFA" w:rsidRPr="009D4CD4" w14:paraId="68E15108" w14:textId="77777777" w:rsidTr="005F47B6">
        <w:trPr>
          <w:trHeight w:val="374"/>
        </w:trPr>
        <w:tc>
          <w:tcPr>
            <w:tcW w:w="3340" w:type="dxa"/>
            <w:tcBorders>
              <w:top w:val="nil"/>
              <w:left w:val="single" w:sz="4" w:space="0" w:color="auto"/>
              <w:bottom w:val="single" w:sz="4" w:space="0" w:color="auto"/>
              <w:right w:val="single" w:sz="4" w:space="0" w:color="auto"/>
            </w:tcBorders>
            <w:shd w:val="clear" w:color="auto" w:fill="auto"/>
            <w:vAlign w:val="center"/>
            <w:hideMark/>
          </w:tcPr>
          <w:p w14:paraId="5BF52655" w14:textId="77777777" w:rsidR="00CC1BFA" w:rsidRPr="009D4CD4" w:rsidRDefault="00CC1BFA" w:rsidP="0021245B">
            <w:pPr>
              <w:spacing w:after="0" w:line="240" w:lineRule="auto"/>
              <w:jc w:val="left"/>
              <w:rPr>
                <w:rFonts w:eastAsia="Times New Roman"/>
                <w:sz w:val="18"/>
                <w:szCs w:val="18"/>
                <w:lang w:eastAsia="fr-FR"/>
              </w:rPr>
            </w:pPr>
            <w:r w:rsidRPr="009D4CD4">
              <w:rPr>
                <w:rFonts w:eastAsia="Times New Roman"/>
                <w:sz w:val="18"/>
                <w:szCs w:val="18"/>
                <w:lang w:eastAsia="fr-FR"/>
              </w:rPr>
              <w:t xml:space="preserve">Déplacements routiers professionnels (km) </w:t>
            </w:r>
          </w:p>
        </w:tc>
        <w:tc>
          <w:tcPr>
            <w:tcW w:w="1040" w:type="dxa"/>
            <w:tcBorders>
              <w:top w:val="nil"/>
              <w:left w:val="single" w:sz="4" w:space="0" w:color="auto"/>
              <w:bottom w:val="single" w:sz="4" w:space="0" w:color="auto"/>
              <w:right w:val="single" w:sz="4" w:space="0" w:color="auto"/>
            </w:tcBorders>
            <w:shd w:val="clear" w:color="auto" w:fill="auto"/>
            <w:vAlign w:val="center"/>
          </w:tcPr>
          <w:p w14:paraId="66CC7D5E" w14:textId="10D4D6E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2 351 865</w:t>
            </w:r>
          </w:p>
        </w:tc>
        <w:tc>
          <w:tcPr>
            <w:tcW w:w="1040" w:type="dxa"/>
            <w:tcBorders>
              <w:top w:val="nil"/>
              <w:left w:val="nil"/>
              <w:bottom w:val="single" w:sz="4" w:space="0" w:color="auto"/>
              <w:right w:val="single" w:sz="4" w:space="0" w:color="auto"/>
            </w:tcBorders>
            <w:shd w:val="clear" w:color="auto" w:fill="auto"/>
            <w:vAlign w:val="center"/>
            <w:hideMark/>
          </w:tcPr>
          <w:p w14:paraId="4DF26DF8"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2 451 972</w:t>
            </w:r>
          </w:p>
        </w:tc>
        <w:tc>
          <w:tcPr>
            <w:tcW w:w="1040" w:type="dxa"/>
            <w:tcBorders>
              <w:top w:val="nil"/>
              <w:left w:val="nil"/>
              <w:bottom w:val="single" w:sz="4" w:space="0" w:color="auto"/>
              <w:right w:val="single" w:sz="4" w:space="0" w:color="auto"/>
            </w:tcBorders>
            <w:shd w:val="clear" w:color="auto" w:fill="auto"/>
            <w:vAlign w:val="center"/>
            <w:hideMark/>
          </w:tcPr>
          <w:p w14:paraId="68718F5E"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cs="Arial"/>
                <w:sz w:val="18"/>
                <w:szCs w:val="18"/>
                <w:lang w:eastAsia="fr-FR"/>
              </w:rPr>
              <w:t>4 280 453</w:t>
            </w:r>
          </w:p>
        </w:tc>
        <w:tc>
          <w:tcPr>
            <w:tcW w:w="1040" w:type="dxa"/>
            <w:tcBorders>
              <w:top w:val="nil"/>
              <w:left w:val="single" w:sz="4" w:space="0" w:color="auto"/>
              <w:bottom w:val="single" w:sz="4" w:space="0" w:color="auto"/>
              <w:right w:val="single" w:sz="4" w:space="0" w:color="auto"/>
            </w:tcBorders>
            <w:shd w:val="clear" w:color="000000" w:fill="FFFFFF"/>
            <w:vAlign w:val="center"/>
          </w:tcPr>
          <w:p w14:paraId="679605E7" w14:textId="4080685A"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126 485</w:t>
            </w:r>
          </w:p>
        </w:tc>
        <w:tc>
          <w:tcPr>
            <w:tcW w:w="1040" w:type="dxa"/>
            <w:tcBorders>
              <w:top w:val="single" w:sz="4" w:space="0" w:color="auto"/>
              <w:left w:val="nil"/>
              <w:bottom w:val="single" w:sz="4" w:space="0" w:color="auto"/>
              <w:right w:val="single" w:sz="4" w:space="0" w:color="auto"/>
            </w:tcBorders>
            <w:shd w:val="clear" w:color="000000" w:fill="FFFFFF"/>
          </w:tcPr>
          <w:p w14:paraId="0A0E7E16" w14:textId="3213380B" w:rsidR="00CC1BFA" w:rsidRPr="00B3257B" w:rsidRDefault="00B3257B" w:rsidP="0021245B">
            <w:pPr>
              <w:spacing w:after="0" w:line="240" w:lineRule="auto"/>
              <w:jc w:val="right"/>
              <w:rPr>
                <w:rFonts w:eastAsia="Times New Roman"/>
                <w:bCs/>
                <w:sz w:val="18"/>
                <w:szCs w:val="18"/>
                <w:lang w:eastAsia="fr-FR"/>
              </w:rPr>
            </w:pPr>
            <w:r w:rsidRPr="00B3257B">
              <w:rPr>
                <w:rFonts w:eastAsia="Times New Roman"/>
                <w:bCs/>
                <w:sz w:val="18"/>
                <w:szCs w:val="18"/>
                <w:lang w:eastAsia="fr-FR"/>
              </w:rPr>
              <w:t>ND</w:t>
            </w:r>
          </w:p>
        </w:tc>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016D5952" w14:textId="1782A55C"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311 816</w:t>
            </w:r>
          </w:p>
        </w:tc>
        <w:tc>
          <w:tcPr>
            <w:tcW w:w="1040" w:type="dxa"/>
            <w:tcBorders>
              <w:top w:val="nil"/>
              <w:left w:val="nil"/>
              <w:bottom w:val="single" w:sz="4" w:space="0" w:color="auto"/>
              <w:right w:val="single" w:sz="4" w:space="0" w:color="auto"/>
            </w:tcBorders>
            <w:shd w:val="clear" w:color="auto" w:fill="auto"/>
            <w:vAlign w:val="center"/>
            <w:hideMark/>
          </w:tcPr>
          <w:p w14:paraId="5B084F91" w14:textId="77777777" w:rsidR="00CC1BFA" w:rsidRPr="009D4CD4" w:rsidRDefault="00CC1BFA" w:rsidP="0021245B">
            <w:pPr>
              <w:spacing w:after="0" w:line="240" w:lineRule="auto"/>
              <w:jc w:val="right"/>
              <w:rPr>
                <w:rFonts w:eastAsia="Times New Roman"/>
                <w:sz w:val="18"/>
                <w:szCs w:val="18"/>
                <w:lang w:eastAsia="fr-FR"/>
              </w:rPr>
            </w:pPr>
            <w:r w:rsidRPr="009D4CD4">
              <w:rPr>
                <w:rFonts w:eastAsia="Times New Roman"/>
                <w:sz w:val="18"/>
                <w:szCs w:val="18"/>
                <w:lang w:eastAsia="fr-FR"/>
              </w:rPr>
              <w:t>557 067</w:t>
            </w:r>
          </w:p>
        </w:tc>
      </w:tr>
      <w:tr w:rsidR="008B3DE0" w:rsidRPr="009D4CD4" w14:paraId="43687800" w14:textId="77777777" w:rsidTr="008953C6">
        <w:trPr>
          <w:trHeight w:val="374"/>
        </w:trPr>
        <w:tc>
          <w:tcPr>
            <w:tcW w:w="3340" w:type="dxa"/>
            <w:tcBorders>
              <w:top w:val="nil"/>
              <w:left w:val="single" w:sz="4" w:space="0" w:color="auto"/>
              <w:bottom w:val="single" w:sz="4" w:space="0" w:color="auto"/>
              <w:right w:val="single" w:sz="4" w:space="0" w:color="auto"/>
            </w:tcBorders>
            <w:shd w:val="clear" w:color="auto" w:fill="auto"/>
            <w:vAlign w:val="center"/>
            <w:hideMark/>
          </w:tcPr>
          <w:p w14:paraId="26EE7FAB" w14:textId="77777777" w:rsidR="008B3DE0" w:rsidRPr="009D4CD4" w:rsidRDefault="008B3DE0" w:rsidP="008B3DE0">
            <w:pPr>
              <w:spacing w:after="0" w:line="240" w:lineRule="auto"/>
              <w:jc w:val="left"/>
              <w:rPr>
                <w:rFonts w:eastAsia="Times New Roman"/>
                <w:sz w:val="18"/>
                <w:szCs w:val="18"/>
                <w:lang w:eastAsia="fr-FR"/>
              </w:rPr>
            </w:pPr>
            <w:r w:rsidRPr="009D4CD4">
              <w:rPr>
                <w:rFonts w:eastAsia="Times New Roman"/>
                <w:sz w:val="18"/>
                <w:szCs w:val="18"/>
                <w:lang w:eastAsia="fr-FR"/>
              </w:rPr>
              <w:t xml:space="preserve">Emissions de gaz à effet de serre Energie et Déplacements professionnels routiers </w:t>
            </w:r>
            <w:r w:rsidRPr="009D4CD4">
              <w:rPr>
                <w:rFonts w:eastAsia="Times New Roman"/>
                <w:sz w:val="18"/>
                <w:szCs w:val="18"/>
                <w:lang w:eastAsia="fr-FR"/>
              </w:rPr>
              <w:br/>
              <w:t>(tonnes équivalent CO2)</w:t>
            </w:r>
          </w:p>
        </w:tc>
        <w:tc>
          <w:tcPr>
            <w:tcW w:w="1040" w:type="dxa"/>
            <w:tcBorders>
              <w:top w:val="nil"/>
              <w:left w:val="single" w:sz="4" w:space="0" w:color="auto"/>
              <w:bottom w:val="single" w:sz="4" w:space="0" w:color="auto"/>
              <w:right w:val="single" w:sz="4" w:space="0" w:color="auto"/>
            </w:tcBorders>
            <w:shd w:val="clear" w:color="auto" w:fill="auto"/>
            <w:vAlign w:val="center"/>
          </w:tcPr>
          <w:p w14:paraId="26A47BD8" w14:textId="372B5051" w:rsidR="008B3DE0" w:rsidRPr="009D4CD4" w:rsidRDefault="008B3DE0" w:rsidP="0079402D">
            <w:pPr>
              <w:spacing w:after="0" w:line="240" w:lineRule="auto"/>
              <w:jc w:val="right"/>
              <w:rPr>
                <w:rFonts w:eastAsia="Times New Roman"/>
                <w:sz w:val="18"/>
                <w:szCs w:val="18"/>
                <w:lang w:eastAsia="fr-FR"/>
              </w:rPr>
            </w:pPr>
            <w:r w:rsidRPr="009D4CD4">
              <w:rPr>
                <w:rFonts w:eastAsia="Times New Roman"/>
                <w:sz w:val="18"/>
                <w:szCs w:val="18"/>
                <w:lang w:eastAsia="fr-FR"/>
              </w:rPr>
              <w:t>1 875,</w:t>
            </w:r>
            <w:r w:rsidR="0079402D">
              <w:rPr>
                <w:rFonts w:eastAsia="Times New Roman"/>
                <w:sz w:val="18"/>
                <w:szCs w:val="18"/>
                <w:lang w:eastAsia="fr-FR"/>
              </w:rPr>
              <w:t>1</w:t>
            </w:r>
          </w:p>
        </w:tc>
        <w:tc>
          <w:tcPr>
            <w:tcW w:w="1040" w:type="dxa"/>
            <w:tcBorders>
              <w:top w:val="nil"/>
              <w:left w:val="nil"/>
              <w:bottom w:val="single" w:sz="4" w:space="0" w:color="auto"/>
              <w:right w:val="single" w:sz="4" w:space="0" w:color="auto"/>
            </w:tcBorders>
            <w:shd w:val="clear" w:color="auto" w:fill="auto"/>
            <w:vAlign w:val="center"/>
            <w:hideMark/>
          </w:tcPr>
          <w:p w14:paraId="0F2FD434" w14:textId="77777777" w:rsidR="008B3DE0" w:rsidRPr="009D4CD4" w:rsidRDefault="008B3DE0" w:rsidP="008B3DE0">
            <w:pPr>
              <w:spacing w:after="0" w:line="240" w:lineRule="auto"/>
              <w:jc w:val="right"/>
              <w:rPr>
                <w:rFonts w:eastAsia="Times New Roman"/>
                <w:sz w:val="18"/>
                <w:szCs w:val="18"/>
                <w:lang w:eastAsia="fr-FR"/>
              </w:rPr>
            </w:pPr>
            <w:r w:rsidRPr="009D4CD4">
              <w:rPr>
                <w:rFonts w:eastAsia="Times New Roman"/>
                <w:sz w:val="18"/>
                <w:szCs w:val="18"/>
                <w:lang w:eastAsia="fr-FR"/>
              </w:rPr>
              <w:t>1 720,1</w:t>
            </w:r>
          </w:p>
        </w:tc>
        <w:tc>
          <w:tcPr>
            <w:tcW w:w="1040" w:type="dxa"/>
            <w:tcBorders>
              <w:top w:val="nil"/>
              <w:left w:val="nil"/>
              <w:bottom w:val="single" w:sz="4" w:space="0" w:color="auto"/>
              <w:right w:val="single" w:sz="4" w:space="0" w:color="auto"/>
            </w:tcBorders>
            <w:shd w:val="clear" w:color="auto" w:fill="auto"/>
            <w:vAlign w:val="center"/>
            <w:hideMark/>
          </w:tcPr>
          <w:p w14:paraId="38EC945A" w14:textId="77777777" w:rsidR="008B3DE0" w:rsidRPr="009D4CD4" w:rsidRDefault="008B3DE0" w:rsidP="008B3DE0">
            <w:pPr>
              <w:spacing w:after="0" w:line="240" w:lineRule="auto"/>
              <w:jc w:val="right"/>
              <w:rPr>
                <w:rFonts w:eastAsia="Times New Roman"/>
                <w:sz w:val="18"/>
                <w:szCs w:val="18"/>
                <w:lang w:eastAsia="fr-FR"/>
              </w:rPr>
            </w:pPr>
            <w:r w:rsidRPr="009D4CD4">
              <w:rPr>
                <w:rFonts w:eastAsia="Times New Roman"/>
                <w:sz w:val="18"/>
                <w:szCs w:val="18"/>
                <w:lang w:eastAsia="fr-FR"/>
              </w:rPr>
              <w:t>2 469,7</w:t>
            </w:r>
          </w:p>
        </w:tc>
        <w:tc>
          <w:tcPr>
            <w:tcW w:w="1040" w:type="dxa"/>
            <w:tcBorders>
              <w:top w:val="nil"/>
              <w:left w:val="single" w:sz="4" w:space="0" w:color="auto"/>
              <w:bottom w:val="single" w:sz="4" w:space="0" w:color="auto"/>
              <w:right w:val="single" w:sz="4" w:space="0" w:color="auto"/>
            </w:tcBorders>
            <w:shd w:val="clear" w:color="auto" w:fill="auto"/>
            <w:vAlign w:val="center"/>
          </w:tcPr>
          <w:p w14:paraId="670402C8" w14:textId="2DB34198" w:rsidR="008B3DE0" w:rsidRPr="009D4CD4" w:rsidRDefault="008B3DE0" w:rsidP="008B3DE0">
            <w:pPr>
              <w:spacing w:after="0" w:line="240" w:lineRule="auto"/>
              <w:jc w:val="right"/>
              <w:rPr>
                <w:rFonts w:eastAsia="Times New Roman"/>
                <w:sz w:val="18"/>
                <w:szCs w:val="18"/>
                <w:lang w:eastAsia="fr-FR"/>
              </w:rPr>
            </w:pPr>
            <w:r w:rsidRPr="009D4CD4">
              <w:rPr>
                <w:rFonts w:eastAsia="Times New Roman"/>
                <w:sz w:val="18"/>
                <w:szCs w:val="18"/>
                <w:lang w:eastAsia="fr-FR"/>
              </w:rPr>
              <w:t>ND</w:t>
            </w:r>
          </w:p>
        </w:tc>
        <w:tc>
          <w:tcPr>
            <w:tcW w:w="1040" w:type="dxa"/>
            <w:tcBorders>
              <w:top w:val="single" w:sz="4" w:space="0" w:color="auto"/>
              <w:left w:val="nil"/>
              <w:bottom w:val="single" w:sz="4" w:space="0" w:color="auto"/>
              <w:right w:val="single" w:sz="4" w:space="0" w:color="auto"/>
            </w:tcBorders>
            <w:vAlign w:val="center"/>
          </w:tcPr>
          <w:p w14:paraId="6A4EFCD7" w14:textId="252BC8D2" w:rsidR="008B3DE0" w:rsidRPr="008B3DE0" w:rsidRDefault="008B3DE0" w:rsidP="008B3DE0">
            <w:pPr>
              <w:spacing w:after="0" w:line="240" w:lineRule="auto"/>
              <w:jc w:val="right"/>
              <w:rPr>
                <w:rFonts w:eastAsia="Times New Roman"/>
                <w:sz w:val="18"/>
                <w:szCs w:val="18"/>
                <w:lang w:eastAsia="fr-FR"/>
              </w:rPr>
            </w:pPr>
            <w:r w:rsidRPr="009D4CD4">
              <w:rPr>
                <w:rFonts w:eastAsia="Times New Roman"/>
                <w:sz w:val="18"/>
                <w:szCs w:val="18"/>
                <w:lang w:eastAsia="fr-FR"/>
              </w:rPr>
              <w:t>ND</w:t>
            </w:r>
          </w:p>
        </w:tc>
        <w:tc>
          <w:tcPr>
            <w:tcW w:w="1040" w:type="dxa"/>
            <w:tcBorders>
              <w:top w:val="nil"/>
              <w:left w:val="single" w:sz="4" w:space="0" w:color="auto"/>
              <w:bottom w:val="single" w:sz="4" w:space="0" w:color="auto"/>
              <w:right w:val="single" w:sz="4" w:space="0" w:color="auto"/>
            </w:tcBorders>
            <w:shd w:val="clear" w:color="auto" w:fill="auto"/>
            <w:vAlign w:val="center"/>
            <w:hideMark/>
          </w:tcPr>
          <w:p w14:paraId="1FEB9471" w14:textId="6907C64A" w:rsidR="008B3DE0" w:rsidRPr="009D4CD4" w:rsidRDefault="008B3DE0" w:rsidP="008B3DE0">
            <w:pPr>
              <w:spacing w:after="0" w:line="240" w:lineRule="auto"/>
              <w:jc w:val="right"/>
              <w:rPr>
                <w:rFonts w:eastAsia="Times New Roman"/>
                <w:sz w:val="18"/>
                <w:szCs w:val="18"/>
                <w:lang w:eastAsia="fr-FR"/>
              </w:rPr>
            </w:pPr>
            <w:r w:rsidRPr="009D4CD4">
              <w:rPr>
                <w:rFonts w:eastAsia="Times New Roman"/>
                <w:sz w:val="18"/>
                <w:szCs w:val="18"/>
                <w:lang w:eastAsia="fr-FR"/>
              </w:rPr>
              <w:t>1 115,1</w:t>
            </w:r>
          </w:p>
        </w:tc>
        <w:tc>
          <w:tcPr>
            <w:tcW w:w="1040" w:type="dxa"/>
            <w:tcBorders>
              <w:top w:val="nil"/>
              <w:left w:val="nil"/>
              <w:bottom w:val="single" w:sz="4" w:space="0" w:color="auto"/>
              <w:right w:val="single" w:sz="4" w:space="0" w:color="auto"/>
            </w:tcBorders>
            <w:shd w:val="clear" w:color="auto" w:fill="auto"/>
            <w:vAlign w:val="center"/>
            <w:hideMark/>
          </w:tcPr>
          <w:p w14:paraId="2BAA681A" w14:textId="77777777" w:rsidR="008B3DE0" w:rsidRPr="009D4CD4" w:rsidRDefault="008B3DE0" w:rsidP="008B3DE0">
            <w:pPr>
              <w:spacing w:after="0" w:line="240" w:lineRule="auto"/>
              <w:jc w:val="right"/>
              <w:rPr>
                <w:rFonts w:eastAsia="Times New Roman"/>
                <w:sz w:val="18"/>
                <w:szCs w:val="18"/>
                <w:lang w:eastAsia="fr-FR"/>
              </w:rPr>
            </w:pPr>
            <w:r w:rsidRPr="009D4CD4">
              <w:rPr>
                <w:rFonts w:eastAsia="Times New Roman"/>
                <w:sz w:val="18"/>
                <w:szCs w:val="18"/>
                <w:lang w:eastAsia="fr-FR"/>
              </w:rPr>
              <w:t>1 101,1</w:t>
            </w:r>
          </w:p>
        </w:tc>
      </w:tr>
    </w:tbl>
    <w:p w14:paraId="19D06794" w14:textId="5B8DD028" w:rsidR="00E746A4" w:rsidRPr="009D4CD4" w:rsidRDefault="00E746A4" w:rsidP="00E746A4">
      <w:pPr>
        <w:spacing w:after="0" w:line="240" w:lineRule="auto"/>
        <w:jc w:val="left"/>
        <w:rPr>
          <w:color w:val="FF0000"/>
          <w:sz w:val="16"/>
          <w:szCs w:val="16"/>
        </w:rPr>
      </w:pPr>
    </w:p>
    <w:p w14:paraId="6B22487E" w14:textId="77777777" w:rsidR="00E746A4" w:rsidRPr="009D4CD4" w:rsidRDefault="00E746A4" w:rsidP="00E746A4">
      <w:pPr>
        <w:spacing w:after="0" w:line="240" w:lineRule="auto"/>
        <w:jc w:val="left"/>
      </w:pPr>
    </w:p>
    <w:p w14:paraId="1D43FEAA" w14:textId="3ABE9F63" w:rsidR="00E746A4" w:rsidRPr="009D4CD4" w:rsidRDefault="00E746A4" w:rsidP="00E746A4">
      <w:pPr>
        <w:pStyle w:val="Paragraphedeliste"/>
        <w:numPr>
          <w:ilvl w:val="0"/>
          <w:numId w:val="5"/>
        </w:numPr>
        <w:rPr>
          <w:rFonts w:asciiTheme="minorHAnsi" w:hAnsiTheme="minorHAnsi" w:cs="Arial"/>
          <w:sz w:val="22"/>
          <w:szCs w:val="22"/>
        </w:rPr>
      </w:pPr>
      <w:r w:rsidRPr="009D4CD4">
        <w:rPr>
          <w:rFonts w:asciiTheme="minorHAnsi" w:hAnsiTheme="minorHAnsi" w:cs="Arial"/>
          <w:sz w:val="22"/>
          <w:szCs w:val="22"/>
        </w:rPr>
        <w:t xml:space="preserve">La </w:t>
      </w:r>
      <w:r w:rsidR="00A7717F">
        <w:rPr>
          <w:rFonts w:asciiTheme="minorHAnsi" w:hAnsiTheme="minorHAnsi" w:cs="Arial"/>
          <w:sz w:val="22"/>
          <w:szCs w:val="22"/>
        </w:rPr>
        <w:t>Caisse Régionale</w:t>
      </w:r>
      <w:r w:rsidR="004612C4" w:rsidRPr="009D4CD4">
        <w:rPr>
          <w:rFonts w:cs="Arial"/>
        </w:rPr>
        <w:t xml:space="preserve"> </w:t>
      </w:r>
    </w:p>
    <w:p w14:paraId="33C80B88" w14:textId="77777777" w:rsidR="0015198F" w:rsidRPr="009D4CD4" w:rsidRDefault="0015198F" w:rsidP="0015198F">
      <w:pPr>
        <w:spacing w:after="0" w:line="240" w:lineRule="auto"/>
        <w:jc w:val="left"/>
        <w:rPr>
          <w:rFonts w:cs="Arial"/>
        </w:rPr>
      </w:pPr>
    </w:p>
    <w:p w14:paraId="22DA7276" w14:textId="69CA175C" w:rsidR="0015198F" w:rsidRPr="009D4CD4" w:rsidRDefault="0015198F" w:rsidP="0015198F">
      <w:pPr>
        <w:spacing w:after="0" w:line="240" w:lineRule="auto"/>
      </w:pPr>
      <w:r w:rsidRPr="009D4CD4">
        <w:t xml:space="preserve">Après une forte baisse de l’empreinte carbone enregistrée en 2020 (-30%) imputable principalement au contexte sanitaire, marqué par une chute sans précédent des déplacements routiers, diverses mesures liées à la situation sanitaire ont conduit en 2021 à favoriser le renouvellement d’air : fonctionnement de la VMC 24h/24h, prise d’air frais sur l’extérieur, consignes d’ouverture des ouvrants. Ces mesures ont entrainé une hausse des consommations énergétiques. </w:t>
      </w:r>
      <w:r w:rsidR="00296B05" w:rsidRPr="009D4CD4">
        <w:t>Les déplacements routiers professionnels ont continué de baisser. Au total, les émissions de gaz à effet de serre liées aux déplacements professionnels routiers et à l’énergie ont progressé de 9% par rapport à 2020, mais s’inscrivent dans une tendance fortement baissière (-24,1% par rapport à 2019).</w:t>
      </w:r>
    </w:p>
    <w:p w14:paraId="3165E645" w14:textId="77777777" w:rsidR="0015198F" w:rsidRPr="009D4CD4" w:rsidRDefault="0015198F" w:rsidP="0015198F">
      <w:pPr>
        <w:spacing w:after="0" w:line="240" w:lineRule="auto"/>
      </w:pPr>
    </w:p>
    <w:p w14:paraId="2D3FB0E5" w14:textId="77777777" w:rsidR="0015198F" w:rsidRPr="009D4CD4" w:rsidRDefault="0015198F" w:rsidP="001743DE">
      <w:pPr>
        <w:pStyle w:val="Titre5"/>
      </w:pPr>
      <w:bookmarkStart w:id="143" w:name="_Toc96698041"/>
      <w:r w:rsidRPr="009D4CD4">
        <w:t>L’énergie</w:t>
      </w:r>
      <w:bookmarkEnd w:id="143"/>
    </w:p>
    <w:p w14:paraId="7F721422" w14:textId="77777777" w:rsidR="0015198F" w:rsidRPr="009D4CD4" w:rsidRDefault="0015198F" w:rsidP="0015198F">
      <w:pPr>
        <w:spacing w:after="0" w:line="240" w:lineRule="auto"/>
      </w:pPr>
    </w:p>
    <w:p w14:paraId="567B5F7A" w14:textId="77777777" w:rsidR="0015198F" w:rsidRPr="009D4CD4" w:rsidRDefault="0015198F" w:rsidP="0015198F">
      <w:pPr>
        <w:spacing w:after="0" w:line="240" w:lineRule="auto"/>
        <w:rPr>
          <w:i/>
          <w:iCs/>
        </w:rPr>
      </w:pPr>
      <w:r w:rsidRPr="009D4CD4">
        <w:rPr>
          <w:i/>
          <w:iCs/>
        </w:rPr>
        <w:t>Optimisation énergétique sur les sites</w:t>
      </w:r>
    </w:p>
    <w:p w14:paraId="560AA05D" w14:textId="77777777" w:rsidR="0015198F" w:rsidRPr="009D4CD4" w:rsidRDefault="0015198F" w:rsidP="0015198F">
      <w:pPr>
        <w:spacing w:after="0" w:line="240" w:lineRule="auto"/>
      </w:pPr>
    </w:p>
    <w:p w14:paraId="70B6EFD7" w14:textId="77777777" w:rsidR="0015198F" w:rsidRPr="009D4CD4" w:rsidRDefault="0015198F" w:rsidP="0015198F">
      <w:pPr>
        <w:spacing w:after="0" w:line="240" w:lineRule="auto"/>
      </w:pPr>
      <w:r w:rsidRPr="009D4CD4">
        <w:t xml:space="preserve">Les travaux de rénovation réalisés sur les sites ont permis d’adopter des techniques plus efficaces d’un point de vue énergétique : isolation des bâtiments, éclairages à détection automatique, régulation thermique de nuit, généralisation des LED, ajustement de la puissance électrique des compteurs aux besoins réels des bâtiments.  </w:t>
      </w:r>
    </w:p>
    <w:p w14:paraId="351C0610" w14:textId="77777777" w:rsidR="0015198F" w:rsidRPr="009D4CD4" w:rsidRDefault="0015198F" w:rsidP="0015198F">
      <w:pPr>
        <w:spacing w:after="0" w:line="240" w:lineRule="auto"/>
      </w:pPr>
    </w:p>
    <w:p w14:paraId="0F217081" w14:textId="77777777" w:rsidR="0015198F" w:rsidRPr="009D4CD4" w:rsidRDefault="0015198F" w:rsidP="0015198F">
      <w:pPr>
        <w:spacing w:after="0" w:line="240" w:lineRule="auto"/>
        <w:rPr>
          <w:b/>
          <w:bCs/>
          <w:i/>
          <w:iCs/>
        </w:rPr>
      </w:pPr>
      <w:r w:rsidRPr="009D4CD4">
        <w:t>Au plan réglementaire, le « Décret tertiaire » renforce les exigences d’optimisation énergétique, en fixant une cible de réduction des consommations énergétiques des bâtiments de plus de 1000 m² de 40% en 2030, 50% en 2040 et 60% en 2050, par rapport à une année de référence ne pouvant être antérieure à 2010. A ce titre, un audit a été réalisé en 2021 et un plan d’actions ouvert pour atteindre ces objectifs, avec des premières réalisations prévues en 2022. 11 sites sont concernés pour une surface de plancher totale de 43 266 m².</w:t>
      </w:r>
    </w:p>
    <w:p w14:paraId="10E5AC6E" w14:textId="77777777" w:rsidR="0015198F" w:rsidRPr="009D4CD4" w:rsidRDefault="0015198F" w:rsidP="0015198F">
      <w:pPr>
        <w:spacing w:after="0" w:line="240" w:lineRule="auto"/>
      </w:pPr>
    </w:p>
    <w:p w14:paraId="5614A7D7" w14:textId="77777777" w:rsidR="0015198F" w:rsidRPr="009D4CD4" w:rsidRDefault="0015198F" w:rsidP="0015198F">
      <w:pPr>
        <w:spacing w:after="0" w:line="240" w:lineRule="auto"/>
        <w:rPr>
          <w:i/>
          <w:iCs/>
        </w:rPr>
      </w:pPr>
      <w:r w:rsidRPr="009D4CD4">
        <w:rPr>
          <w:i/>
          <w:iCs/>
        </w:rPr>
        <w:t xml:space="preserve">Optimisation énergétique dans les agences. </w:t>
      </w:r>
    </w:p>
    <w:p w14:paraId="7177BF90" w14:textId="77777777" w:rsidR="0015198F" w:rsidRPr="009D4CD4" w:rsidRDefault="0015198F" w:rsidP="0015198F">
      <w:pPr>
        <w:spacing w:after="0" w:line="240" w:lineRule="auto"/>
      </w:pPr>
    </w:p>
    <w:p w14:paraId="19850B22" w14:textId="550F8818" w:rsidR="0015198F" w:rsidRPr="009D4CD4" w:rsidRDefault="0015198F" w:rsidP="0015198F">
      <w:pPr>
        <w:spacing w:after="0" w:line="240" w:lineRule="auto"/>
      </w:pPr>
      <w:r w:rsidRPr="009D4CD4">
        <w:t>Les travaux réalisés dans les agences intègrent la nécessité de réduire les consommations et de viser une meilleure efficacité énergétique, comme par exemple l’installation d’équipements performants privilégiant les pompes à chaleur, avec un objectif de supprimer les chaudières à fioul et de réduire le nombre de chaudières à gaz. Les travaux d’isolation sont conduits conformément à la réglementation thermique en vigueur. L’installation de portes</w:t>
      </w:r>
      <w:r w:rsidR="00096C44">
        <w:t xml:space="preserve"> </w:t>
      </w:r>
      <w:r w:rsidR="00096C44" w:rsidRPr="00D259D6">
        <w:t xml:space="preserve">à </w:t>
      </w:r>
      <w:r w:rsidR="00096C44">
        <w:t>battant</w:t>
      </w:r>
      <w:r w:rsidRPr="009D4CD4">
        <w:t xml:space="preserve"> évite les déperditions énergétiques, de même que la suppression des rideaux d’air chaud. Un dispositif de régulation à distance permettant de piloter le suivi et la gestion des locaux du point de vue énergétique (chauffage, conditionnement d’air, éclairage) est installé dans chacune des agences. Dans le domaine de la consommation électrique, les enseignes lumineuses des agences sont programmées pour une extinction nocturne de 23h à 6h du matin.  En ce qui concerne l’éclairage intérieur, des couplages avec la centrale d’alarme ont été réalisés en 2021, afin de garantir la bonne coupure des lumières intérieures. Il est prévu de généraliser ce dispositif dans toutes les agences en 2022 et 2023. Les enseignes et le système d’éclairage de toutes les agences rénovées ou créées sont équipés de </w:t>
      </w:r>
      <w:r w:rsidRPr="009D4CD4">
        <w:rPr>
          <w:rStyle w:val="Accentuation"/>
          <w:i w:val="0"/>
          <w:iCs w:val="0"/>
        </w:rPr>
        <w:t xml:space="preserve">LED. Des </w:t>
      </w:r>
      <w:r w:rsidRPr="009D4CD4">
        <w:t>dispositifs de détection de présence sont installés</w:t>
      </w:r>
      <w:r w:rsidRPr="009D4CD4">
        <w:rPr>
          <w:i/>
          <w:iCs/>
        </w:rPr>
        <w:t>.</w:t>
      </w:r>
      <w:r w:rsidRPr="009D4CD4">
        <w:t xml:space="preserve"> Des actions de dimensionnement de compteurs électriques sont également conduites.</w:t>
      </w:r>
    </w:p>
    <w:p w14:paraId="638E2A99" w14:textId="06491A27" w:rsidR="009A794E" w:rsidRPr="009D4CD4" w:rsidRDefault="009A794E" w:rsidP="00E746A4">
      <w:pPr>
        <w:spacing w:after="0" w:line="240" w:lineRule="auto"/>
        <w:jc w:val="left"/>
        <w:rPr>
          <w:rFonts w:cs="Arial"/>
        </w:rPr>
      </w:pPr>
    </w:p>
    <w:p w14:paraId="137013B0" w14:textId="77777777" w:rsidR="00E746A4" w:rsidRPr="009D4CD4" w:rsidRDefault="00E746A4" w:rsidP="001743DE">
      <w:pPr>
        <w:pStyle w:val="Titre5"/>
      </w:pPr>
      <w:bookmarkStart w:id="144" w:name="_Toc96698042"/>
      <w:r w:rsidRPr="009D4CD4">
        <w:t>Les déplacements professionnels</w:t>
      </w:r>
      <w:bookmarkEnd w:id="144"/>
      <w:r w:rsidRPr="009D4CD4">
        <w:t xml:space="preserve"> </w:t>
      </w:r>
    </w:p>
    <w:p w14:paraId="4DAFF05F" w14:textId="77777777" w:rsidR="00E746A4" w:rsidRPr="009D4CD4" w:rsidRDefault="00E746A4" w:rsidP="00E746A4">
      <w:pPr>
        <w:spacing w:after="0" w:line="240" w:lineRule="auto"/>
        <w:jc w:val="left"/>
        <w:rPr>
          <w:rFonts w:cs="Arial"/>
        </w:rPr>
      </w:pPr>
    </w:p>
    <w:p w14:paraId="71A55782" w14:textId="343B0D72" w:rsidR="00E746A4" w:rsidRPr="009D4CD4" w:rsidRDefault="00E746A4" w:rsidP="00E746A4">
      <w:pPr>
        <w:spacing w:after="0" w:line="240" w:lineRule="auto"/>
        <w:jc w:val="left"/>
        <w:rPr>
          <w:rFonts w:cs="Arial"/>
        </w:rPr>
      </w:pPr>
      <w:r w:rsidRPr="009D4CD4">
        <w:rPr>
          <w:rFonts w:cs="Arial"/>
        </w:rPr>
        <w:t xml:space="preserve">Poste majeur dans les émissions de gaz à effet de serre, source de risque routier, de temps perdu, de coûts carbone et de coût financier, les déplacements professionnels des salariés et des administrateurs en véhicules personnels ou avec ceux de la </w:t>
      </w:r>
      <w:r w:rsidR="00A7717F">
        <w:rPr>
          <w:rFonts w:cs="Arial"/>
        </w:rPr>
        <w:t>Caisse Régionale</w:t>
      </w:r>
      <w:r w:rsidRPr="009D4CD4">
        <w:rPr>
          <w:rFonts w:cs="Arial"/>
        </w:rPr>
        <w:t xml:space="preserve"> font l’objet d’un suivi détaillé. Des actions sont mises en œuvre pour réduire le nombre de kilomètres parcourus, comme par exemple le co-voiturage professionnel, le regroupement des réunions au niveau des agences et l’utilisation des audio et visio-conférences. Les salles équipées du système de vidéo-conférence VNCA sur les sites administratifs et </w:t>
      </w:r>
      <w:r w:rsidR="008D03A5" w:rsidRPr="009D4CD4">
        <w:rPr>
          <w:rFonts w:cs="Arial"/>
        </w:rPr>
        <w:t>le</w:t>
      </w:r>
      <w:r w:rsidR="008D03A5">
        <w:rPr>
          <w:rFonts w:cs="Arial"/>
        </w:rPr>
        <w:t>s</w:t>
      </w:r>
      <w:r w:rsidR="008D03A5" w:rsidRPr="009D4CD4">
        <w:rPr>
          <w:rFonts w:cs="Arial"/>
        </w:rPr>
        <w:t xml:space="preserve"> logiciel</w:t>
      </w:r>
      <w:r w:rsidR="008D03A5">
        <w:rPr>
          <w:rFonts w:cs="Arial"/>
        </w:rPr>
        <w:t>s</w:t>
      </w:r>
      <w:r w:rsidR="008D03A5" w:rsidRPr="009D4CD4">
        <w:rPr>
          <w:rFonts w:cs="Arial"/>
        </w:rPr>
        <w:t xml:space="preserve"> de visio-conférence Lync </w:t>
      </w:r>
      <w:r w:rsidR="008D03A5">
        <w:rPr>
          <w:rFonts w:cs="Arial"/>
        </w:rPr>
        <w:t xml:space="preserve">et Webex </w:t>
      </w:r>
      <w:r w:rsidR="008D03A5" w:rsidRPr="009D4CD4">
        <w:rPr>
          <w:rFonts w:cs="Arial"/>
        </w:rPr>
        <w:t>installé</w:t>
      </w:r>
      <w:r w:rsidR="008D03A5">
        <w:rPr>
          <w:rFonts w:cs="Arial"/>
        </w:rPr>
        <w:t>s</w:t>
      </w:r>
      <w:r w:rsidR="008D03A5" w:rsidRPr="009D4CD4">
        <w:rPr>
          <w:rFonts w:cs="Arial"/>
        </w:rPr>
        <w:t xml:space="preserve"> </w:t>
      </w:r>
      <w:r w:rsidRPr="009D4CD4">
        <w:rPr>
          <w:rFonts w:cs="Arial"/>
        </w:rPr>
        <w:t xml:space="preserve">sur les ordinateurs permettent de dématérialiser un grand nombre de rencontres jusqu’ici organisées en présentiel. Dès 2015, de grands écrans ont été déployés dans les agences, afin de réunir par vidéo-conférence le conseiller et son client en agence avec un expert présent physiquement sur un site ou dans une autre entité du Crédit Agricole. En 2020, d’autres solutions de vidéo-conférence ont été mises en place pour faciliter le travail distanciel, qui a été généralisé en raison de la crise sanitaire. </w:t>
      </w:r>
    </w:p>
    <w:p w14:paraId="6F1AFEC0" w14:textId="77777777" w:rsidR="00E746A4" w:rsidRPr="009D4CD4" w:rsidRDefault="00E746A4" w:rsidP="00E746A4">
      <w:pPr>
        <w:spacing w:after="0" w:line="240" w:lineRule="auto"/>
        <w:jc w:val="left"/>
        <w:rPr>
          <w:rFonts w:cs="Arial"/>
          <w:color w:val="FF0000"/>
        </w:rPr>
      </w:pPr>
    </w:p>
    <w:p w14:paraId="5343A1DD" w14:textId="77777777" w:rsidR="00E746A4" w:rsidRPr="009D4CD4" w:rsidRDefault="00E746A4" w:rsidP="00E746A4">
      <w:pPr>
        <w:spacing w:after="0" w:line="240" w:lineRule="auto"/>
        <w:jc w:val="left"/>
        <w:rPr>
          <w:rFonts w:cs="Arial"/>
        </w:rPr>
      </w:pPr>
      <w:r w:rsidRPr="009D4CD4">
        <w:rPr>
          <w:rFonts w:cs="Arial"/>
        </w:rPr>
        <w:t>Pour favoriser le co-voiturage professionnel, la plateforme de réservation en ligne Mobibook a été mise en service en 2021. L’objectif est de contribuer à la diminution des émissions de gaz à effet de serre, tout en agissant positivement sur le risque routier. Les utilisateurs peuvent repérer des trajets déjà programmés et s’y inscrire. Ils peuvent proposer leur propre véhicule pour embarquer des passagers. Dans ce cas, l’indemnité kilométrique est majorée. Par défaut, tous les véhicules d’entreprise sont proposés au co-voiturage.</w:t>
      </w:r>
    </w:p>
    <w:p w14:paraId="64A57BDE" w14:textId="77777777" w:rsidR="00E746A4" w:rsidRPr="009D4CD4" w:rsidRDefault="00E746A4" w:rsidP="00E746A4">
      <w:pPr>
        <w:pStyle w:val="NormalWeb"/>
        <w:shd w:val="clear" w:color="auto" w:fill="FFFFFF"/>
        <w:spacing w:before="0" w:beforeAutospacing="0" w:after="0" w:afterAutospacing="0"/>
        <w:ind w:left="15"/>
        <w:jc w:val="both"/>
        <w:rPr>
          <w:rFonts w:ascii="Calibri" w:eastAsia="Calibri" w:hAnsi="Calibri" w:cs="Arial"/>
          <w:sz w:val="22"/>
          <w:szCs w:val="22"/>
          <w:lang w:eastAsia="en-US"/>
        </w:rPr>
      </w:pPr>
    </w:p>
    <w:p w14:paraId="4AD75D28" w14:textId="77777777" w:rsidR="00E746A4" w:rsidRPr="009D4CD4" w:rsidRDefault="00E746A4" w:rsidP="00484FF7">
      <w:pPr>
        <w:pStyle w:val="Titre5"/>
      </w:pPr>
      <w:bookmarkStart w:id="145" w:name="_Toc96698043"/>
      <w:r w:rsidRPr="009D4CD4">
        <w:t>Véhicules électriques</w:t>
      </w:r>
      <w:bookmarkEnd w:id="145"/>
    </w:p>
    <w:p w14:paraId="431DB779" w14:textId="77777777" w:rsidR="00E746A4" w:rsidRPr="009D4CD4" w:rsidRDefault="00E746A4" w:rsidP="00E746A4">
      <w:pPr>
        <w:spacing w:after="0" w:line="240" w:lineRule="auto"/>
        <w:jc w:val="left"/>
        <w:rPr>
          <w:rFonts w:cs="Arial"/>
        </w:rPr>
      </w:pPr>
    </w:p>
    <w:p w14:paraId="66148508" w14:textId="77777777" w:rsidR="00E746A4" w:rsidRPr="009D4CD4" w:rsidRDefault="00E746A4" w:rsidP="00E746A4">
      <w:pPr>
        <w:spacing w:after="0" w:line="240" w:lineRule="auto"/>
        <w:jc w:val="left"/>
        <w:rPr>
          <w:rFonts w:cs="Arial"/>
        </w:rPr>
      </w:pPr>
      <w:r w:rsidRPr="009D4CD4">
        <w:rPr>
          <w:rFonts w:cs="Arial"/>
        </w:rPr>
        <w:t xml:space="preserve">Pour réduire l’empreinte carbone des déplacements professionnels, une voiture électrique équipe chacun des sites administratifs pour les déplacements professionnels. 2 fourgonnettes électriques complètent le dispositif. </w:t>
      </w:r>
    </w:p>
    <w:p w14:paraId="3C406936" w14:textId="6C596F6D" w:rsidR="00E746A4" w:rsidRPr="009D4CD4" w:rsidRDefault="00E746A4" w:rsidP="00E746A4">
      <w:pPr>
        <w:spacing w:after="0" w:line="240" w:lineRule="auto"/>
        <w:jc w:val="left"/>
      </w:pPr>
    </w:p>
    <w:p w14:paraId="32BB7192" w14:textId="77777777" w:rsidR="00A26A54" w:rsidRPr="009D4CD4" w:rsidRDefault="00A26A54" w:rsidP="00A26A54">
      <w:pPr>
        <w:spacing w:after="0" w:line="240" w:lineRule="auto"/>
        <w:jc w:val="left"/>
      </w:pPr>
    </w:p>
    <w:p w14:paraId="5C00B6B8" w14:textId="0303C8AC" w:rsidR="00A26A54" w:rsidRPr="009D4CD4" w:rsidRDefault="00A26A54" w:rsidP="00A26A54">
      <w:pPr>
        <w:numPr>
          <w:ilvl w:val="0"/>
          <w:numId w:val="4"/>
        </w:numPr>
        <w:spacing w:after="0" w:line="240" w:lineRule="auto"/>
        <w:jc w:val="left"/>
        <w:rPr>
          <w:rFonts w:cs="Arial"/>
        </w:rPr>
      </w:pPr>
      <w:r w:rsidRPr="009D4CD4">
        <w:rPr>
          <w:rFonts w:cs="Arial"/>
        </w:rPr>
        <w:t>Les filiales Edokial et Inforsud Technologies</w:t>
      </w:r>
      <w:r w:rsidR="001F1BBD" w:rsidRPr="009D4CD4">
        <w:rPr>
          <w:rFonts w:cs="Arial"/>
        </w:rPr>
        <w:t xml:space="preserve"> (IST)</w:t>
      </w:r>
    </w:p>
    <w:p w14:paraId="226E9207" w14:textId="544D0B58" w:rsidR="00A26A54" w:rsidRPr="009D4CD4" w:rsidRDefault="00A26A54" w:rsidP="00A26A54">
      <w:pPr>
        <w:spacing w:after="0" w:line="240" w:lineRule="auto"/>
        <w:jc w:val="left"/>
        <w:rPr>
          <w:rFonts w:cs="Arial"/>
        </w:rPr>
      </w:pPr>
    </w:p>
    <w:p w14:paraId="56B6BC18" w14:textId="403B3E49" w:rsidR="00615831" w:rsidRPr="009D4CD4" w:rsidRDefault="00615831" w:rsidP="00615831">
      <w:pPr>
        <w:pStyle w:val="Commentaire"/>
        <w:spacing w:after="0" w:line="240" w:lineRule="auto"/>
        <w:rPr>
          <w:rFonts w:cs="Arial"/>
          <w:sz w:val="22"/>
          <w:szCs w:val="22"/>
        </w:rPr>
      </w:pPr>
      <w:r w:rsidRPr="009D4CD4">
        <w:rPr>
          <w:rFonts w:cs="Arial"/>
          <w:sz w:val="22"/>
          <w:szCs w:val="22"/>
        </w:rPr>
        <w:t xml:space="preserve">Les filiales réalisent chaque année des travaux d’amélioration énergétique des bâtiments. Sur les différents sites, les néons types fluorescents sont changés </w:t>
      </w:r>
      <w:r w:rsidR="005B6735">
        <w:rPr>
          <w:rFonts w:cs="Arial"/>
          <w:sz w:val="22"/>
          <w:szCs w:val="22"/>
        </w:rPr>
        <w:t>progressivement</w:t>
      </w:r>
      <w:r w:rsidRPr="009D4CD4">
        <w:rPr>
          <w:rFonts w:cs="Arial"/>
          <w:sz w:val="22"/>
          <w:szCs w:val="22"/>
        </w:rPr>
        <w:t xml:space="preserve"> par des éclairages LED.</w:t>
      </w:r>
    </w:p>
    <w:p w14:paraId="3147FBD3" w14:textId="77777777" w:rsidR="00615831" w:rsidRPr="009D4CD4" w:rsidRDefault="00615831" w:rsidP="00615831">
      <w:pPr>
        <w:spacing w:after="0" w:line="240" w:lineRule="auto"/>
        <w:jc w:val="left"/>
        <w:rPr>
          <w:rFonts w:cs="Arial"/>
          <w:u w:val="single"/>
        </w:rPr>
      </w:pPr>
    </w:p>
    <w:p w14:paraId="2D57F08D" w14:textId="6276D268" w:rsidR="00615831" w:rsidRPr="009D4CD4" w:rsidRDefault="00615831" w:rsidP="00615831">
      <w:pPr>
        <w:spacing w:after="0" w:line="240" w:lineRule="auto"/>
        <w:jc w:val="left"/>
        <w:rPr>
          <w:rFonts w:cs="Arial"/>
        </w:rPr>
      </w:pPr>
      <w:r w:rsidRPr="009D4CD4">
        <w:rPr>
          <w:rFonts w:cs="Arial"/>
        </w:rPr>
        <w:t>En raison de l’éloignement géographique des différents sites, les déplacements professionnels sont sources de risque routier, de cout financier et d’émission de gaz à effet de serre. Ils font donc l’objet d’un suivi. Plusieurs actions sont mises en œuvre pour les réduire :</w:t>
      </w:r>
    </w:p>
    <w:p w14:paraId="21B42C1D" w14:textId="1814A55B" w:rsidR="00615831" w:rsidRPr="009D4CD4" w:rsidRDefault="00615831" w:rsidP="00615831">
      <w:pPr>
        <w:pStyle w:val="Paragraphedeliste"/>
        <w:ind w:left="0"/>
        <w:rPr>
          <w:rFonts w:asciiTheme="minorHAnsi" w:hAnsiTheme="minorHAnsi" w:cstheme="minorHAnsi"/>
          <w:sz w:val="22"/>
          <w:szCs w:val="22"/>
        </w:rPr>
      </w:pPr>
      <w:r w:rsidRPr="009D4CD4">
        <w:rPr>
          <w:rFonts w:asciiTheme="minorHAnsi" w:hAnsiTheme="minorHAnsi" w:cstheme="minorHAnsi"/>
          <w:sz w:val="22"/>
          <w:szCs w:val="22"/>
        </w:rPr>
        <w:t>&gt; Co-voiturage professionnel</w:t>
      </w:r>
    </w:p>
    <w:p w14:paraId="48DEF6E8" w14:textId="52E94A71" w:rsidR="00615831" w:rsidRPr="009D4CD4" w:rsidRDefault="00615831" w:rsidP="00615831">
      <w:pPr>
        <w:pStyle w:val="Paragraphedeliste"/>
        <w:ind w:left="0"/>
        <w:rPr>
          <w:rFonts w:asciiTheme="minorHAnsi" w:hAnsiTheme="minorHAnsi" w:cstheme="minorHAnsi"/>
          <w:sz w:val="22"/>
          <w:szCs w:val="22"/>
        </w:rPr>
      </w:pPr>
      <w:r w:rsidRPr="009D4CD4">
        <w:rPr>
          <w:rFonts w:asciiTheme="minorHAnsi" w:hAnsiTheme="minorHAnsi" w:cstheme="minorHAnsi"/>
          <w:sz w:val="22"/>
          <w:szCs w:val="22"/>
        </w:rPr>
        <w:t xml:space="preserve">&gt; Installation supplémentaire de visio conférence </w:t>
      </w:r>
    </w:p>
    <w:p w14:paraId="2CB2F5C1" w14:textId="6751C2EE" w:rsidR="00615831" w:rsidRPr="009D4CD4" w:rsidRDefault="00615831" w:rsidP="00615831">
      <w:pPr>
        <w:pStyle w:val="Paragraphedeliste"/>
        <w:ind w:left="0"/>
        <w:rPr>
          <w:sz w:val="22"/>
          <w:szCs w:val="22"/>
        </w:rPr>
      </w:pPr>
      <w:r w:rsidRPr="009D4CD4">
        <w:rPr>
          <w:rFonts w:asciiTheme="minorHAnsi" w:hAnsiTheme="minorHAnsi" w:cstheme="minorHAnsi"/>
          <w:sz w:val="22"/>
          <w:szCs w:val="22"/>
        </w:rPr>
        <w:t>&gt; Déploiement de l’outil de visio conférence Teams avec les interlocuteurs extérieurs depuis novembre 2021</w:t>
      </w:r>
    </w:p>
    <w:p w14:paraId="2AB916F9" w14:textId="4F8D55FB" w:rsidR="00615831" w:rsidRPr="009D4CD4" w:rsidRDefault="00615831" w:rsidP="00615831">
      <w:pPr>
        <w:spacing w:after="0" w:line="240" w:lineRule="auto"/>
        <w:jc w:val="left"/>
        <w:rPr>
          <w:rFonts w:cs="Arial"/>
        </w:rPr>
      </w:pPr>
    </w:p>
    <w:p w14:paraId="10F6E7AC" w14:textId="3025F932" w:rsidR="00E746A4" w:rsidRPr="00A52D99" w:rsidRDefault="00B07220" w:rsidP="00A52D99">
      <w:pPr>
        <w:spacing w:after="0" w:line="240" w:lineRule="auto"/>
        <w:jc w:val="left"/>
        <w:rPr>
          <w:rFonts w:cs="Arial"/>
        </w:rPr>
      </w:pPr>
      <w:r w:rsidRPr="009D4CD4">
        <w:rPr>
          <w:rFonts w:asciiTheme="minorHAnsi" w:hAnsiTheme="minorHAnsi" w:cstheme="minorHAnsi"/>
        </w:rPr>
        <w:t>IST équipe les véhicules avec un outil connecté permettant de réduire les coûts inhérents à l’usage du véhicule</w:t>
      </w:r>
      <w:r w:rsidR="005B6735">
        <w:rPr>
          <w:rFonts w:asciiTheme="minorHAnsi" w:hAnsiTheme="minorHAnsi" w:cstheme="minorHAnsi"/>
        </w:rPr>
        <w:t>,</w:t>
      </w:r>
      <w:r w:rsidRPr="009D4CD4">
        <w:rPr>
          <w:rFonts w:asciiTheme="minorHAnsi" w:hAnsiTheme="minorHAnsi" w:cstheme="minorHAnsi"/>
        </w:rPr>
        <w:t xml:space="preserve"> de dimin</w:t>
      </w:r>
      <w:r w:rsidR="005B6735">
        <w:rPr>
          <w:rFonts w:asciiTheme="minorHAnsi" w:hAnsiTheme="minorHAnsi" w:cstheme="minorHAnsi"/>
        </w:rPr>
        <w:t>uer le taux de la sinistralité,</w:t>
      </w:r>
      <w:r w:rsidRPr="009D4CD4">
        <w:rPr>
          <w:rFonts w:asciiTheme="minorHAnsi" w:hAnsiTheme="minorHAnsi" w:cstheme="minorHAnsi"/>
        </w:rPr>
        <w:t xml:space="preserve"> </w:t>
      </w:r>
      <w:r w:rsidR="005B6735" w:rsidRPr="009D4CD4">
        <w:rPr>
          <w:rFonts w:asciiTheme="minorHAnsi" w:hAnsiTheme="minorHAnsi" w:cstheme="minorHAnsi"/>
        </w:rPr>
        <w:t>d’impliquer</w:t>
      </w:r>
      <w:r w:rsidRPr="009D4CD4">
        <w:rPr>
          <w:rFonts w:asciiTheme="minorHAnsi" w:hAnsiTheme="minorHAnsi" w:cstheme="minorHAnsi"/>
        </w:rPr>
        <w:t xml:space="preserve"> les conducteurs</w:t>
      </w:r>
      <w:r w:rsidR="005B6735">
        <w:rPr>
          <w:rFonts w:asciiTheme="minorHAnsi" w:hAnsiTheme="minorHAnsi" w:cstheme="minorHAnsi"/>
        </w:rPr>
        <w:t xml:space="preserve"> et </w:t>
      </w:r>
      <w:r w:rsidRPr="009D4CD4">
        <w:rPr>
          <w:rFonts w:asciiTheme="minorHAnsi" w:hAnsiTheme="minorHAnsi" w:cstheme="minorHAnsi"/>
        </w:rPr>
        <w:t>d’optimiser les performances environnementales.</w:t>
      </w:r>
    </w:p>
    <w:p w14:paraId="22DE13A7" w14:textId="3AEE30EC" w:rsidR="00E746A4" w:rsidRPr="009D4CD4" w:rsidRDefault="0010611F" w:rsidP="00E746A4">
      <w:pPr>
        <w:pStyle w:val="Titre4"/>
      </w:pPr>
      <w:bookmarkStart w:id="146" w:name="_Toc96698044"/>
      <w:r w:rsidRPr="009D4CD4">
        <w:t>Evaluer l’</w:t>
      </w:r>
      <w:r w:rsidR="00E746A4" w:rsidRPr="009D4CD4">
        <w:t>empreinte carbone liée aux financements</w:t>
      </w:r>
      <w:bookmarkEnd w:id="146"/>
    </w:p>
    <w:p w14:paraId="2AB4D978" w14:textId="2B69D9F0"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r w:rsidRPr="00677357">
        <w:rPr>
          <w:rFonts w:asciiTheme="minorHAnsi" w:eastAsia="Calibri" w:hAnsiTheme="minorHAnsi" w:cstheme="minorHAnsi"/>
          <w:color w:val="auto"/>
          <w:spacing w:val="0"/>
          <w:sz w:val="22"/>
          <w:szCs w:val="22"/>
          <w:lang w:eastAsia="en-US"/>
        </w:rPr>
        <w:t>Pour calculer les émissions de GES associées à son portefeuille de financement et d’investissement (empreinte indirecte), le Gro</w:t>
      </w:r>
      <w:r w:rsidR="00FF5186" w:rsidRPr="00677357">
        <w:rPr>
          <w:rFonts w:asciiTheme="minorHAnsi" w:eastAsia="Calibri" w:hAnsiTheme="minorHAnsi" w:cstheme="minorHAnsi"/>
          <w:color w:val="auto"/>
          <w:spacing w:val="0"/>
          <w:sz w:val="22"/>
          <w:szCs w:val="22"/>
          <w:lang w:eastAsia="en-US"/>
        </w:rPr>
        <w:t>upe met en œuvre depuis 2011 la</w:t>
      </w:r>
      <w:r w:rsidRPr="00677357">
        <w:rPr>
          <w:rFonts w:asciiTheme="minorHAnsi" w:eastAsia="Calibri" w:hAnsiTheme="minorHAnsi" w:cstheme="minorHAnsi"/>
          <w:color w:val="auto"/>
          <w:spacing w:val="0"/>
          <w:sz w:val="22"/>
          <w:szCs w:val="22"/>
          <w:lang w:eastAsia="en-US"/>
        </w:rPr>
        <w:t xml:space="preserve"> méthodologie</w:t>
      </w:r>
      <w:r w:rsidR="005B6735">
        <w:rPr>
          <w:rFonts w:asciiTheme="minorHAnsi" w:eastAsia="Calibri" w:hAnsiTheme="minorHAnsi" w:cstheme="minorHAnsi"/>
          <w:color w:val="auto"/>
          <w:spacing w:val="0"/>
          <w:sz w:val="22"/>
          <w:szCs w:val="22"/>
          <w:lang w:eastAsia="en-US"/>
        </w:rPr>
        <w:t xml:space="preserve"> </w:t>
      </w:r>
      <w:r w:rsidR="00FF5186" w:rsidRPr="00677357">
        <w:rPr>
          <w:rFonts w:asciiTheme="minorHAnsi" w:eastAsia="Calibri" w:hAnsiTheme="minorHAnsi" w:cstheme="minorHAnsi"/>
          <w:color w:val="auto"/>
          <w:spacing w:val="0"/>
          <w:sz w:val="22"/>
          <w:szCs w:val="22"/>
          <w:lang w:eastAsia="en-US"/>
        </w:rPr>
        <w:t>P9XCA</w:t>
      </w:r>
      <w:r w:rsidRPr="00677357">
        <w:rPr>
          <w:rFonts w:asciiTheme="minorHAnsi" w:eastAsia="Calibri" w:hAnsiTheme="minorHAnsi" w:cstheme="minorHAnsi"/>
          <w:color w:val="auto"/>
          <w:spacing w:val="0"/>
          <w:sz w:val="22"/>
          <w:szCs w:val="22"/>
          <w:lang w:eastAsia="en-US"/>
        </w:rPr>
        <w:t xml:space="preserve"> de quantification développée à sa demande par la chaire Finance et Développement durable de Paris-Dauphine et de l’École polytechnique. </w:t>
      </w:r>
      <w:r w:rsidR="00FF5186" w:rsidRPr="00677357">
        <w:rPr>
          <w:rFonts w:asciiTheme="minorHAnsi" w:eastAsia="Calibri" w:hAnsiTheme="minorHAnsi" w:cstheme="minorHAnsi"/>
          <w:color w:val="auto"/>
          <w:spacing w:val="0"/>
          <w:sz w:val="22"/>
          <w:szCs w:val="22"/>
          <w:lang w:eastAsia="en-US"/>
        </w:rPr>
        <w:t>Cette méthodologie, rebaptisée S</w:t>
      </w:r>
      <w:r w:rsidRPr="00677357">
        <w:rPr>
          <w:rFonts w:asciiTheme="minorHAnsi" w:eastAsia="Calibri" w:hAnsiTheme="minorHAnsi" w:cstheme="minorHAnsi"/>
          <w:color w:val="auto"/>
          <w:spacing w:val="0"/>
          <w:sz w:val="22"/>
          <w:szCs w:val="22"/>
          <w:lang w:eastAsia="en-US"/>
        </w:rPr>
        <w:t xml:space="preserve">AFE (pour Single Accounting of Financed Emissions methodology) </w:t>
      </w:r>
      <w:r w:rsidR="00FF5186" w:rsidRPr="00677357">
        <w:rPr>
          <w:rFonts w:asciiTheme="minorHAnsi" w:eastAsia="Calibri" w:hAnsiTheme="minorHAnsi" w:cstheme="minorHAnsi"/>
          <w:color w:val="auto"/>
          <w:spacing w:val="0"/>
          <w:sz w:val="22"/>
          <w:szCs w:val="22"/>
          <w:lang w:eastAsia="en-US"/>
        </w:rPr>
        <w:t>en 2021, est</w:t>
      </w:r>
      <w:r w:rsidRPr="00677357">
        <w:rPr>
          <w:rFonts w:asciiTheme="minorHAnsi" w:eastAsia="Calibri" w:hAnsiTheme="minorHAnsi" w:cstheme="minorHAnsi"/>
          <w:color w:val="auto"/>
          <w:spacing w:val="0"/>
          <w:sz w:val="22"/>
          <w:szCs w:val="22"/>
          <w:lang w:eastAsia="en-US"/>
        </w:rPr>
        <w:t xml:space="preserve"> préconisée depuis 2014 pour les banques de financement et d’investissement par le guide sectoriel pour le secteur financier “Réalisation d’un bilan des émissions de gaz à effet de serre” publié par l’Agence de l’environnement et de la maîtrise de l’énergie, l’Observatoire de la responsabilité sociétale des entreprises et l’association Bilan Carbone.</w:t>
      </w:r>
    </w:p>
    <w:p w14:paraId="7C337537" w14:textId="77777777"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p>
    <w:p w14:paraId="57BC3D18" w14:textId="5DB7F860"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r w:rsidRPr="00677357">
        <w:rPr>
          <w:rFonts w:asciiTheme="minorHAnsi" w:eastAsia="Calibri" w:hAnsiTheme="minorHAnsi" w:cstheme="minorHAnsi"/>
          <w:color w:val="auto"/>
          <w:spacing w:val="0"/>
          <w:sz w:val="22"/>
          <w:szCs w:val="22"/>
          <w:lang w:eastAsia="en-US"/>
        </w:rPr>
        <w:t>SAFE est une méthodologie qui permet de constater l’empreinte carbone des émissions financées en évitant les comptages multiples</w:t>
      </w:r>
      <w:r w:rsidR="00FF5186" w:rsidRPr="00677357">
        <w:rPr>
          <w:rFonts w:asciiTheme="minorHAnsi" w:eastAsia="Calibri" w:hAnsiTheme="minorHAnsi" w:cstheme="minorHAnsi"/>
          <w:color w:val="auto"/>
          <w:spacing w:val="0"/>
          <w:sz w:val="22"/>
          <w:szCs w:val="22"/>
          <w:lang w:eastAsia="en-US"/>
        </w:rPr>
        <w:t xml:space="preserve">. </w:t>
      </w:r>
      <w:r w:rsidRPr="00677357">
        <w:rPr>
          <w:rFonts w:asciiTheme="minorHAnsi" w:eastAsia="Calibri" w:hAnsiTheme="minorHAnsi" w:cstheme="minorHAnsi"/>
          <w:color w:val="auto"/>
          <w:spacing w:val="0"/>
          <w:sz w:val="22"/>
          <w:szCs w:val="22"/>
          <w:lang w:eastAsia="en-US"/>
        </w:rPr>
        <w:t>Elle s’appuie en cela sur les préconisations du Guide sectoriel sur la quantification des émissions de GES pour le secteur financier publié par l’ADEME, l’ABC et l’ORSE. Réalisé en 2014 avec la participation d’une vingtaine d’institutions financières, d’ONG et d’experts, ce guide recommande aux banques de financement et d’investissement et aux banques universelles de recourir à une approche macroéconomique (méthodologies dites top-down), seule à même de garantir l’additivité des résultats et ainsi l’exactitude de l’ordre de grandeur calculé.</w:t>
      </w:r>
    </w:p>
    <w:p w14:paraId="6B80AE4A" w14:textId="77777777"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p>
    <w:p w14:paraId="42AB2E4A" w14:textId="22083CD8"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r w:rsidRPr="00677357">
        <w:rPr>
          <w:rFonts w:asciiTheme="minorHAnsi" w:eastAsia="Calibri" w:hAnsiTheme="minorHAnsi" w:cstheme="minorHAnsi"/>
          <w:color w:val="auto"/>
          <w:spacing w:val="0"/>
          <w:sz w:val="22"/>
          <w:szCs w:val="22"/>
          <w:lang w:eastAsia="en-US"/>
        </w:rPr>
        <w:t>Ainsi, SAFE fait correspondre par construction la somme des empreintes carbone de l’ensemble des institutions financières mondiales à 100 % des émissions mondiales, contrairement à d’autres méthodologies sur le marché</w:t>
      </w:r>
      <w:r w:rsidR="00FF5186" w:rsidRPr="00677357">
        <w:rPr>
          <w:rFonts w:asciiTheme="minorHAnsi" w:eastAsia="Calibri" w:hAnsiTheme="minorHAnsi" w:cstheme="minorHAnsi"/>
          <w:color w:val="auto"/>
          <w:spacing w:val="0"/>
          <w:sz w:val="22"/>
          <w:szCs w:val="22"/>
          <w:lang w:eastAsia="en-US"/>
        </w:rPr>
        <w:t xml:space="preserve"> pouvant aboutir </w:t>
      </w:r>
      <w:r w:rsidRPr="00677357">
        <w:rPr>
          <w:rFonts w:asciiTheme="minorHAnsi" w:eastAsia="Calibri" w:hAnsiTheme="minorHAnsi" w:cstheme="minorHAnsi"/>
          <w:color w:val="auto"/>
          <w:spacing w:val="0"/>
          <w:sz w:val="22"/>
          <w:szCs w:val="22"/>
          <w:lang w:eastAsia="en-US"/>
        </w:rPr>
        <w:t>à une somme é</w:t>
      </w:r>
      <w:r w:rsidR="00FF5186" w:rsidRPr="00677357">
        <w:rPr>
          <w:rFonts w:asciiTheme="minorHAnsi" w:eastAsia="Calibri" w:hAnsiTheme="minorHAnsi" w:cstheme="minorHAnsi"/>
          <w:color w:val="auto"/>
          <w:spacing w:val="0"/>
          <w:sz w:val="22"/>
          <w:szCs w:val="22"/>
          <w:lang w:eastAsia="en-US"/>
        </w:rPr>
        <w:t>gale à plusieurs fois ce niveau.</w:t>
      </w:r>
    </w:p>
    <w:p w14:paraId="3C1BABD1" w14:textId="77777777"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p>
    <w:p w14:paraId="13B85301" w14:textId="7AE9CBD4"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r w:rsidRPr="00677357">
        <w:rPr>
          <w:rFonts w:asciiTheme="minorHAnsi" w:eastAsia="Calibri" w:hAnsiTheme="minorHAnsi" w:cstheme="minorHAnsi"/>
          <w:color w:val="auto"/>
          <w:spacing w:val="0"/>
          <w:sz w:val="22"/>
          <w:szCs w:val="22"/>
          <w:lang w:eastAsia="en-US"/>
        </w:rPr>
        <w:t xml:space="preserve">SAFE permet de réaliser une cartographie sectorielle et géographique des émissions financées. Les émissions de </w:t>
      </w:r>
      <w:r w:rsidR="00FF5186" w:rsidRPr="00677357">
        <w:rPr>
          <w:rFonts w:asciiTheme="minorHAnsi" w:eastAsia="Calibri" w:hAnsiTheme="minorHAnsi" w:cstheme="minorHAnsi"/>
          <w:color w:val="auto"/>
          <w:spacing w:val="0"/>
          <w:sz w:val="22"/>
          <w:szCs w:val="22"/>
          <w:lang w:eastAsia="en-US"/>
        </w:rPr>
        <w:t>GES</w:t>
      </w:r>
      <w:r w:rsidRPr="00677357">
        <w:rPr>
          <w:rFonts w:asciiTheme="minorHAnsi" w:eastAsia="Calibri" w:hAnsiTheme="minorHAnsi" w:cstheme="minorHAnsi"/>
          <w:color w:val="auto"/>
          <w:spacing w:val="0"/>
          <w:sz w:val="22"/>
          <w:szCs w:val="22"/>
          <w:lang w:eastAsia="en-US"/>
        </w:rPr>
        <w:t xml:space="preserve"> sont affectées aux acteurs économiques selon leur capacité (et leur intérêt économique) à les réduire selon une affectation qualifiée “par enjeu”, par opposition à l’allocation usuelle “par scope”.</w:t>
      </w:r>
    </w:p>
    <w:p w14:paraId="21550FD4" w14:textId="77777777"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p>
    <w:p w14:paraId="574CEFE9" w14:textId="311B3761" w:rsidR="00DF00B4" w:rsidRPr="00677357" w:rsidRDefault="00DF00B4" w:rsidP="00677357">
      <w:pPr>
        <w:pStyle w:val="TexteTextes"/>
        <w:spacing w:after="0" w:line="240" w:lineRule="auto"/>
        <w:rPr>
          <w:rFonts w:asciiTheme="minorHAnsi" w:eastAsia="Calibri" w:hAnsiTheme="minorHAnsi" w:cstheme="minorHAnsi"/>
          <w:color w:val="auto"/>
          <w:spacing w:val="0"/>
          <w:sz w:val="22"/>
          <w:szCs w:val="22"/>
          <w:lang w:eastAsia="en-US"/>
        </w:rPr>
      </w:pPr>
      <w:r w:rsidRPr="00677357">
        <w:rPr>
          <w:rFonts w:asciiTheme="minorHAnsi" w:eastAsia="Calibri" w:hAnsiTheme="minorHAnsi" w:cstheme="minorHAnsi"/>
          <w:color w:val="auto"/>
          <w:spacing w:val="0"/>
          <w:sz w:val="22"/>
          <w:szCs w:val="22"/>
          <w:lang w:eastAsia="en-US"/>
        </w:rPr>
        <w:t>Au-delà de l’aspect quantification, la réalisation d’une telle cartographie permet au Groupe d’identifier les secteurs prioritaires nécessitant le développement de politiques sectorielles RSE.</w:t>
      </w:r>
    </w:p>
    <w:p w14:paraId="4145B061" w14:textId="77777777" w:rsidR="001E0652" w:rsidRPr="00336C91" w:rsidRDefault="001E0652" w:rsidP="00336C91">
      <w:pPr>
        <w:spacing w:after="0" w:line="240" w:lineRule="auto"/>
        <w:rPr>
          <w:rFonts w:asciiTheme="minorHAnsi" w:hAnsiTheme="minorHAnsi" w:cstheme="minorHAnsi"/>
          <w:sz w:val="18"/>
          <w:szCs w:val="18"/>
        </w:rPr>
      </w:pPr>
    </w:p>
    <w:tbl>
      <w:tblPr>
        <w:tblW w:w="0" w:type="auto"/>
        <w:tblCellMar>
          <w:left w:w="0" w:type="dxa"/>
          <w:right w:w="0" w:type="dxa"/>
        </w:tblCellMar>
        <w:tblLook w:val="04A0" w:firstRow="1" w:lastRow="0" w:firstColumn="1" w:lastColumn="0" w:noHBand="0" w:noVBand="1"/>
      </w:tblPr>
      <w:tblGrid>
        <w:gridCol w:w="1720"/>
        <w:gridCol w:w="1720"/>
        <w:gridCol w:w="1720"/>
      </w:tblGrid>
      <w:tr w:rsidR="001E0652" w:rsidRPr="00336C91" w14:paraId="0EECC9CA" w14:textId="77777777" w:rsidTr="00336C91">
        <w:trPr>
          <w:trHeight w:val="227"/>
        </w:trPr>
        <w:tc>
          <w:tcPr>
            <w:tcW w:w="1720"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hideMark/>
          </w:tcPr>
          <w:p w14:paraId="75256ED6"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Macro-secteurs</w:t>
            </w:r>
          </w:p>
        </w:tc>
        <w:tc>
          <w:tcPr>
            <w:tcW w:w="1720" w:type="dxa"/>
            <w:tcBorders>
              <w:top w:val="single" w:sz="4" w:space="0" w:color="auto"/>
              <w:left w:val="nil"/>
              <w:bottom w:val="single" w:sz="8" w:space="0" w:color="auto"/>
              <w:right w:val="single" w:sz="8" w:space="0" w:color="auto"/>
            </w:tcBorders>
            <w:noWrap/>
            <w:tcMar>
              <w:top w:w="0" w:type="dxa"/>
              <w:left w:w="108" w:type="dxa"/>
              <w:bottom w:w="0" w:type="dxa"/>
              <w:right w:w="108" w:type="dxa"/>
            </w:tcMar>
            <w:hideMark/>
          </w:tcPr>
          <w:p w14:paraId="3819F763"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Encours</w:t>
            </w:r>
          </w:p>
        </w:tc>
        <w:tc>
          <w:tcPr>
            <w:tcW w:w="1720" w:type="dxa"/>
            <w:tcBorders>
              <w:top w:val="single" w:sz="4" w:space="0" w:color="auto"/>
              <w:left w:val="nil"/>
              <w:bottom w:val="single" w:sz="8" w:space="0" w:color="auto"/>
              <w:right w:val="single" w:sz="8" w:space="0" w:color="auto"/>
            </w:tcBorders>
            <w:noWrap/>
            <w:tcMar>
              <w:top w:w="0" w:type="dxa"/>
              <w:left w:w="108" w:type="dxa"/>
              <w:bottom w:w="0" w:type="dxa"/>
              <w:right w:w="108" w:type="dxa"/>
            </w:tcMar>
            <w:hideMark/>
          </w:tcPr>
          <w:p w14:paraId="57345D51" w14:textId="59CE54E3" w:rsidR="001E0652" w:rsidRPr="00336C91" w:rsidRDefault="00336C91" w:rsidP="00336C91">
            <w:pPr>
              <w:spacing w:after="0" w:line="240" w:lineRule="auto"/>
              <w:rPr>
                <w:rFonts w:asciiTheme="minorHAnsi" w:hAnsiTheme="minorHAnsi" w:cstheme="minorHAnsi"/>
                <w:sz w:val="18"/>
                <w:szCs w:val="18"/>
              </w:rPr>
            </w:pPr>
            <w:r>
              <w:rPr>
                <w:rFonts w:asciiTheme="minorHAnsi" w:hAnsiTheme="minorHAnsi" w:cstheme="minorHAnsi"/>
                <w:sz w:val="18"/>
                <w:szCs w:val="18"/>
              </w:rPr>
              <w:t>Emissions</w:t>
            </w:r>
          </w:p>
        </w:tc>
      </w:tr>
      <w:tr w:rsidR="001E0652" w:rsidRPr="00336C91" w14:paraId="156F128F"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D060A4C" w14:textId="77777777" w:rsidR="001E0652" w:rsidRPr="00336C91" w:rsidRDefault="001E0652" w:rsidP="00336C91">
            <w:pPr>
              <w:spacing w:after="0" w:line="240" w:lineRule="auto"/>
              <w:rPr>
                <w:rFonts w:asciiTheme="minorHAnsi" w:hAnsiTheme="minorHAnsi" w:cstheme="minorHAnsi"/>
                <w:sz w:val="18"/>
                <w:szCs w:val="18"/>
              </w:rPr>
            </w:pP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5BC5DD20"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(EUR)</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50C0F475"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(kt CO2)*</w:t>
            </w:r>
          </w:p>
        </w:tc>
      </w:tr>
      <w:tr w:rsidR="001E0652" w:rsidRPr="00336C91" w14:paraId="3AEF05B0"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27BA8F"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Agriculture</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4C2CEC25"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1 675 171 640</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726C2C5E"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503</w:t>
            </w:r>
          </w:p>
        </w:tc>
      </w:tr>
      <w:tr w:rsidR="001E0652" w:rsidRPr="00336C91" w14:paraId="7C94B2F5"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EBA0E5F"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Construction</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42C63FC2"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2 082 285 039</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4A88C905"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142</w:t>
            </w:r>
          </w:p>
        </w:tc>
      </w:tr>
      <w:tr w:rsidR="001E0652" w:rsidRPr="00336C91" w14:paraId="7D0CB49C"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FA261A7"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Energie</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43893F3A"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204 483 993</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034B5BC8"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29</w:t>
            </w:r>
          </w:p>
        </w:tc>
      </w:tr>
      <w:tr w:rsidR="001E0652" w:rsidRPr="00336C91" w14:paraId="7A0E6EA7"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B79C446"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Industrie</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396BAF16"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114 633 602</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7328A9FE"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37</w:t>
            </w:r>
          </w:p>
        </w:tc>
      </w:tr>
      <w:tr w:rsidR="001E0652" w:rsidRPr="00336C91" w14:paraId="06C0289E"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6B806C3"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Transport</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2CE837B0"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157 845 658</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63AD3466"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137</w:t>
            </w:r>
          </w:p>
        </w:tc>
      </w:tr>
      <w:tr w:rsidR="001E0652" w:rsidRPr="00336C91" w14:paraId="53BAA6B4"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4E2D6AB"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Services</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5D522A79"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883 849 001</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34344152"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0</w:t>
            </w:r>
          </w:p>
        </w:tc>
      </w:tr>
      <w:tr w:rsidR="001E0652" w:rsidRPr="00336C91" w14:paraId="26894378"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A9A1EE8"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Déchets</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45A08A1D"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121 936 165</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3ADF6097"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90</w:t>
            </w:r>
          </w:p>
        </w:tc>
      </w:tr>
      <w:tr w:rsidR="001E0652" w:rsidRPr="00336C91" w14:paraId="32730B80"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EE186C"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Administration</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1B2BF287"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1 196 202 012</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0003F24C"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0</w:t>
            </w:r>
          </w:p>
        </w:tc>
      </w:tr>
      <w:tr w:rsidR="001E0652" w:rsidRPr="00336C91" w14:paraId="667C63E4"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28D08B1"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Autres</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779331C5"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146 829 511</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64E9555B"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0</w:t>
            </w:r>
          </w:p>
        </w:tc>
      </w:tr>
      <w:tr w:rsidR="001E0652" w:rsidRPr="00336C91" w14:paraId="27A7CEFE" w14:textId="77777777" w:rsidTr="001E0652">
        <w:trPr>
          <w:trHeight w:val="227"/>
        </w:trPr>
        <w:tc>
          <w:tcPr>
            <w:tcW w:w="172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D1107E1"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N/A</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21682BB7"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1 399 297 117</w:t>
            </w:r>
          </w:p>
        </w:tc>
        <w:tc>
          <w:tcPr>
            <w:tcW w:w="1720" w:type="dxa"/>
            <w:tcBorders>
              <w:top w:val="nil"/>
              <w:left w:val="nil"/>
              <w:bottom w:val="single" w:sz="8" w:space="0" w:color="auto"/>
              <w:right w:val="single" w:sz="8" w:space="0" w:color="auto"/>
            </w:tcBorders>
            <w:noWrap/>
            <w:tcMar>
              <w:top w:w="0" w:type="dxa"/>
              <w:left w:w="108" w:type="dxa"/>
              <w:bottom w:w="0" w:type="dxa"/>
              <w:right w:w="108" w:type="dxa"/>
            </w:tcMar>
            <w:hideMark/>
          </w:tcPr>
          <w:p w14:paraId="3461D151"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0</w:t>
            </w:r>
          </w:p>
        </w:tc>
      </w:tr>
      <w:tr w:rsidR="001E0652" w:rsidRPr="00336C91" w14:paraId="6D7C91C4" w14:textId="77777777" w:rsidTr="001E0652">
        <w:trPr>
          <w:trHeight w:val="227"/>
        </w:trPr>
        <w:tc>
          <w:tcPr>
            <w:tcW w:w="1720"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hideMark/>
          </w:tcPr>
          <w:p w14:paraId="6BBCB372"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TOTAL</w:t>
            </w:r>
          </w:p>
        </w:tc>
        <w:tc>
          <w:tcPr>
            <w:tcW w:w="172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hideMark/>
          </w:tcPr>
          <w:p w14:paraId="413D2010"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7 982 533 737</w:t>
            </w:r>
          </w:p>
        </w:tc>
        <w:tc>
          <w:tcPr>
            <w:tcW w:w="172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hideMark/>
          </w:tcPr>
          <w:p w14:paraId="6103E532" w14:textId="77777777" w:rsidR="001E0652" w:rsidRPr="00336C91" w:rsidRDefault="001E0652" w:rsidP="00336C91">
            <w:pPr>
              <w:spacing w:after="0" w:line="240" w:lineRule="auto"/>
              <w:rPr>
                <w:rFonts w:asciiTheme="minorHAnsi" w:hAnsiTheme="minorHAnsi" w:cstheme="minorHAnsi"/>
                <w:sz w:val="18"/>
                <w:szCs w:val="18"/>
              </w:rPr>
            </w:pPr>
            <w:r w:rsidRPr="00336C91">
              <w:rPr>
                <w:rFonts w:asciiTheme="minorHAnsi" w:hAnsiTheme="minorHAnsi" w:cstheme="minorHAnsi"/>
                <w:sz w:val="18"/>
                <w:szCs w:val="18"/>
              </w:rPr>
              <w:t>937</w:t>
            </w:r>
          </w:p>
        </w:tc>
      </w:tr>
    </w:tbl>
    <w:p w14:paraId="454E4CE7" w14:textId="21FD8897" w:rsidR="00DF00B4" w:rsidRPr="00336C91" w:rsidRDefault="00336C91" w:rsidP="00E746A4">
      <w:pPr>
        <w:spacing w:after="0" w:line="240" w:lineRule="auto"/>
        <w:ind w:right="40"/>
        <w:jc w:val="left"/>
        <w:rPr>
          <w:rFonts w:cs="Arial"/>
          <w:sz w:val="20"/>
          <w:szCs w:val="20"/>
        </w:rPr>
      </w:pPr>
      <w:r>
        <w:rPr>
          <w:rFonts w:cs="Arial"/>
          <w:sz w:val="20"/>
          <w:szCs w:val="20"/>
        </w:rPr>
        <w:t>Empreinte</w:t>
      </w:r>
      <w:r w:rsidR="00FF5186" w:rsidRPr="00336C91">
        <w:rPr>
          <w:rFonts w:cs="Arial"/>
          <w:sz w:val="20"/>
          <w:szCs w:val="20"/>
        </w:rPr>
        <w:t xml:space="preserve"> carbone liées aux financements accordés par le CANMP </w:t>
      </w:r>
      <w:r w:rsidR="00E70DA5" w:rsidRPr="00336C91">
        <w:rPr>
          <w:rFonts w:cs="Arial"/>
          <w:sz w:val="20"/>
          <w:szCs w:val="20"/>
        </w:rPr>
        <w:t>(hors Prêts aux Particuliers) au 31/12/</w:t>
      </w:r>
      <w:r w:rsidRPr="00336C91">
        <w:rPr>
          <w:rFonts w:cs="Arial"/>
          <w:sz w:val="20"/>
          <w:szCs w:val="20"/>
        </w:rPr>
        <w:t>2021</w:t>
      </w:r>
    </w:p>
    <w:p w14:paraId="2F299ED7" w14:textId="77777777" w:rsidR="00DF00B4" w:rsidRPr="009D4CD4" w:rsidRDefault="00DF00B4" w:rsidP="00E746A4">
      <w:pPr>
        <w:spacing w:after="0" w:line="240" w:lineRule="auto"/>
        <w:ind w:right="40"/>
        <w:jc w:val="left"/>
        <w:rPr>
          <w:rFonts w:cs="Arial"/>
        </w:rPr>
      </w:pPr>
    </w:p>
    <w:p w14:paraId="2A51E94D" w14:textId="781644EC" w:rsidR="001E0652" w:rsidRDefault="001E0652" w:rsidP="00271FE5">
      <w:pPr>
        <w:autoSpaceDE w:val="0"/>
        <w:autoSpaceDN w:val="0"/>
        <w:adjustRightInd w:val="0"/>
        <w:spacing w:after="0" w:line="240" w:lineRule="auto"/>
        <w:jc w:val="left"/>
      </w:pPr>
      <w:r w:rsidRPr="001E0652">
        <w:t>Parallèlement aux émissions induites par le fonctionnement de l’entreprise, le CANMP contribue, partiellement et indirectement, par le biais des financements qu’il accorde, aux émissions de gaz à effet de serre de ses clients. Ces émissions sont d’un niveau substantiel</w:t>
      </w:r>
      <w:r>
        <w:t>.</w:t>
      </w:r>
    </w:p>
    <w:p w14:paraId="5F72B58A" w14:textId="77777777" w:rsidR="001E0652" w:rsidRDefault="001E0652" w:rsidP="00271FE5">
      <w:pPr>
        <w:autoSpaceDE w:val="0"/>
        <w:autoSpaceDN w:val="0"/>
        <w:adjustRightInd w:val="0"/>
        <w:spacing w:after="0" w:line="240" w:lineRule="auto"/>
        <w:jc w:val="left"/>
      </w:pPr>
    </w:p>
    <w:p w14:paraId="5ACA307C" w14:textId="275717E9" w:rsidR="00271FE5" w:rsidRPr="009D4CD4" w:rsidRDefault="00271FE5" w:rsidP="00271FE5">
      <w:pPr>
        <w:autoSpaceDE w:val="0"/>
        <w:autoSpaceDN w:val="0"/>
        <w:adjustRightInd w:val="0"/>
        <w:spacing w:after="0" w:line="240" w:lineRule="auto"/>
        <w:jc w:val="left"/>
      </w:pPr>
      <w:r w:rsidRPr="009D4CD4">
        <w:t xml:space="preserve">Comme cela a été vu plus haut, le Crédit Agricole Nord Midi-Pyrénées exerce sa responsabilité en mettant en place les crédits concourant à diminuer le risque climatique, afin de répondre aux besoins de l’ensemble des acteurs du territoire dans leurs projets de transition énergétique. </w:t>
      </w:r>
    </w:p>
    <w:p w14:paraId="7A35DD31" w14:textId="77777777" w:rsidR="00303619" w:rsidRPr="009D4CD4" w:rsidRDefault="00303619" w:rsidP="00303619">
      <w:pPr>
        <w:pStyle w:val="Titre4"/>
      </w:pPr>
      <w:bookmarkStart w:id="147" w:name="_Toc32416047"/>
      <w:bookmarkStart w:id="148" w:name="_Toc59444723"/>
      <w:bookmarkStart w:id="149" w:name="_Toc96698045"/>
      <w:r w:rsidRPr="009D4CD4">
        <w:t>Contribuer à la réduction globale des émissions de gaz à effet de serre</w:t>
      </w:r>
      <w:bookmarkEnd w:id="147"/>
      <w:bookmarkEnd w:id="148"/>
      <w:bookmarkEnd w:id="149"/>
    </w:p>
    <w:p w14:paraId="125630B7" w14:textId="34F91A23" w:rsidR="00303619" w:rsidRPr="009D4CD4" w:rsidRDefault="00303619" w:rsidP="00303619">
      <w:pPr>
        <w:spacing w:after="0" w:line="240" w:lineRule="auto"/>
        <w:jc w:val="left"/>
        <w:rPr>
          <w:rFonts w:asciiTheme="minorHAnsi" w:hAnsiTheme="minorHAnsi"/>
        </w:rPr>
      </w:pPr>
      <w:r w:rsidRPr="009D4CD4">
        <w:rPr>
          <w:rFonts w:asciiTheme="minorHAnsi" w:hAnsiTheme="minorHAnsi"/>
        </w:rPr>
        <w:t>En cohérence avec la mesure des émissions de gaz à effet de serre par la réalisation régulière de bilans carbone, le CANMP a décidé de contribuer à la réduction globale des émissions.  Pour cela, le CANMP a rejoint le dispositif Livelihoods dont les projets procurent des crédits-carbone sur une période de 20 ans par des actions de séquestration ou d’évitement de gaz carbonique. Une envelopp</w:t>
      </w:r>
      <w:r w:rsidR="005B6735">
        <w:rPr>
          <w:rFonts w:asciiTheme="minorHAnsi" w:hAnsiTheme="minorHAnsi"/>
        </w:rPr>
        <w:t>e de 2 M€ de fonds propres est</w:t>
      </w:r>
      <w:r w:rsidRPr="009D4CD4">
        <w:rPr>
          <w:rFonts w:asciiTheme="minorHAnsi" w:hAnsiTheme="minorHAnsi"/>
        </w:rPr>
        <w:t xml:space="preserve"> consacrée à cette opération.</w:t>
      </w:r>
    </w:p>
    <w:p w14:paraId="0F97A3E4" w14:textId="77777777" w:rsidR="00303619" w:rsidRPr="009D4CD4" w:rsidRDefault="00303619" w:rsidP="00303619">
      <w:pPr>
        <w:spacing w:after="0" w:line="240" w:lineRule="auto"/>
        <w:jc w:val="left"/>
        <w:rPr>
          <w:rFonts w:asciiTheme="minorHAnsi" w:hAnsiTheme="minorHAnsi"/>
        </w:rPr>
      </w:pPr>
      <w:r w:rsidRPr="009D4CD4">
        <w:rPr>
          <w:rFonts w:asciiTheme="minorHAnsi" w:hAnsiTheme="minorHAnsi"/>
        </w:rPr>
        <w:t xml:space="preserve">Les projets Livelihoods sont portés par des communautés locales qui en tirent d’importants bénéfices sociaux et environnementaux. Par exemple, les plantations de mangrove en Indonésie restaurent les côtes, protègent des tsunamis, permettent de réintroduire des activités piscicoles et de la biodiversité. </w:t>
      </w:r>
    </w:p>
    <w:p w14:paraId="47771946" w14:textId="77777777" w:rsidR="00303619" w:rsidRPr="009D4CD4" w:rsidRDefault="00303619" w:rsidP="00303619">
      <w:pPr>
        <w:spacing w:after="0" w:line="240" w:lineRule="auto"/>
        <w:jc w:val="left"/>
        <w:rPr>
          <w:rFonts w:cs="Arial"/>
        </w:rPr>
      </w:pPr>
    </w:p>
    <w:p w14:paraId="3F117C27" w14:textId="77777777" w:rsidR="00303619" w:rsidRPr="009D4CD4" w:rsidRDefault="00303619" w:rsidP="00303619">
      <w:pPr>
        <w:spacing w:after="0" w:line="240" w:lineRule="auto"/>
        <w:jc w:val="left"/>
        <w:rPr>
          <w:rFonts w:cs="Arial"/>
        </w:rPr>
      </w:pPr>
    </w:p>
    <w:p w14:paraId="38B0D665" w14:textId="3E9A352C" w:rsidR="00E5582E" w:rsidRPr="009D4CD4" w:rsidRDefault="00E5582E" w:rsidP="00326D6D">
      <w:pPr>
        <w:pStyle w:val="Titre3"/>
      </w:pPr>
      <w:bookmarkStart w:id="150" w:name="_Toc96698046"/>
      <w:r w:rsidRPr="009D4CD4">
        <w:t>Viser la couverture des besoins d’électricité par l’énergie photovoltaïque</w:t>
      </w:r>
      <w:bookmarkEnd w:id="150"/>
    </w:p>
    <w:p w14:paraId="731DBF8C" w14:textId="77777777" w:rsidR="009675AC" w:rsidRPr="009D4CD4" w:rsidRDefault="009675AC" w:rsidP="009675AC">
      <w:pPr>
        <w:spacing w:after="0" w:line="240" w:lineRule="auto"/>
        <w:jc w:val="left"/>
        <w:rPr>
          <w:rFonts w:cs="Arial"/>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4"/>
        <w:gridCol w:w="1134"/>
        <w:gridCol w:w="1134"/>
        <w:gridCol w:w="1134"/>
      </w:tblGrid>
      <w:tr w:rsidR="00264FF9" w:rsidRPr="009D4CD4" w14:paraId="69D159EE" w14:textId="77777777" w:rsidTr="007F7706">
        <w:trPr>
          <w:trHeight w:hRule="exact" w:val="255"/>
        </w:trPr>
        <w:tc>
          <w:tcPr>
            <w:tcW w:w="6204" w:type="dxa"/>
            <w:tcBorders>
              <w:top w:val="nil"/>
              <w:left w:val="nil"/>
              <w:bottom w:val="single" w:sz="4" w:space="0" w:color="auto"/>
              <w:right w:val="single" w:sz="4" w:space="0" w:color="auto"/>
            </w:tcBorders>
            <w:shd w:val="clear" w:color="auto" w:fill="auto"/>
          </w:tcPr>
          <w:p w14:paraId="574A5C6A" w14:textId="77777777" w:rsidR="00264FF9" w:rsidRPr="009D4CD4" w:rsidRDefault="00264FF9" w:rsidP="00264FF9">
            <w:pPr>
              <w:spacing w:after="0" w:line="240" w:lineRule="auto"/>
              <w:ind w:right="140"/>
              <w:jc w:val="left"/>
              <w:rPr>
                <w:rFonts w:eastAsia="Times New Roman" w:cs="Arial"/>
                <w:b/>
                <w:i/>
                <w:sz w:val="20"/>
                <w:szCs w:val="20"/>
              </w:rPr>
            </w:pPr>
            <w:r w:rsidRPr="009D4CD4">
              <w:rPr>
                <w:rFonts w:eastAsia="Times New Roman" w:cs="Arial"/>
                <w:b/>
                <w:i/>
                <w:sz w:val="20"/>
                <w:szCs w:val="20"/>
              </w:rPr>
              <w:t>Les chiffres – clé (en millions de kWh)</w:t>
            </w:r>
          </w:p>
          <w:p w14:paraId="5AC82067" w14:textId="77777777" w:rsidR="00264FF9" w:rsidRPr="009D4CD4" w:rsidRDefault="00264FF9" w:rsidP="00264FF9">
            <w:pPr>
              <w:spacing w:after="0" w:line="240" w:lineRule="auto"/>
              <w:ind w:right="140"/>
              <w:jc w:val="left"/>
              <w:rPr>
                <w:rFonts w:eastAsia="Times New Roman" w:cs="Arial"/>
                <w:b/>
                <w:i/>
                <w:sz w:val="20"/>
                <w:szCs w:val="20"/>
              </w:rPr>
            </w:pPr>
          </w:p>
          <w:p w14:paraId="4A8FFDB6" w14:textId="77777777" w:rsidR="00264FF9" w:rsidRPr="009D4CD4" w:rsidRDefault="00264FF9" w:rsidP="00264FF9">
            <w:pPr>
              <w:spacing w:after="0" w:line="240" w:lineRule="auto"/>
              <w:ind w:right="140"/>
              <w:jc w:val="left"/>
              <w:rPr>
                <w:rFonts w:eastAsia="Times New Roman" w:cs="Arial"/>
                <w:sz w:val="20"/>
                <w:szCs w:val="20"/>
              </w:rPr>
            </w:pPr>
          </w:p>
        </w:tc>
        <w:tc>
          <w:tcPr>
            <w:tcW w:w="1134" w:type="dxa"/>
            <w:tcBorders>
              <w:left w:val="single" w:sz="4" w:space="0" w:color="auto"/>
            </w:tcBorders>
            <w:shd w:val="clear" w:color="auto" w:fill="auto"/>
          </w:tcPr>
          <w:p w14:paraId="0B5D57D9" w14:textId="02D79385" w:rsidR="00264FF9" w:rsidRPr="009D4CD4" w:rsidRDefault="00264FF9" w:rsidP="00264FF9">
            <w:pPr>
              <w:spacing w:after="0" w:line="240" w:lineRule="auto"/>
              <w:ind w:right="140"/>
              <w:jc w:val="left"/>
              <w:rPr>
                <w:rFonts w:eastAsia="Times New Roman" w:cs="Arial"/>
                <w:b/>
                <w:sz w:val="20"/>
                <w:szCs w:val="20"/>
              </w:rPr>
            </w:pPr>
            <w:r w:rsidRPr="009D4CD4">
              <w:rPr>
                <w:rFonts w:eastAsia="Times New Roman" w:cs="Arial"/>
                <w:b/>
                <w:sz w:val="20"/>
                <w:szCs w:val="20"/>
              </w:rPr>
              <w:t>2021</w:t>
            </w:r>
          </w:p>
        </w:tc>
        <w:tc>
          <w:tcPr>
            <w:tcW w:w="1134" w:type="dxa"/>
            <w:shd w:val="clear" w:color="auto" w:fill="auto"/>
          </w:tcPr>
          <w:p w14:paraId="1DD7AE3C" w14:textId="77777777" w:rsidR="00264FF9" w:rsidRPr="009D4CD4" w:rsidRDefault="00264FF9" w:rsidP="00264FF9">
            <w:pPr>
              <w:spacing w:after="0" w:line="240" w:lineRule="auto"/>
              <w:ind w:right="140"/>
              <w:jc w:val="left"/>
              <w:rPr>
                <w:rFonts w:eastAsia="Times New Roman" w:cs="Arial"/>
                <w:b/>
                <w:sz w:val="20"/>
                <w:szCs w:val="20"/>
              </w:rPr>
            </w:pPr>
            <w:r w:rsidRPr="009D4CD4">
              <w:rPr>
                <w:rFonts w:eastAsia="Times New Roman" w:cs="Arial"/>
                <w:b/>
                <w:sz w:val="20"/>
                <w:szCs w:val="20"/>
              </w:rPr>
              <w:t>2020</w:t>
            </w:r>
          </w:p>
          <w:p w14:paraId="7170F750" w14:textId="77777777" w:rsidR="00264FF9" w:rsidRPr="009D4CD4" w:rsidRDefault="00264FF9" w:rsidP="00264FF9">
            <w:pPr>
              <w:spacing w:after="0" w:line="240" w:lineRule="auto"/>
              <w:ind w:right="140"/>
              <w:jc w:val="left"/>
              <w:rPr>
                <w:rFonts w:eastAsia="Times New Roman" w:cs="Arial"/>
                <w:b/>
                <w:sz w:val="20"/>
                <w:szCs w:val="20"/>
              </w:rPr>
            </w:pPr>
          </w:p>
        </w:tc>
        <w:tc>
          <w:tcPr>
            <w:tcW w:w="1134" w:type="dxa"/>
            <w:shd w:val="clear" w:color="auto" w:fill="auto"/>
          </w:tcPr>
          <w:p w14:paraId="28AFBBB6" w14:textId="77777777" w:rsidR="00264FF9" w:rsidRPr="009D4CD4" w:rsidRDefault="00264FF9" w:rsidP="00264FF9">
            <w:pPr>
              <w:spacing w:after="0" w:line="240" w:lineRule="auto"/>
              <w:ind w:right="140"/>
              <w:jc w:val="left"/>
              <w:rPr>
                <w:rFonts w:eastAsia="Times New Roman" w:cs="Arial"/>
                <w:b/>
                <w:sz w:val="20"/>
                <w:szCs w:val="20"/>
              </w:rPr>
            </w:pPr>
            <w:r w:rsidRPr="009D4CD4">
              <w:rPr>
                <w:rFonts w:eastAsia="Times New Roman" w:cs="Arial"/>
                <w:b/>
                <w:sz w:val="20"/>
                <w:szCs w:val="20"/>
              </w:rPr>
              <w:t>2019</w:t>
            </w:r>
          </w:p>
          <w:p w14:paraId="15CCB891" w14:textId="7643F8E1" w:rsidR="00264FF9" w:rsidRPr="009D4CD4" w:rsidRDefault="00264FF9" w:rsidP="00264FF9">
            <w:pPr>
              <w:spacing w:after="0" w:line="240" w:lineRule="auto"/>
              <w:ind w:right="140"/>
              <w:jc w:val="left"/>
              <w:rPr>
                <w:rFonts w:eastAsia="Times New Roman" w:cs="Arial"/>
                <w:b/>
                <w:sz w:val="20"/>
                <w:szCs w:val="20"/>
              </w:rPr>
            </w:pPr>
          </w:p>
        </w:tc>
      </w:tr>
      <w:tr w:rsidR="00264FF9" w:rsidRPr="009D4CD4" w14:paraId="42958A7C" w14:textId="77777777" w:rsidTr="007F7706">
        <w:trPr>
          <w:trHeight w:hRule="exact" w:val="255"/>
        </w:trPr>
        <w:tc>
          <w:tcPr>
            <w:tcW w:w="6204" w:type="dxa"/>
            <w:tcBorders>
              <w:top w:val="single" w:sz="4" w:space="0" w:color="auto"/>
              <w:bottom w:val="single" w:sz="4" w:space="0" w:color="auto"/>
            </w:tcBorders>
            <w:shd w:val="clear" w:color="auto" w:fill="auto"/>
          </w:tcPr>
          <w:p w14:paraId="1F73F5B3" w14:textId="77777777" w:rsidR="00264FF9" w:rsidRPr="009D4CD4" w:rsidRDefault="00264FF9" w:rsidP="00264FF9">
            <w:pPr>
              <w:spacing w:after="0" w:line="240" w:lineRule="auto"/>
              <w:ind w:right="140"/>
              <w:jc w:val="left"/>
              <w:rPr>
                <w:rFonts w:eastAsia="Times New Roman" w:cs="Arial"/>
                <w:sz w:val="20"/>
                <w:szCs w:val="20"/>
              </w:rPr>
            </w:pPr>
            <w:r w:rsidRPr="009D4CD4">
              <w:rPr>
                <w:rFonts w:eastAsia="Times New Roman" w:cs="Arial"/>
                <w:sz w:val="20"/>
                <w:szCs w:val="20"/>
                <w:lang w:eastAsia="fr-FR"/>
              </w:rPr>
              <w:t xml:space="preserve">Electricité  consommée </w:t>
            </w:r>
          </w:p>
        </w:tc>
        <w:tc>
          <w:tcPr>
            <w:tcW w:w="1134" w:type="dxa"/>
            <w:shd w:val="clear" w:color="auto" w:fill="auto"/>
          </w:tcPr>
          <w:p w14:paraId="3EA59FA1" w14:textId="3089C3C6" w:rsidR="00264FF9" w:rsidRPr="009D4CD4" w:rsidRDefault="003051E2" w:rsidP="003051E2">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8,20</w:t>
            </w:r>
          </w:p>
        </w:tc>
        <w:tc>
          <w:tcPr>
            <w:tcW w:w="1134" w:type="dxa"/>
            <w:shd w:val="clear" w:color="auto" w:fill="auto"/>
          </w:tcPr>
          <w:p w14:paraId="72E9C7E4" w14:textId="1FF1EF7E" w:rsidR="00264FF9" w:rsidRPr="009D4CD4" w:rsidRDefault="00264FF9"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8,06</w:t>
            </w:r>
          </w:p>
        </w:tc>
        <w:tc>
          <w:tcPr>
            <w:tcW w:w="1134" w:type="dxa"/>
            <w:shd w:val="clear" w:color="auto" w:fill="auto"/>
          </w:tcPr>
          <w:p w14:paraId="0DA65EF5" w14:textId="28D03407" w:rsidR="00264FF9" w:rsidRPr="009D4CD4" w:rsidRDefault="00264FF9"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8,52</w:t>
            </w:r>
          </w:p>
        </w:tc>
      </w:tr>
      <w:tr w:rsidR="00264FF9" w:rsidRPr="009D4CD4" w14:paraId="14D88C41" w14:textId="77777777" w:rsidTr="00C60F4F">
        <w:trPr>
          <w:trHeight w:hRule="exact" w:val="255"/>
        </w:trPr>
        <w:tc>
          <w:tcPr>
            <w:tcW w:w="6204" w:type="dxa"/>
            <w:tcBorders>
              <w:top w:val="single" w:sz="4" w:space="0" w:color="auto"/>
              <w:bottom w:val="single" w:sz="4" w:space="0" w:color="auto"/>
            </w:tcBorders>
            <w:shd w:val="clear" w:color="auto" w:fill="auto"/>
          </w:tcPr>
          <w:p w14:paraId="7DEE9AB3" w14:textId="77777777" w:rsidR="00264FF9" w:rsidRPr="009D4CD4" w:rsidRDefault="00264FF9"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Electricité photovoltaïque produite directement par le CANMP</w:t>
            </w:r>
          </w:p>
        </w:tc>
        <w:tc>
          <w:tcPr>
            <w:tcW w:w="1134" w:type="dxa"/>
            <w:shd w:val="clear" w:color="auto" w:fill="auto"/>
          </w:tcPr>
          <w:p w14:paraId="45B1B532" w14:textId="1725871F" w:rsidR="00264FF9" w:rsidRPr="009D4CD4" w:rsidRDefault="003051E2" w:rsidP="003051E2">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0,24</w:t>
            </w:r>
          </w:p>
        </w:tc>
        <w:tc>
          <w:tcPr>
            <w:tcW w:w="1134" w:type="dxa"/>
            <w:shd w:val="clear" w:color="auto" w:fill="auto"/>
          </w:tcPr>
          <w:p w14:paraId="4D8115DB" w14:textId="0AAABFFD" w:rsidR="00264FF9" w:rsidRPr="009D4CD4" w:rsidRDefault="00264FF9"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0,19</w:t>
            </w:r>
          </w:p>
        </w:tc>
        <w:tc>
          <w:tcPr>
            <w:tcW w:w="1134" w:type="dxa"/>
            <w:shd w:val="clear" w:color="auto" w:fill="auto"/>
          </w:tcPr>
          <w:p w14:paraId="6C305277" w14:textId="6EEE327F" w:rsidR="00264FF9" w:rsidRPr="009D4CD4" w:rsidRDefault="00264FF9"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0,16</w:t>
            </w:r>
          </w:p>
        </w:tc>
      </w:tr>
      <w:tr w:rsidR="003051E2" w:rsidRPr="009D4CD4" w14:paraId="0B1EA8C9" w14:textId="77777777" w:rsidTr="00C60F4F">
        <w:trPr>
          <w:trHeight w:hRule="exact" w:val="255"/>
        </w:trPr>
        <w:tc>
          <w:tcPr>
            <w:tcW w:w="6204" w:type="dxa"/>
            <w:tcBorders>
              <w:top w:val="single" w:sz="4" w:space="0" w:color="auto"/>
              <w:bottom w:val="single" w:sz="4" w:space="0" w:color="auto"/>
            </w:tcBorders>
            <w:shd w:val="clear" w:color="auto" w:fill="auto"/>
          </w:tcPr>
          <w:p w14:paraId="62AC198F" w14:textId="2F44106C" w:rsidR="003051E2" w:rsidRPr="009D4CD4" w:rsidRDefault="003051E2"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Electricité photovoltaïque produite / électricité consommée</w:t>
            </w:r>
          </w:p>
        </w:tc>
        <w:tc>
          <w:tcPr>
            <w:tcW w:w="1134" w:type="dxa"/>
            <w:shd w:val="clear" w:color="auto" w:fill="auto"/>
          </w:tcPr>
          <w:p w14:paraId="7F5D5BD0" w14:textId="1EDE8D5E" w:rsidR="003051E2" w:rsidRPr="009D4CD4" w:rsidRDefault="003051E2"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2,9 %</w:t>
            </w:r>
          </w:p>
        </w:tc>
        <w:tc>
          <w:tcPr>
            <w:tcW w:w="1134" w:type="dxa"/>
            <w:shd w:val="clear" w:color="auto" w:fill="auto"/>
          </w:tcPr>
          <w:p w14:paraId="3B9824BD" w14:textId="29FD80CC" w:rsidR="003051E2" w:rsidRPr="009D4CD4" w:rsidRDefault="003051E2"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2,4%</w:t>
            </w:r>
          </w:p>
        </w:tc>
        <w:tc>
          <w:tcPr>
            <w:tcW w:w="1134" w:type="dxa"/>
            <w:shd w:val="clear" w:color="auto" w:fill="auto"/>
          </w:tcPr>
          <w:p w14:paraId="56C628F8" w14:textId="1ADE4BBF" w:rsidR="003051E2" w:rsidRPr="009D4CD4" w:rsidRDefault="003051E2" w:rsidP="00264FF9">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1,9%</w:t>
            </w:r>
          </w:p>
        </w:tc>
      </w:tr>
    </w:tbl>
    <w:p w14:paraId="5289582D" w14:textId="1D761BDD" w:rsidR="009675AC" w:rsidRPr="009D4CD4" w:rsidRDefault="009675AC" w:rsidP="009675AC">
      <w:pPr>
        <w:spacing w:after="0" w:line="240" w:lineRule="auto"/>
        <w:jc w:val="left"/>
        <w:rPr>
          <w:rFonts w:cs="Arial"/>
        </w:rPr>
      </w:pPr>
    </w:p>
    <w:p w14:paraId="18A8B8EC" w14:textId="4720A769" w:rsidR="00477E77" w:rsidRPr="009D4CD4" w:rsidRDefault="00477E77" w:rsidP="00F61A72">
      <w:pPr>
        <w:spacing w:after="0" w:line="240" w:lineRule="auto"/>
        <w:jc w:val="left"/>
        <w:rPr>
          <w:rFonts w:cs="Arial"/>
        </w:rPr>
      </w:pPr>
      <w:r w:rsidRPr="009D4CD4">
        <w:rPr>
          <w:rFonts w:cs="Arial"/>
        </w:rPr>
        <w:t>Pour réussir sa transition énergétique, le CANMP est engagé dans des actions</w:t>
      </w:r>
      <w:r w:rsidR="00F61A72" w:rsidRPr="009D4CD4">
        <w:rPr>
          <w:rFonts w:cs="Arial"/>
        </w:rPr>
        <w:t xml:space="preserve"> de réduction des consommations (voir chapitre S’engager dans une politique climat »). Le second engagement porte sur la production d’énergie renouvelable : l’ambition est de produire l’équivalent de la consommation électrique sous forme photovoltaïque.</w:t>
      </w:r>
    </w:p>
    <w:p w14:paraId="396A46C0" w14:textId="77777777" w:rsidR="009B16FA" w:rsidRPr="009D4CD4" w:rsidRDefault="009B16FA" w:rsidP="009B16FA">
      <w:pPr>
        <w:spacing w:after="0" w:line="240" w:lineRule="auto"/>
        <w:jc w:val="left"/>
      </w:pPr>
    </w:p>
    <w:p w14:paraId="3D291322" w14:textId="5EE421AB" w:rsidR="009B16FA" w:rsidRPr="009D4CD4" w:rsidRDefault="00F61A72" w:rsidP="009B16FA">
      <w:pPr>
        <w:spacing w:after="0" w:line="240" w:lineRule="auto"/>
        <w:jc w:val="left"/>
        <w:rPr>
          <w:rFonts w:cs="Arial"/>
        </w:rPr>
      </w:pPr>
      <w:r w:rsidRPr="009D4CD4">
        <w:t>Pour cela, l</w:t>
      </w:r>
      <w:r w:rsidR="009B16FA" w:rsidRPr="009D4CD4">
        <w:t>es agences sont équipées de panneaux photovoltaïques</w:t>
      </w:r>
      <w:r w:rsidR="008E5858" w:rsidRPr="009D4CD4">
        <w:t xml:space="preserve"> quand la situation le permet : ensoleillement favorable ; contraintes techniques ou administratives levées etc</w:t>
      </w:r>
      <w:r w:rsidR="009B16FA" w:rsidRPr="009D4CD4">
        <w:t xml:space="preserve">. </w:t>
      </w:r>
      <w:r w:rsidR="00C60F4F" w:rsidRPr="009D4CD4">
        <w:t>L</w:t>
      </w:r>
      <w:r w:rsidR="009B16FA" w:rsidRPr="009D4CD4">
        <w:rPr>
          <w:rFonts w:cs="Arial"/>
        </w:rPr>
        <w:t>es nouvelles constructions sont équipées de panneaux et une étude est menée pour tous les autres bâtiments. En 20</w:t>
      </w:r>
      <w:r w:rsidR="00C60F4F" w:rsidRPr="009D4CD4">
        <w:rPr>
          <w:rFonts w:cs="Arial"/>
        </w:rPr>
        <w:t>20,</w:t>
      </w:r>
      <w:r w:rsidR="009B16FA" w:rsidRPr="009D4CD4">
        <w:rPr>
          <w:rFonts w:cs="Arial"/>
        </w:rPr>
        <w:t xml:space="preserve"> des installations photovoltaïques ont été mises en service dans les agences de Bressols (82), Limogne (46), Montbeton (82</w:t>
      </w:r>
      <w:r w:rsidR="005F5BBF" w:rsidRPr="009D4CD4">
        <w:rPr>
          <w:rFonts w:cs="Arial"/>
        </w:rPr>
        <w:t xml:space="preserve">), Albias (82), </w:t>
      </w:r>
      <w:r w:rsidR="0018214F" w:rsidRPr="009D4CD4">
        <w:rPr>
          <w:rFonts w:cs="Arial"/>
        </w:rPr>
        <w:t>Cahors Terre Rouge</w:t>
      </w:r>
      <w:r w:rsidR="005F5BBF" w:rsidRPr="009D4CD4">
        <w:rPr>
          <w:rFonts w:cs="Arial"/>
        </w:rPr>
        <w:t xml:space="preserve"> (46). </w:t>
      </w:r>
      <w:r w:rsidR="009B16FA" w:rsidRPr="009D4CD4">
        <w:rPr>
          <w:rFonts w:cs="Arial"/>
        </w:rPr>
        <w:t>Dans le cadre du « Décret Tertiaire », des études complémentaires seront menées en 2021 pour identifier d’autres sites à équiper.</w:t>
      </w:r>
    </w:p>
    <w:p w14:paraId="70EC86EB" w14:textId="77777777" w:rsidR="00F61A72" w:rsidRPr="009D4CD4" w:rsidRDefault="00F61A72" w:rsidP="009B16FA">
      <w:pPr>
        <w:spacing w:after="0" w:line="240" w:lineRule="auto"/>
        <w:jc w:val="left"/>
        <w:rPr>
          <w:rFonts w:cs="Arial"/>
        </w:rPr>
      </w:pPr>
    </w:p>
    <w:p w14:paraId="6BCFE1F4" w14:textId="463BD6BA" w:rsidR="00E5582E" w:rsidRPr="009D4CD4" w:rsidRDefault="009B16FA" w:rsidP="00B72A61">
      <w:pPr>
        <w:spacing w:after="0" w:line="240" w:lineRule="auto"/>
        <w:jc w:val="left"/>
      </w:pPr>
      <w:r w:rsidRPr="009D4CD4">
        <w:t xml:space="preserve">Pour </w:t>
      </w:r>
      <w:r w:rsidR="00F61A72" w:rsidRPr="009D4CD4">
        <w:t xml:space="preserve">compléter la production, la </w:t>
      </w:r>
      <w:r w:rsidR="00A7717F">
        <w:t>Caisse Régionale</w:t>
      </w:r>
      <w:r w:rsidR="00F61A72" w:rsidRPr="009D4CD4">
        <w:t xml:space="preserve"> a créé une filiale détenue à 100% : la SAS </w:t>
      </w:r>
      <w:r w:rsidR="005B6735">
        <w:t xml:space="preserve">NMP </w:t>
      </w:r>
      <w:r w:rsidR="00F61A72" w:rsidRPr="009D4CD4">
        <w:t>Energies destinée à porter l’activité de product</w:t>
      </w:r>
      <w:r w:rsidR="00CC3251" w:rsidRPr="009D4CD4">
        <w:t xml:space="preserve">ion d’énergies renouvelables. </w:t>
      </w:r>
      <w:r w:rsidR="00F61A72" w:rsidRPr="009D4CD4">
        <w:t>Un</w:t>
      </w:r>
      <w:r w:rsidRPr="009D4CD4">
        <w:t xml:space="preserve"> partenariat a été noué avec l’opérateur photovoltaïque APEX. Ensemble</w:t>
      </w:r>
      <w:r w:rsidR="005B6735">
        <w:t>s</w:t>
      </w:r>
      <w:r w:rsidRPr="009D4CD4">
        <w:t>, les 2 partenaires ont répondu à un appel à manifestation d’intérêt de l’aéroport de Rodez</w:t>
      </w:r>
      <w:r w:rsidR="00C60F4F" w:rsidRPr="009D4CD4">
        <w:t xml:space="preserve"> pour y installer une centrale de 5 MWc</w:t>
      </w:r>
      <w:r w:rsidR="00F61A72" w:rsidRPr="009D4CD4">
        <w:t xml:space="preserve"> le long de la piste</w:t>
      </w:r>
      <w:r w:rsidR="00C60F4F" w:rsidRPr="009D4CD4">
        <w:t>. L’offre a ét</w:t>
      </w:r>
      <w:r w:rsidR="00F61A72" w:rsidRPr="009D4CD4">
        <w:t>é lauréate de l’appel fin 2020. En 2021, une convention a été signée avec le maître d’ouvrage propriétaire de l’aéroport et l</w:t>
      </w:r>
      <w:r w:rsidR="00C60F4F" w:rsidRPr="009D4CD4">
        <w:t xml:space="preserve">es études </w:t>
      </w:r>
      <w:r w:rsidR="00F61A72" w:rsidRPr="009D4CD4">
        <w:t>lancées pour préparer le dossier d’autorisation.</w:t>
      </w:r>
    </w:p>
    <w:p w14:paraId="211C4F58" w14:textId="77777777" w:rsidR="00E5582E" w:rsidRPr="009D4CD4" w:rsidRDefault="00E5582E" w:rsidP="00B72A61">
      <w:pPr>
        <w:spacing w:after="0" w:line="240" w:lineRule="auto"/>
        <w:jc w:val="left"/>
      </w:pPr>
    </w:p>
    <w:p w14:paraId="11D02EC5" w14:textId="62636258" w:rsidR="00E5582E" w:rsidRPr="00683C3A" w:rsidRDefault="00C60F4F" w:rsidP="00B72A61">
      <w:pPr>
        <w:spacing w:after="0" w:line="240" w:lineRule="auto"/>
        <w:jc w:val="left"/>
        <w:rPr>
          <w:rFonts w:cs="Arial"/>
          <w:i/>
        </w:rPr>
      </w:pPr>
      <w:r w:rsidRPr="009D4CD4">
        <w:rPr>
          <w:rFonts w:cs="Arial"/>
        </w:rPr>
        <w:t xml:space="preserve">Parallèlement, </w:t>
      </w:r>
      <w:r w:rsidR="00E5582E" w:rsidRPr="009D4CD4">
        <w:rPr>
          <w:rFonts w:cs="Arial"/>
        </w:rPr>
        <w:t xml:space="preserve">la </w:t>
      </w:r>
      <w:r w:rsidR="00A7717F">
        <w:rPr>
          <w:rFonts w:cs="Arial"/>
        </w:rPr>
        <w:t>Caisse Régionale</w:t>
      </w:r>
      <w:r w:rsidR="00E5582E" w:rsidRPr="009D4CD4">
        <w:rPr>
          <w:rFonts w:cs="Arial"/>
        </w:rPr>
        <w:t xml:space="preserve"> a signé avec EDF le contrat « Equilibre » </w:t>
      </w:r>
      <w:r w:rsidR="00F27769">
        <w:rPr>
          <w:rFonts w:cs="Arial"/>
        </w:rPr>
        <w:t xml:space="preserve">sur les sites les plus importants du parc. </w:t>
      </w:r>
      <w:r w:rsidR="00755D72">
        <w:rPr>
          <w:rFonts w:cs="Arial"/>
        </w:rPr>
        <w:t xml:space="preserve"> Ce contrat garantit </w:t>
      </w:r>
      <w:r w:rsidR="00E5582E" w:rsidRPr="009D4CD4">
        <w:rPr>
          <w:rFonts w:cs="Tms Rmn"/>
          <w:lang w:eastAsia="fr-FR"/>
        </w:rPr>
        <w:t xml:space="preserve">l’injection </w:t>
      </w:r>
      <w:r w:rsidR="00755D72">
        <w:rPr>
          <w:rFonts w:cs="Tms Rmn"/>
          <w:lang w:eastAsia="fr-FR"/>
        </w:rPr>
        <w:t xml:space="preserve">par EDF, </w:t>
      </w:r>
      <w:r w:rsidR="00E5582E" w:rsidRPr="009D4CD4">
        <w:rPr>
          <w:rFonts w:cs="Tms Rmn"/>
          <w:lang w:eastAsia="fr-FR"/>
        </w:rPr>
        <w:t>dans le réseau</w:t>
      </w:r>
      <w:r w:rsidR="00755D72">
        <w:rPr>
          <w:rFonts w:cs="Tms Rmn"/>
          <w:lang w:eastAsia="fr-FR"/>
        </w:rPr>
        <w:t>,</w:t>
      </w:r>
      <w:r w:rsidR="00E5582E" w:rsidRPr="009D4CD4">
        <w:rPr>
          <w:rFonts w:cs="Tms Rmn"/>
          <w:lang w:eastAsia="fr-FR"/>
        </w:rPr>
        <w:t xml:space="preserve"> d’une quantité d'électricité issue de sources d'énergies renouvelables équivalente au volume d’</w:t>
      </w:r>
      <w:r w:rsidRPr="009D4CD4">
        <w:rPr>
          <w:rFonts w:cs="Tms Rmn"/>
          <w:lang w:eastAsia="fr-FR"/>
        </w:rPr>
        <w:t>électricité consommé</w:t>
      </w:r>
      <w:r w:rsidR="00F27769">
        <w:rPr>
          <w:rFonts w:cs="Tms Rmn"/>
          <w:lang w:eastAsia="fr-FR"/>
        </w:rPr>
        <w:t>.</w:t>
      </w:r>
      <w:r w:rsidR="00E5582E" w:rsidRPr="009D4CD4">
        <w:rPr>
          <w:rFonts w:cs="Tms Rmn"/>
          <w:lang w:eastAsia="fr-FR"/>
        </w:rPr>
        <w:t xml:space="preserve"> L’objectif est donc de favoriser la production d’énergie renouvelable et de participer ainsi à la transition énergétique. </w:t>
      </w:r>
      <w:r w:rsidR="00F61A72" w:rsidRPr="009D4CD4">
        <w:rPr>
          <w:rFonts w:cs="Tms Rmn"/>
          <w:lang w:eastAsia="fr-FR"/>
        </w:rPr>
        <w:t>En 2021</w:t>
      </w:r>
      <w:r w:rsidR="005B6735">
        <w:rPr>
          <w:rFonts w:cs="Tms Rmn"/>
          <w:lang w:eastAsia="fr-FR"/>
        </w:rPr>
        <w:t>, l</w:t>
      </w:r>
      <w:r w:rsidR="00E5582E" w:rsidRPr="009D4CD4">
        <w:rPr>
          <w:rFonts w:cs="Tms Rmn"/>
          <w:lang w:eastAsia="fr-FR"/>
        </w:rPr>
        <w:t xml:space="preserve">e contrat </w:t>
      </w:r>
      <w:r w:rsidRPr="009D4CD4">
        <w:rPr>
          <w:rFonts w:cs="Tms Rmn"/>
          <w:lang w:eastAsia="fr-FR"/>
        </w:rPr>
        <w:t xml:space="preserve">a porté sur un volume de </w:t>
      </w:r>
      <w:r w:rsidR="003156B2" w:rsidRPr="009D4CD4">
        <w:rPr>
          <w:rFonts w:cs="Tms Rmn"/>
          <w:lang w:eastAsia="fr-FR"/>
        </w:rPr>
        <w:t>7,1 M</w:t>
      </w:r>
      <w:r w:rsidR="008E5858" w:rsidRPr="009D4CD4">
        <w:rPr>
          <w:rFonts w:cs="Tms Rmn"/>
          <w:lang w:eastAsia="fr-FR"/>
        </w:rPr>
        <w:t xml:space="preserve">illions </w:t>
      </w:r>
      <w:r w:rsidRPr="009D4CD4">
        <w:rPr>
          <w:rFonts w:cs="Tms Rmn"/>
          <w:lang w:eastAsia="fr-FR"/>
        </w:rPr>
        <w:t>kWh.</w:t>
      </w:r>
    </w:p>
    <w:p w14:paraId="7A9EE79F" w14:textId="77777777" w:rsidR="00E5582E" w:rsidRPr="009D4CD4" w:rsidRDefault="00E5582E" w:rsidP="00B72A61">
      <w:pPr>
        <w:spacing w:after="0" w:line="240" w:lineRule="auto"/>
        <w:jc w:val="left"/>
      </w:pPr>
    </w:p>
    <w:p w14:paraId="0AE05EB2" w14:textId="77777777" w:rsidR="00303619" w:rsidRPr="009D4CD4" w:rsidRDefault="00303619" w:rsidP="00326D6D">
      <w:pPr>
        <w:pStyle w:val="Titre3"/>
      </w:pPr>
      <w:bookmarkStart w:id="151" w:name="_Toc32416048"/>
      <w:bookmarkStart w:id="152" w:name="_Toc59444724"/>
      <w:bookmarkStart w:id="153" w:name="_Toc32416044"/>
      <w:bookmarkStart w:id="154" w:name="_Toc59444720"/>
      <w:bookmarkStart w:id="155" w:name="_Toc96698047"/>
      <w:r w:rsidRPr="009D4CD4">
        <w:t>Favoriser la plantation d’arbres</w:t>
      </w:r>
      <w:bookmarkEnd w:id="151"/>
      <w:bookmarkEnd w:id="152"/>
      <w:bookmarkEnd w:id="155"/>
    </w:p>
    <w:p w14:paraId="5C9D9BDE" w14:textId="77777777" w:rsidR="00303619" w:rsidRPr="009D4CD4" w:rsidRDefault="00303619" w:rsidP="00303619">
      <w:pPr>
        <w:spacing w:after="0" w:line="240" w:lineRule="auto"/>
        <w:jc w:val="left"/>
        <w:rPr>
          <w:rFonts w:cs="Arial"/>
          <w:color w:val="FF0000"/>
        </w:rPr>
      </w:pPr>
    </w:p>
    <w:p w14:paraId="25717F3F" w14:textId="61CBA09B" w:rsidR="00303619" w:rsidRPr="009D4CD4" w:rsidRDefault="00303619" w:rsidP="00303619">
      <w:pPr>
        <w:spacing w:after="0" w:line="240" w:lineRule="auto"/>
        <w:jc w:val="left"/>
        <w:rPr>
          <w:rFonts w:asciiTheme="minorHAnsi" w:hAnsiTheme="minorHAnsi"/>
        </w:rPr>
      </w:pPr>
      <w:r w:rsidRPr="009D4CD4">
        <w:rPr>
          <w:rFonts w:asciiTheme="minorHAnsi" w:hAnsiTheme="minorHAnsi"/>
        </w:rPr>
        <w:t>Parallèlement au dispositif Livelihoods, le CANMP a décidé d’accompagner des projets de plantation d’arbres ou de haie</w:t>
      </w:r>
      <w:r w:rsidR="005B6735">
        <w:rPr>
          <w:rFonts w:asciiTheme="minorHAnsi" w:hAnsiTheme="minorHAnsi"/>
        </w:rPr>
        <w:t>s</w:t>
      </w:r>
      <w:r w:rsidRPr="009D4CD4">
        <w:rPr>
          <w:rFonts w:asciiTheme="minorHAnsi" w:hAnsiTheme="minorHAnsi"/>
        </w:rPr>
        <w:t xml:space="preserve"> champêtres sur le territoire de NMP en raison des nombreux co-bénéfices de ces plantations : agro-foresterie, biodiversité ; réduction des ilots de chaleur en ville etc.  Un projet est co-construit avec des associations de plantation départementales pour promouvoir la réintroduction des arbres champêtres dans le Ségala. Les résultats sont attendus pour 2022</w:t>
      </w:r>
      <w:r w:rsidR="005B6735">
        <w:rPr>
          <w:rFonts w:asciiTheme="minorHAnsi" w:hAnsiTheme="minorHAnsi"/>
        </w:rPr>
        <w:t>.</w:t>
      </w:r>
    </w:p>
    <w:p w14:paraId="0E2B676F" w14:textId="77777777" w:rsidR="00303619" w:rsidRPr="009D4CD4" w:rsidRDefault="00303619" w:rsidP="00303619">
      <w:pPr>
        <w:spacing w:after="0" w:line="240" w:lineRule="auto"/>
        <w:jc w:val="left"/>
        <w:rPr>
          <w:rFonts w:asciiTheme="minorHAnsi" w:hAnsiTheme="minorHAnsi"/>
        </w:rPr>
      </w:pPr>
    </w:p>
    <w:p w14:paraId="1E035F34" w14:textId="77777777" w:rsidR="00303619" w:rsidRPr="009D4CD4" w:rsidRDefault="00303619" w:rsidP="00303619">
      <w:pPr>
        <w:spacing w:after="0" w:line="240" w:lineRule="auto"/>
        <w:jc w:val="left"/>
        <w:rPr>
          <w:rFonts w:cs="Arial"/>
          <w:bCs/>
        </w:rPr>
      </w:pPr>
      <w:r w:rsidRPr="009D4CD4">
        <w:rPr>
          <w:rFonts w:cs="Arial"/>
          <w:bCs/>
        </w:rPr>
        <w:t>Par ailleurs, le CANMP s’est associé à une opération nationale visant à proposer aux clients souscrivant certains contrats de prévoyance de planter gratuitement un arbre. Les contrats sont éligibles à la gamme</w:t>
      </w:r>
      <w:r w:rsidRPr="009D4CD4">
        <w:t xml:space="preserve"> prévoyance Décès. D’autres contrats comme le Contrat Solidaire (Assurance vie</w:t>
      </w:r>
      <w:r w:rsidRPr="009D4CD4">
        <w:rPr>
          <w:rFonts w:cs="Arial"/>
          <w:bCs/>
        </w:rPr>
        <w:t xml:space="preserve">) sont concernés. Le client choisit en ligne le lieu où il souhaite planter son arbre pour participer au reboisement d’une forêt. Il reçoit un certificat de plantation personnalisé. </w:t>
      </w:r>
    </w:p>
    <w:p w14:paraId="02680E8F" w14:textId="77777777" w:rsidR="00303619" w:rsidRPr="009D4CD4" w:rsidRDefault="00303619" w:rsidP="00303619">
      <w:pPr>
        <w:spacing w:after="0" w:line="240" w:lineRule="auto"/>
        <w:jc w:val="left"/>
        <w:rPr>
          <w:rFonts w:cs="Arial"/>
        </w:rPr>
      </w:pPr>
      <w:r w:rsidRPr="009D4CD4">
        <w:rPr>
          <w:rFonts w:cs="Arial"/>
          <w:bCs/>
        </w:rPr>
        <w:t>Pour animer l’opération, des</w:t>
      </w:r>
      <w:r w:rsidRPr="009D4CD4">
        <w:rPr>
          <w:rFonts w:cs="Arial"/>
        </w:rPr>
        <w:t xml:space="preserve"> jeux pédagogiques ont été créés pour les clients et pour les salariés.  </w:t>
      </w:r>
    </w:p>
    <w:p w14:paraId="2E0AD270" w14:textId="11D91537" w:rsidR="00303619" w:rsidRPr="009D4CD4" w:rsidRDefault="00303619" w:rsidP="00303619">
      <w:pPr>
        <w:spacing w:after="0" w:line="240" w:lineRule="auto"/>
        <w:jc w:val="left"/>
        <w:rPr>
          <w:rFonts w:cs="Arial"/>
        </w:rPr>
      </w:pPr>
      <w:r w:rsidRPr="009D4CD4">
        <w:rPr>
          <w:rFonts w:cs="Arial"/>
        </w:rPr>
        <w:t xml:space="preserve">Fin </w:t>
      </w:r>
      <w:r w:rsidR="003E1469" w:rsidRPr="009D4CD4">
        <w:rPr>
          <w:rFonts w:cs="Arial"/>
        </w:rPr>
        <w:t>2021, 35 512</w:t>
      </w:r>
      <w:r w:rsidRPr="009D4CD4">
        <w:rPr>
          <w:rFonts w:cs="Arial"/>
        </w:rPr>
        <w:t xml:space="preserve"> arbres ont été plantés depuis</w:t>
      </w:r>
      <w:r w:rsidR="00683C3A">
        <w:rPr>
          <w:rFonts w:cs="Arial"/>
        </w:rPr>
        <w:t xml:space="preserve"> le début du programme en 2019.</w:t>
      </w:r>
    </w:p>
    <w:p w14:paraId="49493D25" w14:textId="77777777" w:rsidR="00303619" w:rsidRPr="009D4CD4" w:rsidRDefault="00303619" w:rsidP="00303619">
      <w:pPr>
        <w:spacing w:after="0" w:line="240" w:lineRule="auto"/>
        <w:jc w:val="left"/>
        <w:rPr>
          <w:rFonts w:cs="Arial"/>
        </w:rPr>
      </w:pPr>
    </w:p>
    <w:p w14:paraId="3D28B779" w14:textId="57539E05" w:rsidR="00B72A61" w:rsidRPr="009D4CD4" w:rsidRDefault="00B72A61" w:rsidP="00326D6D">
      <w:pPr>
        <w:pStyle w:val="Titre3"/>
      </w:pPr>
      <w:bookmarkStart w:id="156" w:name="_Toc96095154"/>
      <w:bookmarkStart w:id="157" w:name="_Toc96095332"/>
      <w:bookmarkStart w:id="158" w:name="_Toc96698048"/>
      <w:bookmarkEnd w:id="156"/>
      <w:bookmarkEnd w:id="157"/>
      <w:r w:rsidRPr="009D4CD4">
        <w:t>Réduire l’impact environnemental des ressources utilisées</w:t>
      </w:r>
      <w:bookmarkEnd w:id="153"/>
      <w:bookmarkEnd w:id="154"/>
      <w:bookmarkEnd w:id="158"/>
    </w:p>
    <w:p w14:paraId="5E136869" w14:textId="77777777" w:rsidR="00B72A61" w:rsidRPr="009D4CD4" w:rsidRDefault="00B72A61" w:rsidP="00B72A61">
      <w:pPr>
        <w:spacing w:after="0" w:line="240" w:lineRule="auto"/>
        <w:jc w:val="left"/>
      </w:pPr>
    </w:p>
    <w:p w14:paraId="7B360409" w14:textId="2964E453" w:rsidR="00B72A61" w:rsidRPr="009D4CD4" w:rsidRDefault="00B72A61" w:rsidP="00B72A61">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6245C6A7" w14:textId="27373DA7" w:rsidR="00B72A61" w:rsidRPr="009D4CD4" w:rsidRDefault="00B72A61" w:rsidP="00326D6D">
      <w:pPr>
        <w:pStyle w:val="Titre4"/>
      </w:pPr>
      <w:bookmarkStart w:id="159" w:name="_Toc96698049"/>
      <w:r w:rsidRPr="009D4CD4">
        <w:t>La consommation d’eau</w:t>
      </w:r>
      <w:bookmarkEnd w:id="159"/>
      <w:r w:rsidRPr="009D4CD4">
        <w:t xml:space="preserve"> </w:t>
      </w:r>
    </w:p>
    <w:p w14:paraId="29E2D866" w14:textId="77777777" w:rsidR="00B72A61" w:rsidRPr="009D4CD4" w:rsidRDefault="00B72A61" w:rsidP="00B72A61">
      <w:pPr>
        <w:spacing w:after="0" w:line="240" w:lineRule="auto"/>
        <w:jc w:val="left"/>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8"/>
        <w:gridCol w:w="1077"/>
        <w:gridCol w:w="1092"/>
        <w:gridCol w:w="1050"/>
      </w:tblGrid>
      <w:tr w:rsidR="00264FF9" w:rsidRPr="009D4CD4" w14:paraId="555984E5" w14:textId="77777777" w:rsidTr="00523615">
        <w:trPr>
          <w:trHeight w:hRule="exact" w:val="284"/>
        </w:trPr>
        <w:tc>
          <w:tcPr>
            <w:tcW w:w="4728" w:type="dxa"/>
            <w:tcBorders>
              <w:top w:val="nil"/>
              <w:left w:val="nil"/>
              <w:bottom w:val="single" w:sz="4" w:space="0" w:color="auto"/>
              <w:right w:val="single" w:sz="4" w:space="0" w:color="auto"/>
            </w:tcBorders>
            <w:shd w:val="clear" w:color="auto" w:fill="auto"/>
          </w:tcPr>
          <w:p w14:paraId="7E9491D3" w14:textId="77777777" w:rsidR="00264FF9" w:rsidRPr="009D4CD4" w:rsidRDefault="00264FF9" w:rsidP="00264FF9">
            <w:pPr>
              <w:spacing w:after="0" w:line="240" w:lineRule="auto"/>
              <w:ind w:right="140"/>
              <w:jc w:val="left"/>
              <w:rPr>
                <w:rFonts w:eastAsia="Times New Roman" w:cs="Arial"/>
                <w:sz w:val="20"/>
                <w:szCs w:val="20"/>
              </w:rPr>
            </w:pPr>
            <w:r w:rsidRPr="009D4CD4">
              <w:rPr>
                <w:rFonts w:eastAsia="Times New Roman" w:cs="Arial"/>
                <w:b/>
                <w:i/>
                <w:sz w:val="20"/>
                <w:szCs w:val="20"/>
              </w:rPr>
              <w:t>Les chiffres – clé</w:t>
            </w:r>
          </w:p>
        </w:tc>
        <w:tc>
          <w:tcPr>
            <w:tcW w:w="1077" w:type="dxa"/>
            <w:tcBorders>
              <w:left w:val="single" w:sz="4" w:space="0" w:color="auto"/>
            </w:tcBorders>
            <w:shd w:val="clear" w:color="auto" w:fill="auto"/>
          </w:tcPr>
          <w:p w14:paraId="24AB4484" w14:textId="74128653" w:rsidR="00264FF9" w:rsidRPr="009D4CD4" w:rsidRDefault="00264FF9" w:rsidP="00264FF9">
            <w:pPr>
              <w:spacing w:after="0" w:line="240" w:lineRule="auto"/>
              <w:ind w:right="140"/>
              <w:jc w:val="left"/>
              <w:rPr>
                <w:rFonts w:eastAsia="Times New Roman" w:cs="Arial"/>
                <w:b/>
                <w:sz w:val="20"/>
                <w:szCs w:val="20"/>
              </w:rPr>
            </w:pPr>
            <w:r w:rsidRPr="009D4CD4">
              <w:rPr>
                <w:rFonts w:eastAsia="Times New Roman" w:cs="Arial"/>
                <w:b/>
                <w:sz w:val="20"/>
                <w:szCs w:val="20"/>
              </w:rPr>
              <w:t>2021</w:t>
            </w:r>
          </w:p>
        </w:tc>
        <w:tc>
          <w:tcPr>
            <w:tcW w:w="1092" w:type="dxa"/>
            <w:shd w:val="clear" w:color="auto" w:fill="auto"/>
          </w:tcPr>
          <w:p w14:paraId="59702EFA" w14:textId="795197E6" w:rsidR="00264FF9" w:rsidRPr="009D4CD4" w:rsidRDefault="00264FF9" w:rsidP="00264FF9">
            <w:pPr>
              <w:spacing w:after="0" w:line="240" w:lineRule="auto"/>
              <w:ind w:right="140"/>
              <w:jc w:val="left"/>
              <w:rPr>
                <w:rFonts w:eastAsia="Times New Roman" w:cs="Arial"/>
                <w:b/>
                <w:sz w:val="20"/>
                <w:szCs w:val="20"/>
              </w:rPr>
            </w:pPr>
            <w:r w:rsidRPr="009D4CD4">
              <w:rPr>
                <w:rFonts w:eastAsia="Times New Roman" w:cs="Arial"/>
                <w:b/>
                <w:sz w:val="20"/>
                <w:szCs w:val="20"/>
              </w:rPr>
              <w:t>2020</w:t>
            </w:r>
          </w:p>
        </w:tc>
        <w:tc>
          <w:tcPr>
            <w:tcW w:w="1050" w:type="dxa"/>
            <w:shd w:val="clear" w:color="auto" w:fill="auto"/>
          </w:tcPr>
          <w:p w14:paraId="3FC72169" w14:textId="29B45B3B" w:rsidR="00264FF9" w:rsidRPr="009D4CD4" w:rsidRDefault="00264FF9" w:rsidP="00264FF9">
            <w:pPr>
              <w:spacing w:after="0" w:line="240" w:lineRule="auto"/>
              <w:ind w:right="140"/>
              <w:jc w:val="left"/>
              <w:rPr>
                <w:rFonts w:eastAsia="Times New Roman" w:cs="Arial"/>
                <w:b/>
                <w:sz w:val="20"/>
                <w:szCs w:val="20"/>
              </w:rPr>
            </w:pPr>
            <w:r w:rsidRPr="009D4CD4">
              <w:rPr>
                <w:rFonts w:eastAsia="Times New Roman" w:cs="Arial"/>
                <w:b/>
                <w:sz w:val="20"/>
                <w:szCs w:val="20"/>
              </w:rPr>
              <w:t>2019</w:t>
            </w:r>
          </w:p>
        </w:tc>
      </w:tr>
      <w:tr w:rsidR="00264FF9" w:rsidRPr="009D4CD4" w14:paraId="6168F5E4" w14:textId="77777777" w:rsidTr="00523615">
        <w:trPr>
          <w:trHeight w:hRule="exact" w:val="284"/>
        </w:trPr>
        <w:tc>
          <w:tcPr>
            <w:tcW w:w="4728" w:type="dxa"/>
            <w:tcBorders>
              <w:top w:val="single" w:sz="4" w:space="0" w:color="auto"/>
            </w:tcBorders>
            <w:shd w:val="clear" w:color="auto" w:fill="auto"/>
          </w:tcPr>
          <w:p w14:paraId="664C3788" w14:textId="77777777" w:rsidR="00264FF9" w:rsidRPr="009D4CD4" w:rsidRDefault="00264FF9" w:rsidP="00264FF9">
            <w:pPr>
              <w:spacing w:after="0" w:line="240" w:lineRule="auto"/>
              <w:ind w:right="140"/>
              <w:jc w:val="left"/>
              <w:rPr>
                <w:rFonts w:eastAsia="Times New Roman" w:cs="Arial"/>
                <w:sz w:val="20"/>
                <w:szCs w:val="20"/>
              </w:rPr>
            </w:pPr>
            <w:r w:rsidRPr="009D4CD4">
              <w:rPr>
                <w:rFonts w:eastAsia="Times New Roman" w:cs="Arial"/>
                <w:sz w:val="20"/>
                <w:szCs w:val="20"/>
                <w:lang w:eastAsia="fr-FR"/>
              </w:rPr>
              <w:t>Consommation d’eau (m3)</w:t>
            </w:r>
          </w:p>
        </w:tc>
        <w:tc>
          <w:tcPr>
            <w:tcW w:w="1077" w:type="dxa"/>
            <w:shd w:val="clear" w:color="auto" w:fill="auto"/>
          </w:tcPr>
          <w:p w14:paraId="14FB3D4B" w14:textId="63CBD289" w:rsidR="00264FF9" w:rsidRPr="009D4CD4" w:rsidRDefault="003156B2" w:rsidP="00264FF9">
            <w:pPr>
              <w:spacing w:after="0" w:line="240" w:lineRule="auto"/>
              <w:jc w:val="left"/>
              <w:rPr>
                <w:rFonts w:eastAsia="Times New Roman" w:cs="Arial"/>
                <w:sz w:val="20"/>
                <w:szCs w:val="20"/>
                <w:lang w:eastAsia="fr-FR"/>
              </w:rPr>
            </w:pPr>
            <w:r w:rsidRPr="009D4CD4">
              <w:rPr>
                <w:rFonts w:eastAsia="Times New Roman" w:cs="Arial"/>
                <w:sz w:val="20"/>
                <w:szCs w:val="20"/>
                <w:lang w:eastAsia="fr-FR"/>
              </w:rPr>
              <w:t>18 875</w:t>
            </w:r>
          </w:p>
        </w:tc>
        <w:tc>
          <w:tcPr>
            <w:tcW w:w="1092" w:type="dxa"/>
            <w:shd w:val="clear" w:color="auto" w:fill="auto"/>
          </w:tcPr>
          <w:p w14:paraId="056B1468" w14:textId="7276CCB7" w:rsidR="00264FF9" w:rsidRPr="009D4CD4" w:rsidRDefault="00264FF9" w:rsidP="00264FF9">
            <w:pPr>
              <w:spacing w:after="0" w:line="240" w:lineRule="auto"/>
              <w:jc w:val="left"/>
              <w:rPr>
                <w:rFonts w:eastAsia="Times New Roman" w:cs="Arial"/>
                <w:sz w:val="20"/>
                <w:szCs w:val="20"/>
                <w:lang w:eastAsia="fr-FR"/>
              </w:rPr>
            </w:pPr>
            <w:r w:rsidRPr="009D4CD4">
              <w:rPr>
                <w:rFonts w:eastAsia="Times New Roman" w:cs="Arial"/>
                <w:sz w:val="20"/>
                <w:szCs w:val="20"/>
                <w:lang w:eastAsia="fr-FR"/>
              </w:rPr>
              <w:t>26 265</w:t>
            </w:r>
          </w:p>
        </w:tc>
        <w:tc>
          <w:tcPr>
            <w:tcW w:w="1050" w:type="dxa"/>
            <w:shd w:val="clear" w:color="auto" w:fill="auto"/>
          </w:tcPr>
          <w:p w14:paraId="77FA890F" w14:textId="3E61EE89" w:rsidR="00264FF9" w:rsidRPr="009D4CD4" w:rsidRDefault="00264FF9" w:rsidP="00264FF9">
            <w:pPr>
              <w:spacing w:after="0" w:line="240" w:lineRule="auto"/>
              <w:jc w:val="left"/>
              <w:rPr>
                <w:rFonts w:eastAsia="Times New Roman" w:cs="Arial"/>
                <w:sz w:val="20"/>
                <w:szCs w:val="20"/>
                <w:lang w:eastAsia="fr-FR"/>
              </w:rPr>
            </w:pPr>
            <w:r w:rsidRPr="009D4CD4">
              <w:rPr>
                <w:rFonts w:eastAsia="Times New Roman" w:cs="Arial"/>
                <w:sz w:val="20"/>
                <w:szCs w:val="20"/>
                <w:lang w:eastAsia="fr-FR"/>
              </w:rPr>
              <w:t>23 229</w:t>
            </w:r>
          </w:p>
        </w:tc>
      </w:tr>
    </w:tbl>
    <w:p w14:paraId="12AE05F8" w14:textId="77777777" w:rsidR="00B72A61" w:rsidRPr="009D4CD4" w:rsidRDefault="00B72A61" w:rsidP="00B72A61">
      <w:pPr>
        <w:spacing w:after="0" w:line="240" w:lineRule="auto"/>
        <w:jc w:val="left"/>
        <w:rPr>
          <w:rFonts w:cs="Arial"/>
        </w:rPr>
      </w:pPr>
    </w:p>
    <w:p w14:paraId="4554E6B3" w14:textId="776045C9" w:rsidR="00B72A61" w:rsidRPr="009D4CD4" w:rsidRDefault="00B72A61" w:rsidP="00B72A61">
      <w:pPr>
        <w:spacing w:after="0" w:line="240" w:lineRule="auto"/>
        <w:jc w:val="left"/>
        <w:rPr>
          <w:rFonts w:cs="Arial"/>
          <w:i/>
        </w:rPr>
      </w:pPr>
      <w:r w:rsidRPr="009D4CD4">
        <w:rPr>
          <w:rFonts w:cs="Arial"/>
        </w:rPr>
        <w:t xml:space="preserve">Des économiseurs d’eau ont été généralisés sur les sites et dans les agences au fur et à mesure des travaux de rénovation. Un système de pilotage électronique est désormais installé dans chaque agence rénovée, permettant de déclencher des alertes en cas de consommation anormale ou de couper l’eau en cas de fuite avérée. </w:t>
      </w:r>
      <w:r w:rsidR="000D4764" w:rsidRPr="009D4CD4">
        <w:rPr>
          <w:rFonts w:cs="Arial"/>
        </w:rPr>
        <w:t>L’augmentation constatée en 2020 s’explique par les exigences accrues de nettoyage liées à la situation sanitaire.</w:t>
      </w:r>
    </w:p>
    <w:p w14:paraId="652330C0" w14:textId="77777777" w:rsidR="00B72A61" w:rsidRPr="009D4CD4" w:rsidRDefault="00B72A61" w:rsidP="00326D6D">
      <w:pPr>
        <w:pStyle w:val="Titre4"/>
      </w:pPr>
      <w:bookmarkStart w:id="160" w:name="_Toc96095157"/>
      <w:bookmarkStart w:id="161" w:name="_Toc96095335"/>
      <w:bookmarkStart w:id="162" w:name="_Toc96698050"/>
      <w:bookmarkEnd w:id="160"/>
      <w:bookmarkEnd w:id="161"/>
      <w:r w:rsidRPr="009D4CD4">
        <w:t>La démarche – papier</w:t>
      </w:r>
      <w:bookmarkEnd w:id="162"/>
    </w:p>
    <w:p w14:paraId="161E0B9F" w14:textId="77777777" w:rsidR="00326D6D" w:rsidRPr="009D4CD4" w:rsidRDefault="00B72A61" w:rsidP="00B72A61">
      <w:pPr>
        <w:spacing w:after="0" w:line="240" w:lineRule="auto"/>
        <w:jc w:val="left"/>
        <w:rPr>
          <w:rFonts w:cs="Arial"/>
        </w:rPr>
      </w:pPr>
      <w:r w:rsidRPr="009D4CD4">
        <w:rPr>
          <w:rFonts w:cs="Arial"/>
        </w:rPr>
        <w:t xml:space="preserve">Matériau majeur utilisé dans les processus bancaires, le papier fait l’objet depuis plusieurs années d’une démarche ancrée sur trois piliers : </w:t>
      </w:r>
    </w:p>
    <w:p w14:paraId="5B73D3F0" w14:textId="7D9C7276" w:rsidR="00B72A61" w:rsidRPr="009D4CD4" w:rsidRDefault="00326D6D" w:rsidP="00B72A61">
      <w:pPr>
        <w:spacing w:after="0" w:line="240" w:lineRule="auto"/>
        <w:jc w:val="left"/>
        <w:rPr>
          <w:rFonts w:cs="Arial"/>
        </w:rPr>
      </w:pPr>
      <w:r w:rsidRPr="009D4CD4">
        <w:rPr>
          <w:rFonts w:cs="Arial"/>
        </w:rPr>
        <w:t>&gt;</w:t>
      </w:r>
      <w:r w:rsidR="00B72A61" w:rsidRPr="009D4CD4">
        <w:rPr>
          <w:rFonts w:cs="Arial"/>
        </w:rPr>
        <w:t xml:space="preserve">sobriété, par la diminution des supports destinés aux clients (remis en agence, expédiés par courrier etc.) et utilisés en interne (sites et agence) ; </w:t>
      </w:r>
      <w:r w:rsidRPr="009D4CD4">
        <w:rPr>
          <w:rFonts w:cs="Arial"/>
        </w:rPr>
        <w:br/>
        <w:t>&gt;</w:t>
      </w:r>
      <w:r w:rsidR="00B72A61" w:rsidRPr="009D4CD4">
        <w:rPr>
          <w:rFonts w:cs="Arial"/>
        </w:rPr>
        <w:t>éco-responsabilité, par l’uti</w:t>
      </w:r>
      <w:r w:rsidR="005B6735">
        <w:rPr>
          <w:rFonts w:cs="Arial"/>
        </w:rPr>
        <w:t>lisation de papier éco-labélisé</w:t>
      </w:r>
      <w:r w:rsidR="00B72A61" w:rsidRPr="009D4CD4">
        <w:rPr>
          <w:rFonts w:cs="Arial"/>
        </w:rPr>
        <w:t xml:space="preserve"> diminuant la pression sur les ressources utilisées (eau, é</w:t>
      </w:r>
      <w:r w:rsidRPr="009D4CD4">
        <w:rPr>
          <w:rFonts w:cs="Arial"/>
        </w:rPr>
        <w:t xml:space="preserve">nergies, fibre de bois etc.) </w:t>
      </w:r>
      <w:r w:rsidRPr="009D4CD4">
        <w:rPr>
          <w:rFonts w:cs="Arial"/>
        </w:rPr>
        <w:br/>
        <w:t>&gt;</w:t>
      </w:r>
      <w:r w:rsidR="00B72A61" w:rsidRPr="009D4CD4">
        <w:rPr>
          <w:rFonts w:cs="Arial"/>
        </w:rPr>
        <w:t>recyclage, comme exposé au paragraphe « Gestion des déchets ».</w:t>
      </w:r>
    </w:p>
    <w:p w14:paraId="112B3429" w14:textId="77777777" w:rsidR="005A65E0" w:rsidRPr="009D4CD4" w:rsidRDefault="005A65E0" w:rsidP="00B72A61">
      <w:pPr>
        <w:spacing w:after="0" w:line="240" w:lineRule="auto"/>
        <w:jc w:val="left"/>
        <w:rPr>
          <w:rFonts w:cs="Arial"/>
        </w:rPr>
      </w:pPr>
    </w:p>
    <w:p w14:paraId="417CD326" w14:textId="54CBF47D" w:rsidR="00B72A61" w:rsidRPr="009D4CD4" w:rsidRDefault="00B72A61" w:rsidP="00B72A61">
      <w:pPr>
        <w:spacing w:after="0" w:line="240" w:lineRule="auto"/>
        <w:jc w:val="left"/>
        <w:rPr>
          <w:rFonts w:cs="Arial"/>
        </w:rPr>
      </w:pPr>
      <w:r w:rsidRPr="009D4CD4">
        <w:rPr>
          <w:rFonts w:cs="Arial"/>
          <w:i/>
        </w:rPr>
        <w:t xml:space="preserve">&gt; </w:t>
      </w:r>
      <w:r w:rsidR="00937437" w:rsidRPr="009D4CD4">
        <w:rPr>
          <w:rFonts w:cs="Arial"/>
          <w:i/>
        </w:rPr>
        <w:t>Réduction de la consommation de papier</w:t>
      </w:r>
      <w:r w:rsidRPr="009D4CD4">
        <w:rPr>
          <w:rFonts w:cs="Arial"/>
        </w:rPr>
        <w:t> :</w:t>
      </w:r>
    </w:p>
    <w:p w14:paraId="6CBD32DE" w14:textId="77777777" w:rsidR="00B72A61" w:rsidRPr="009D4CD4" w:rsidRDefault="00B72A61" w:rsidP="00B72A61">
      <w:pPr>
        <w:spacing w:after="0" w:line="240" w:lineRule="auto"/>
        <w:jc w:val="left"/>
        <w:rPr>
          <w:rFonts w:cs="Arial"/>
        </w:rPr>
      </w:pPr>
    </w:p>
    <w:tbl>
      <w:tblPr>
        <w:tblW w:w="7909" w:type="dxa"/>
        <w:tblCellMar>
          <w:left w:w="70" w:type="dxa"/>
          <w:right w:w="70" w:type="dxa"/>
        </w:tblCellMar>
        <w:tblLook w:val="04A0" w:firstRow="1" w:lastRow="0" w:firstColumn="1" w:lastColumn="0" w:noHBand="0" w:noVBand="1"/>
      </w:tblPr>
      <w:tblGrid>
        <w:gridCol w:w="4704"/>
        <w:gridCol w:w="1063"/>
        <w:gridCol w:w="1092"/>
        <w:gridCol w:w="1050"/>
      </w:tblGrid>
      <w:tr w:rsidR="00264FF9" w:rsidRPr="009D4CD4" w14:paraId="275A1CAF" w14:textId="77777777" w:rsidTr="009F6EE2">
        <w:trPr>
          <w:trHeight w:hRule="exact" w:val="284"/>
        </w:trPr>
        <w:tc>
          <w:tcPr>
            <w:tcW w:w="4704" w:type="dxa"/>
            <w:tcBorders>
              <w:left w:val="nil"/>
              <w:bottom w:val="nil"/>
            </w:tcBorders>
            <w:shd w:val="clear" w:color="auto" w:fill="auto"/>
            <w:noWrap/>
            <w:vAlign w:val="center"/>
            <w:hideMark/>
          </w:tcPr>
          <w:p w14:paraId="3155553A" w14:textId="77777777" w:rsidR="00264FF9" w:rsidRPr="009D4CD4" w:rsidRDefault="00264FF9" w:rsidP="00264FF9">
            <w:pPr>
              <w:spacing w:after="0" w:line="240" w:lineRule="auto"/>
              <w:jc w:val="left"/>
              <w:rPr>
                <w:rFonts w:eastAsia="Times New Roman" w:cs="Arial"/>
                <w:bCs/>
                <w:sz w:val="20"/>
                <w:szCs w:val="20"/>
                <w:u w:val="single"/>
                <w:lang w:eastAsia="fr-FR"/>
              </w:rPr>
            </w:pPr>
            <w:r w:rsidRPr="009D4CD4">
              <w:rPr>
                <w:rFonts w:eastAsia="Times New Roman" w:cs="Arial"/>
                <w:b/>
                <w:i/>
                <w:sz w:val="20"/>
                <w:szCs w:val="20"/>
              </w:rPr>
              <w:t>Les chiffres – clé (en tonnes)</w:t>
            </w:r>
          </w:p>
        </w:tc>
        <w:tc>
          <w:tcPr>
            <w:tcW w:w="1063" w:type="dxa"/>
            <w:tcBorders>
              <w:bottom w:val="nil"/>
            </w:tcBorders>
            <w:shd w:val="clear" w:color="auto" w:fill="auto"/>
            <w:noWrap/>
            <w:vAlign w:val="center"/>
            <w:hideMark/>
          </w:tcPr>
          <w:p w14:paraId="31B35F2C" w14:textId="3E0514A9" w:rsidR="00264FF9" w:rsidRPr="009D4CD4" w:rsidRDefault="00264FF9" w:rsidP="00264FF9">
            <w:pPr>
              <w:spacing w:after="0" w:line="240" w:lineRule="auto"/>
              <w:jc w:val="left"/>
              <w:rPr>
                <w:rFonts w:eastAsia="Times New Roman" w:cs="Arial"/>
                <w:b/>
                <w:bCs/>
                <w:sz w:val="20"/>
                <w:szCs w:val="20"/>
                <w:lang w:eastAsia="fr-FR"/>
              </w:rPr>
            </w:pPr>
            <w:r w:rsidRPr="009D4CD4">
              <w:rPr>
                <w:rFonts w:eastAsia="Times New Roman" w:cs="Arial"/>
                <w:b/>
                <w:bCs/>
                <w:sz w:val="20"/>
                <w:szCs w:val="20"/>
                <w:lang w:eastAsia="fr-FR"/>
              </w:rPr>
              <w:t>2021</w:t>
            </w:r>
          </w:p>
        </w:tc>
        <w:tc>
          <w:tcPr>
            <w:tcW w:w="1092" w:type="dxa"/>
            <w:tcBorders>
              <w:bottom w:val="nil"/>
            </w:tcBorders>
            <w:shd w:val="clear" w:color="auto" w:fill="auto"/>
            <w:noWrap/>
            <w:vAlign w:val="center"/>
            <w:hideMark/>
          </w:tcPr>
          <w:p w14:paraId="4956F14D" w14:textId="1B219923" w:rsidR="00264FF9" w:rsidRPr="009D4CD4" w:rsidRDefault="00264FF9" w:rsidP="00264FF9">
            <w:pPr>
              <w:spacing w:after="0" w:line="240" w:lineRule="auto"/>
              <w:jc w:val="left"/>
              <w:rPr>
                <w:rFonts w:eastAsia="Times New Roman" w:cs="Arial"/>
                <w:b/>
                <w:bCs/>
                <w:sz w:val="20"/>
                <w:szCs w:val="20"/>
                <w:lang w:eastAsia="fr-FR"/>
              </w:rPr>
            </w:pPr>
            <w:r w:rsidRPr="009D4CD4">
              <w:rPr>
                <w:rFonts w:eastAsia="Times New Roman" w:cs="Arial"/>
                <w:b/>
                <w:bCs/>
                <w:sz w:val="20"/>
                <w:szCs w:val="20"/>
                <w:lang w:eastAsia="fr-FR"/>
              </w:rPr>
              <w:t>2020</w:t>
            </w:r>
          </w:p>
        </w:tc>
        <w:tc>
          <w:tcPr>
            <w:tcW w:w="1050" w:type="dxa"/>
            <w:tcBorders>
              <w:bottom w:val="nil"/>
            </w:tcBorders>
            <w:shd w:val="clear" w:color="auto" w:fill="auto"/>
            <w:noWrap/>
            <w:vAlign w:val="center"/>
            <w:hideMark/>
          </w:tcPr>
          <w:p w14:paraId="2773FA68" w14:textId="5E8D40F1" w:rsidR="00264FF9" w:rsidRPr="009D4CD4" w:rsidRDefault="00264FF9" w:rsidP="00264FF9">
            <w:pPr>
              <w:spacing w:after="0" w:line="240" w:lineRule="auto"/>
              <w:jc w:val="left"/>
              <w:rPr>
                <w:rFonts w:eastAsia="Times New Roman" w:cs="Arial"/>
                <w:b/>
                <w:bCs/>
                <w:sz w:val="20"/>
                <w:szCs w:val="20"/>
                <w:lang w:eastAsia="fr-FR"/>
              </w:rPr>
            </w:pPr>
            <w:r w:rsidRPr="009D4CD4">
              <w:rPr>
                <w:rFonts w:eastAsia="Times New Roman" w:cs="Arial"/>
                <w:b/>
                <w:bCs/>
                <w:sz w:val="20"/>
                <w:szCs w:val="20"/>
                <w:lang w:eastAsia="fr-FR"/>
              </w:rPr>
              <w:t>2019</w:t>
            </w:r>
          </w:p>
        </w:tc>
      </w:tr>
      <w:tr w:rsidR="00264FF9" w:rsidRPr="009D4CD4" w14:paraId="203EA055" w14:textId="77777777" w:rsidTr="009F6EE2">
        <w:trPr>
          <w:trHeight w:hRule="exact" w:val="284"/>
        </w:trPr>
        <w:tc>
          <w:tcPr>
            <w:tcW w:w="4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0B2231" w14:textId="77777777"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PAPIER – RAMETTES</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112B899F" w14:textId="62B49622" w:rsidR="00264FF9" w:rsidRPr="009D4CD4" w:rsidRDefault="009127BF"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90,7</w:t>
            </w:r>
          </w:p>
        </w:tc>
        <w:tc>
          <w:tcPr>
            <w:tcW w:w="1092" w:type="dxa"/>
            <w:tcBorders>
              <w:top w:val="single" w:sz="4" w:space="0" w:color="auto"/>
              <w:left w:val="nil"/>
              <w:bottom w:val="single" w:sz="4" w:space="0" w:color="auto"/>
              <w:right w:val="single" w:sz="4" w:space="0" w:color="auto"/>
            </w:tcBorders>
            <w:shd w:val="clear" w:color="auto" w:fill="auto"/>
            <w:noWrap/>
          </w:tcPr>
          <w:p w14:paraId="4E4B47BE" w14:textId="0A23560D"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100,8</w:t>
            </w:r>
          </w:p>
        </w:tc>
        <w:tc>
          <w:tcPr>
            <w:tcW w:w="1050" w:type="dxa"/>
            <w:tcBorders>
              <w:top w:val="single" w:sz="4" w:space="0" w:color="auto"/>
              <w:left w:val="nil"/>
              <w:bottom w:val="single" w:sz="4" w:space="0" w:color="auto"/>
              <w:right w:val="single" w:sz="4" w:space="0" w:color="auto"/>
            </w:tcBorders>
            <w:shd w:val="clear" w:color="auto" w:fill="auto"/>
            <w:noWrap/>
          </w:tcPr>
          <w:p w14:paraId="390C1998" w14:textId="5058E071"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98,9</w:t>
            </w:r>
          </w:p>
        </w:tc>
      </w:tr>
      <w:tr w:rsidR="00264FF9" w:rsidRPr="009D4CD4" w14:paraId="622B32C9" w14:textId="77777777" w:rsidTr="009F6EE2">
        <w:trPr>
          <w:trHeight w:hRule="exact" w:val="284"/>
        </w:trPr>
        <w:tc>
          <w:tcPr>
            <w:tcW w:w="4704" w:type="dxa"/>
            <w:tcBorders>
              <w:top w:val="nil"/>
              <w:left w:val="single" w:sz="4" w:space="0" w:color="auto"/>
              <w:bottom w:val="single" w:sz="4" w:space="0" w:color="auto"/>
              <w:right w:val="single" w:sz="4" w:space="0" w:color="auto"/>
            </w:tcBorders>
            <w:shd w:val="clear" w:color="auto" w:fill="auto"/>
            <w:noWrap/>
            <w:vAlign w:val="center"/>
            <w:hideMark/>
          </w:tcPr>
          <w:p w14:paraId="1D9994A1" w14:textId="77777777"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RELEVES DE COMPTE, COMMUNICATION CLIENTS</w:t>
            </w:r>
          </w:p>
        </w:tc>
        <w:tc>
          <w:tcPr>
            <w:tcW w:w="1063" w:type="dxa"/>
            <w:tcBorders>
              <w:top w:val="nil"/>
              <w:left w:val="single" w:sz="4" w:space="0" w:color="auto"/>
              <w:bottom w:val="single" w:sz="4" w:space="0" w:color="auto"/>
              <w:right w:val="single" w:sz="4" w:space="0" w:color="auto"/>
            </w:tcBorders>
            <w:shd w:val="clear" w:color="auto" w:fill="auto"/>
            <w:noWrap/>
          </w:tcPr>
          <w:p w14:paraId="27E79D5C" w14:textId="01CB031C" w:rsidR="00191B13" w:rsidRPr="009D4CD4" w:rsidRDefault="00191B13" w:rsidP="00081FFF">
            <w:pPr>
              <w:spacing w:after="0" w:line="240" w:lineRule="auto"/>
              <w:jc w:val="left"/>
              <w:rPr>
                <w:rFonts w:eastAsia="Times New Roman" w:cs="Arial"/>
                <w:sz w:val="16"/>
                <w:szCs w:val="16"/>
                <w:lang w:eastAsia="fr-FR"/>
              </w:rPr>
            </w:pPr>
            <w:r w:rsidRPr="009D4CD4">
              <w:rPr>
                <w:rFonts w:eastAsia="Times New Roman" w:cs="Arial"/>
                <w:sz w:val="16"/>
                <w:szCs w:val="16"/>
                <w:lang w:eastAsia="fr-FR"/>
              </w:rPr>
              <w:t>60,1</w:t>
            </w:r>
          </w:p>
        </w:tc>
        <w:tc>
          <w:tcPr>
            <w:tcW w:w="1092" w:type="dxa"/>
            <w:tcBorders>
              <w:top w:val="nil"/>
              <w:left w:val="nil"/>
              <w:bottom w:val="single" w:sz="4" w:space="0" w:color="auto"/>
              <w:right w:val="single" w:sz="4" w:space="0" w:color="auto"/>
            </w:tcBorders>
            <w:shd w:val="clear" w:color="auto" w:fill="auto"/>
            <w:noWrap/>
          </w:tcPr>
          <w:p w14:paraId="5DF300EF" w14:textId="7CA73AB8"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52,5</w:t>
            </w:r>
          </w:p>
        </w:tc>
        <w:tc>
          <w:tcPr>
            <w:tcW w:w="1050" w:type="dxa"/>
            <w:tcBorders>
              <w:top w:val="nil"/>
              <w:left w:val="nil"/>
              <w:bottom w:val="single" w:sz="4" w:space="0" w:color="auto"/>
              <w:right w:val="single" w:sz="4" w:space="0" w:color="auto"/>
            </w:tcBorders>
            <w:shd w:val="clear" w:color="auto" w:fill="auto"/>
            <w:noWrap/>
          </w:tcPr>
          <w:p w14:paraId="19D66DDF" w14:textId="77777777"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63,2</w:t>
            </w:r>
          </w:p>
          <w:p w14:paraId="4E77BA19" w14:textId="3684A5B9" w:rsidR="00264FF9" w:rsidRPr="009D4CD4" w:rsidRDefault="00264FF9" w:rsidP="00264FF9">
            <w:pPr>
              <w:spacing w:after="0" w:line="240" w:lineRule="auto"/>
              <w:jc w:val="left"/>
              <w:rPr>
                <w:rFonts w:eastAsia="Times New Roman" w:cs="Arial"/>
                <w:sz w:val="16"/>
                <w:szCs w:val="16"/>
                <w:lang w:eastAsia="fr-FR"/>
              </w:rPr>
            </w:pPr>
          </w:p>
        </w:tc>
      </w:tr>
      <w:tr w:rsidR="00264FF9" w:rsidRPr="009D4CD4" w14:paraId="3D3172AA" w14:textId="77777777" w:rsidTr="009F6EE2">
        <w:trPr>
          <w:trHeight w:hRule="exact" w:val="284"/>
        </w:trPr>
        <w:tc>
          <w:tcPr>
            <w:tcW w:w="4704" w:type="dxa"/>
            <w:tcBorders>
              <w:top w:val="nil"/>
              <w:left w:val="single" w:sz="4" w:space="0" w:color="auto"/>
              <w:bottom w:val="single" w:sz="4" w:space="0" w:color="auto"/>
              <w:right w:val="single" w:sz="4" w:space="0" w:color="auto"/>
            </w:tcBorders>
            <w:shd w:val="clear" w:color="auto" w:fill="auto"/>
            <w:noWrap/>
            <w:vAlign w:val="center"/>
            <w:hideMark/>
          </w:tcPr>
          <w:p w14:paraId="2E4843D4" w14:textId="77777777"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CHEQUIERS</w:t>
            </w:r>
          </w:p>
        </w:tc>
        <w:tc>
          <w:tcPr>
            <w:tcW w:w="1063" w:type="dxa"/>
            <w:tcBorders>
              <w:top w:val="nil"/>
              <w:left w:val="single" w:sz="4" w:space="0" w:color="auto"/>
              <w:bottom w:val="single" w:sz="4" w:space="0" w:color="auto"/>
              <w:right w:val="single" w:sz="4" w:space="0" w:color="auto"/>
            </w:tcBorders>
            <w:shd w:val="clear" w:color="auto" w:fill="auto"/>
            <w:noWrap/>
          </w:tcPr>
          <w:p w14:paraId="255EEAB1" w14:textId="15F504FF" w:rsidR="007F0496" w:rsidRPr="009D4CD4" w:rsidRDefault="007F0496" w:rsidP="00081FFF">
            <w:pPr>
              <w:spacing w:after="0" w:line="240" w:lineRule="auto"/>
              <w:jc w:val="left"/>
              <w:rPr>
                <w:rFonts w:eastAsia="Times New Roman" w:cs="Arial"/>
                <w:sz w:val="16"/>
                <w:szCs w:val="16"/>
                <w:lang w:eastAsia="fr-FR"/>
              </w:rPr>
            </w:pPr>
            <w:r w:rsidRPr="009D4CD4">
              <w:rPr>
                <w:rFonts w:eastAsia="Times New Roman" w:cs="Arial"/>
                <w:sz w:val="16"/>
                <w:szCs w:val="16"/>
                <w:lang w:eastAsia="fr-FR"/>
              </w:rPr>
              <w:t>28,5</w:t>
            </w:r>
          </w:p>
        </w:tc>
        <w:tc>
          <w:tcPr>
            <w:tcW w:w="1092" w:type="dxa"/>
            <w:tcBorders>
              <w:top w:val="nil"/>
              <w:left w:val="nil"/>
              <w:bottom w:val="single" w:sz="4" w:space="0" w:color="auto"/>
              <w:right w:val="single" w:sz="4" w:space="0" w:color="auto"/>
            </w:tcBorders>
            <w:shd w:val="clear" w:color="auto" w:fill="auto"/>
            <w:noWrap/>
          </w:tcPr>
          <w:p w14:paraId="455E5780" w14:textId="3E48A6A9"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29,7</w:t>
            </w:r>
          </w:p>
        </w:tc>
        <w:tc>
          <w:tcPr>
            <w:tcW w:w="1050" w:type="dxa"/>
            <w:tcBorders>
              <w:top w:val="nil"/>
              <w:left w:val="nil"/>
              <w:bottom w:val="single" w:sz="4" w:space="0" w:color="auto"/>
              <w:right w:val="single" w:sz="4" w:space="0" w:color="auto"/>
            </w:tcBorders>
            <w:shd w:val="clear" w:color="auto" w:fill="auto"/>
            <w:noWrap/>
          </w:tcPr>
          <w:p w14:paraId="4F4FA31D" w14:textId="051DEB47"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37,2</w:t>
            </w:r>
          </w:p>
        </w:tc>
      </w:tr>
      <w:tr w:rsidR="00264FF9" w:rsidRPr="009D4CD4" w14:paraId="5E456B47" w14:textId="77777777" w:rsidTr="009F6EE2">
        <w:trPr>
          <w:trHeight w:hRule="exact" w:val="284"/>
        </w:trPr>
        <w:tc>
          <w:tcPr>
            <w:tcW w:w="4704" w:type="dxa"/>
            <w:tcBorders>
              <w:top w:val="nil"/>
              <w:left w:val="single" w:sz="4" w:space="0" w:color="auto"/>
              <w:bottom w:val="single" w:sz="4" w:space="0" w:color="auto"/>
              <w:right w:val="single" w:sz="4" w:space="0" w:color="auto"/>
            </w:tcBorders>
            <w:shd w:val="clear" w:color="auto" w:fill="auto"/>
            <w:noWrap/>
            <w:vAlign w:val="center"/>
            <w:hideMark/>
          </w:tcPr>
          <w:p w14:paraId="2D08C983" w14:textId="41EDC270"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IMPRIMES BANCAIRES, ROULEAUX TPE, BOBINES ILS</w:t>
            </w:r>
          </w:p>
        </w:tc>
        <w:tc>
          <w:tcPr>
            <w:tcW w:w="1063" w:type="dxa"/>
            <w:tcBorders>
              <w:top w:val="nil"/>
              <w:left w:val="single" w:sz="4" w:space="0" w:color="auto"/>
              <w:bottom w:val="single" w:sz="4" w:space="0" w:color="auto"/>
              <w:right w:val="single" w:sz="4" w:space="0" w:color="auto"/>
            </w:tcBorders>
            <w:shd w:val="clear" w:color="auto" w:fill="auto"/>
            <w:noWrap/>
          </w:tcPr>
          <w:p w14:paraId="452773B1" w14:textId="06D87CD7" w:rsidR="00264FF9" w:rsidRPr="009D4CD4" w:rsidRDefault="00FE5897"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50,8</w:t>
            </w:r>
          </w:p>
        </w:tc>
        <w:tc>
          <w:tcPr>
            <w:tcW w:w="1092" w:type="dxa"/>
            <w:tcBorders>
              <w:top w:val="nil"/>
              <w:left w:val="nil"/>
              <w:bottom w:val="single" w:sz="4" w:space="0" w:color="auto"/>
              <w:right w:val="single" w:sz="4" w:space="0" w:color="auto"/>
            </w:tcBorders>
            <w:shd w:val="clear" w:color="auto" w:fill="auto"/>
            <w:noWrap/>
          </w:tcPr>
          <w:p w14:paraId="158E239F" w14:textId="574D7FB2"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45,1</w:t>
            </w:r>
          </w:p>
        </w:tc>
        <w:tc>
          <w:tcPr>
            <w:tcW w:w="1050" w:type="dxa"/>
            <w:tcBorders>
              <w:top w:val="nil"/>
              <w:left w:val="nil"/>
              <w:bottom w:val="single" w:sz="4" w:space="0" w:color="auto"/>
              <w:right w:val="single" w:sz="4" w:space="0" w:color="auto"/>
            </w:tcBorders>
            <w:shd w:val="clear" w:color="auto" w:fill="auto"/>
            <w:noWrap/>
          </w:tcPr>
          <w:p w14:paraId="08F947D5" w14:textId="5E203BD0" w:rsidR="00264FF9" w:rsidRPr="009D4CD4" w:rsidRDefault="00264FF9" w:rsidP="00264FF9">
            <w:pPr>
              <w:spacing w:after="0" w:line="240" w:lineRule="auto"/>
              <w:jc w:val="left"/>
              <w:rPr>
                <w:rFonts w:eastAsia="Times New Roman" w:cs="Arial"/>
                <w:sz w:val="16"/>
                <w:szCs w:val="16"/>
                <w:lang w:eastAsia="fr-FR"/>
              </w:rPr>
            </w:pPr>
            <w:r w:rsidRPr="009D4CD4">
              <w:rPr>
                <w:rFonts w:eastAsia="Times New Roman" w:cs="Arial"/>
                <w:sz w:val="16"/>
                <w:szCs w:val="16"/>
                <w:lang w:eastAsia="fr-FR"/>
              </w:rPr>
              <w:t>48,2</w:t>
            </w:r>
          </w:p>
        </w:tc>
      </w:tr>
      <w:tr w:rsidR="009127BF" w:rsidRPr="009D4CD4" w14:paraId="0ACCBFFA" w14:textId="77777777" w:rsidTr="009F6EE2">
        <w:trPr>
          <w:trHeight w:hRule="exact" w:val="284"/>
        </w:trPr>
        <w:tc>
          <w:tcPr>
            <w:tcW w:w="4704" w:type="dxa"/>
            <w:tcBorders>
              <w:top w:val="nil"/>
              <w:left w:val="single" w:sz="4" w:space="0" w:color="auto"/>
              <w:bottom w:val="single" w:sz="4" w:space="0" w:color="auto"/>
              <w:right w:val="single" w:sz="4" w:space="0" w:color="auto"/>
            </w:tcBorders>
            <w:shd w:val="clear" w:color="auto" w:fill="auto"/>
            <w:noWrap/>
            <w:vAlign w:val="bottom"/>
            <w:hideMark/>
          </w:tcPr>
          <w:p w14:paraId="283165C6" w14:textId="77777777"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ENVELOPPES</w:t>
            </w:r>
          </w:p>
        </w:tc>
        <w:tc>
          <w:tcPr>
            <w:tcW w:w="1063" w:type="dxa"/>
            <w:tcBorders>
              <w:top w:val="nil"/>
              <w:left w:val="single" w:sz="4" w:space="0" w:color="auto"/>
              <w:bottom w:val="single" w:sz="4" w:space="0" w:color="auto"/>
              <w:right w:val="single" w:sz="4" w:space="0" w:color="auto"/>
            </w:tcBorders>
            <w:shd w:val="clear" w:color="auto" w:fill="auto"/>
            <w:noWrap/>
          </w:tcPr>
          <w:p w14:paraId="0A1A34C0" w14:textId="6598D00C"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28,7</w:t>
            </w:r>
          </w:p>
        </w:tc>
        <w:tc>
          <w:tcPr>
            <w:tcW w:w="1092" w:type="dxa"/>
            <w:tcBorders>
              <w:top w:val="nil"/>
              <w:left w:val="nil"/>
              <w:bottom w:val="single" w:sz="4" w:space="0" w:color="auto"/>
              <w:right w:val="single" w:sz="4" w:space="0" w:color="auto"/>
            </w:tcBorders>
            <w:shd w:val="clear" w:color="auto" w:fill="auto"/>
            <w:noWrap/>
          </w:tcPr>
          <w:p w14:paraId="2A6658BB" w14:textId="3CB7EDF1"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25,4</w:t>
            </w:r>
          </w:p>
        </w:tc>
        <w:tc>
          <w:tcPr>
            <w:tcW w:w="1050" w:type="dxa"/>
            <w:tcBorders>
              <w:top w:val="nil"/>
              <w:left w:val="nil"/>
              <w:bottom w:val="single" w:sz="4" w:space="0" w:color="auto"/>
              <w:right w:val="single" w:sz="4" w:space="0" w:color="auto"/>
            </w:tcBorders>
            <w:shd w:val="clear" w:color="auto" w:fill="auto"/>
            <w:noWrap/>
          </w:tcPr>
          <w:p w14:paraId="3366D381" w14:textId="08900DE9"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34,4</w:t>
            </w:r>
          </w:p>
        </w:tc>
      </w:tr>
      <w:tr w:rsidR="009127BF" w:rsidRPr="009D4CD4" w14:paraId="28B49BAB" w14:textId="77777777" w:rsidTr="009F6EE2">
        <w:trPr>
          <w:trHeight w:hRule="exact" w:val="284"/>
        </w:trPr>
        <w:tc>
          <w:tcPr>
            <w:tcW w:w="4704" w:type="dxa"/>
            <w:tcBorders>
              <w:top w:val="nil"/>
              <w:left w:val="single" w:sz="4" w:space="0" w:color="auto"/>
              <w:bottom w:val="single" w:sz="4" w:space="0" w:color="auto"/>
              <w:right w:val="single" w:sz="4" w:space="0" w:color="auto"/>
            </w:tcBorders>
            <w:shd w:val="clear" w:color="auto" w:fill="auto"/>
            <w:noWrap/>
            <w:vAlign w:val="center"/>
            <w:hideMark/>
          </w:tcPr>
          <w:p w14:paraId="6BED9191" w14:textId="77777777"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AGENDAS CALENDRIERS PRESSE DOC</w:t>
            </w:r>
          </w:p>
        </w:tc>
        <w:tc>
          <w:tcPr>
            <w:tcW w:w="1063" w:type="dxa"/>
            <w:tcBorders>
              <w:top w:val="nil"/>
              <w:left w:val="single" w:sz="4" w:space="0" w:color="auto"/>
              <w:bottom w:val="single" w:sz="4" w:space="0" w:color="auto"/>
              <w:right w:val="single" w:sz="4" w:space="0" w:color="auto"/>
            </w:tcBorders>
            <w:shd w:val="clear" w:color="auto" w:fill="auto"/>
            <w:noWrap/>
          </w:tcPr>
          <w:p w14:paraId="13F646EA" w14:textId="7BEC36E7" w:rsidR="009127BF" w:rsidRPr="009D4CD4" w:rsidRDefault="009F6EE2"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28,8</w:t>
            </w:r>
          </w:p>
        </w:tc>
        <w:tc>
          <w:tcPr>
            <w:tcW w:w="1092" w:type="dxa"/>
            <w:tcBorders>
              <w:top w:val="nil"/>
              <w:left w:val="nil"/>
              <w:bottom w:val="single" w:sz="4" w:space="0" w:color="auto"/>
              <w:right w:val="single" w:sz="4" w:space="0" w:color="auto"/>
            </w:tcBorders>
            <w:shd w:val="clear" w:color="auto" w:fill="auto"/>
            <w:noWrap/>
          </w:tcPr>
          <w:p w14:paraId="6A0B2D63" w14:textId="53B0047C"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30,3</w:t>
            </w:r>
          </w:p>
        </w:tc>
        <w:tc>
          <w:tcPr>
            <w:tcW w:w="1050" w:type="dxa"/>
            <w:tcBorders>
              <w:top w:val="nil"/>
              <w:left w:val="nil"/>
              <w:bottom w:val="single" w:sz="4" w:space="0" w:color="auto"/>
              <w:right w:val="single" w:sz="4" w:space="0" w:color="auto"/>
            </w:tcBorders>
            <w:shd w:val="clear" w:color="auto" w:fill="auto"/>
            <w:noWrap/>
          </w:tcPr>
          <w:p w14:paraId="49D91983" w14:textId="4306BC4B"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31,1</w:t>
            </w:r>
          </w:p>
        </w:tc>
      </w:tr>
      <w:tr w:rsidR="009127BF" w:rsidRPr="009D4CD4" w14:paraId="2B45A6CF" w14:textId="77777777" w:rsidTr="009F6EE2">
        <w:trPr>
          <w:trHeight w:hRule="exact" w:val="284"/>
        </w:trPr>
        <w:tc>
          <w:tcPr>
            <w:tcW w:w="4704" w:type="dxa"/>
            <w:tcBorders>
              <w:top w:val="nil"/>
              <w:left w:val="single" w:sz="4" w:space="0" w:color="auto"/>
              <w:bottom w:val="single" w:sz="4" w:space="0" w:color="auto"/>
              <w:right w:val="single" w:sz="4" w:space="0" w:color="auto"/>
            </w:tcBorders>
            <w:shd w:val="clear" w:color="auto" w:fill="auto"/>
            <w:noWrap/>
            <w:vAlign w:val="center"/>
            <w:hideMark/>
          </w:tcPr>
          <w:p w14:paraId="33C4CA3C" w14:textId="77777777"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PAPETERIE AUTRE</w:t>
            </w:r>
          </w:p>
        </w:tc>
        <w:tc>
          <w:tcPr>
            <w:tcW w:w="1063" w:type="dxa"/>
            <w:tcBorders>
              <w:top w:val="nil"/>
              <w:left w:val="single" w:sz="4" w:space="0" w:color="auto"/>
              <w:bottom w:val="single" w:sz="4" w:space="0" w:color="auto"/>
              <w:right w:val="single" w:sz="4" w:space="0" w:color="auto"/>
            </w:tcBorders>
            <w:shd w:val="clear" w:color="auto" w:fill="auto"/>
            <w:noWrap/>
          </w:tcPr>
          <w:p w14:paraId="1F8F34D8" w14:textId="67223FD2"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3,1</w:t>
            </w:r>
          </w:p>
        </w:tc>
        <w:tc>
          <w:tcPr>
            <w:tcW w:w="1092" w:type="dxa"/>
            <w:tcBorders>
              <w:top w:val="nil"/>
              <w:left w:val="nil"/>
              <w:bottom w:val="single" w:sz="4" w:space="0" w:color="auto"/>
              <w:right w:val="single" w:sz="4" w:space="0" w:color="auto"/>
            </w:tcBorders>
            <w:shd w:val="clear" w:color="auto" w:fill="auto"/>
            <w:noWrap/>
          </w:tcPr>
          <w:p w14:paraId="53EAFC2A" w14:textId="63CE8EF9"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2,7</w:t>
            </w:r>
          </w:p>
        </w:tc>
        <w:tc>
          <w:tcPr>
            <w:tcW w:w="1050" w:type="dxa"/>
            <w:tcBorders>
              <w:top w:val="nil"/>
              <w:left w:val="nil"/>
              <w:bottom w:val="single" w:sz="4" w:space="0" w:color="auto"/>
              <w:right w:val="single" w:sz="4" w:space="0" w:color="auto"/>
            </w:tcBorders>
            <w:shd w:val="clear" w:color="auto" w:fill="auto"/>
            <w:noWrap/>
          </w:tcPr>
          <w:p w14:paraId="78D8ABD9" w14:textId="3E17E3B1" w:rsidR="009127BF" w:rsidRPr="009D4CD4" w:rsidRDefault="009127BF" w:rsidP="009127BF">
            <w:pPr>
              <w:spacing w:after="0" w:line="240" w:lineRule="auto"/>
              <w:jc w:val="left"/>
              <w:rPr>
                <w:rFonts w:eastAsia="Times New Roman" w:cs="Arial"/>
                <w:sz w:val="16"/>
                <w:szCs w:val="16"/>
                <w:lang w:eastAsia="fr-FR"/>
              </w:rPr>
            </w:pPr>
            <w:r w:rsidRPr="009D4CD4">
              <w:rPr>
                <w:rFonts w:eastAsia="Times New Roman" w:cs="Arial"/>
                <w:sz w:val="16"/>
                <w:szCs w:val="16"/>
                <w:lang w:eastAsia="fr-FR"/>
              </w:rPr>
              <w:t>3,8</w:t>
            </w:r>
          </w:p>
        </w:tc>
      </w:tr>
      <w:tr w:rsidR="009127BF" w:rsidRPr="009D4CD4" w14:paraId="4F3118E0" w14:textId="77777777" w:rsidTr="009F6EE2">
        <w:trPr>
          <w:trHeight w:hRule="exact" w:val="284"/>
        </w:trPr>
        <w:tc>
          <w:tcPr>
            <w:tcW w:w="4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D1A28" w14:textId="77777777" w:rsidR="009127BF" w:rsidRPr="009D4CD4" w:rsidRDefault="009127BF" w:rsidP="009127BF">
            <w:pPr>
              <w:spacing w:after="0" w:line="240" w:lineRule="auto"/>
              <w:jc w:val="left"/>
              <w:rPr>
                <w:rFonts w:eastAsia="Times New Roman" w:cs="Arial"/>
                <w:b/>
                <w:sz w:val="16"/>
                <w:szCs w:val="16"/>
                <w:lang w:eastAsia="fr-FR"/>
              </w:rPr>
            </w:pPr>
            <w:r w:rsidRPr="009D4CD4">
              <w:rPr>
                <w:rFonts w:eastAsia="Times New Roman" w:cs="Arial"/>
                <w:b/>
                <w:sz w:val="16"/>
                <w:szCs w:val="16"/>
                <w:lang w:eastAsia="fr-FR"/>
              </w:rPr>
              <w:t>TOTAL CONSOMMATION PAPIER (tonnes)</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39814AE5" w14:textId="5C93EE23" w:rsidR="00191B13" w:rsidRPr="009D4CD4" w:rsidRDefault="00191B13" w:rsidP="009127BF">
            <w:pPr>
              <w:spacing w:after="0" w:line="240" w:lineRule="auto"/>
              <w:jc w:val="left"/>
              <w:rPr>
                <w:rFonts w:eastAsia="Times New Roman" w:cs="Arial"/>
                <w:b/>
                <w:color w:val="FF0000"/>
                <w:sz w:val="20"/>
                <w:szCs w:val="20"/>
                <w:lang w:eastAsia="fr-FR"/>
              </w:rPr>
            </w:pPr>
            <w:r w:rsidRPr="009D4CD4">
              <w:rPr>
                <w:rFonts w:eastAsia="Times New Roman" w:cs="Arial"/>
                <w:b/>
                <w:sz w:val="20"/>
                <w:szCs w:val="20"/>
                <w:lang w:eastAsia="fr-FR"/>
              </w:rPr>
              <w:t>290,7</w:t>
            </w:r>
          </w:p>
        </w:tc>
        <w:tc>
          <w:tcPr>
            <w:tcW w:w="1092" w:type="dxa"/>
            <w:tcBorders>
              <w:top w:val="single" w:sz="4" w:space="0" w:color="auto"/>
              <w:left w:val="nil"/>
              <w:bottom w:val="single" w:sz="4" w:space="0" w:color="auto"/>
              <w:right w:val="single" w:sz="4" w:space="0" w:color="auto"/>
            </w:tcBorders>
            <w:shd w:val="clear" w:color="auto" w:fill="auto"/>
            <w:noWrap/>
            <w:hideMark/>
          </w:tcPr>
          <w:p w14:paraId="30230F48" w14:textId="1325F8AA" w:rsidR="009127BF" w:rsidRPr="009D4CD4" w:rsidRDefault="009127BF" w:rsidP="009127BF">
            <w:pPr>
              <w:spacing w:after="0" w:line="240" w:lineRule="auto"/>
              <w:jc w:val="left"/>
              <w:rPr>
                <w:rFonts w:eastAsia="Times New Roman" w:cs="Arial"/>
                <w:b/>
                <w:sz w:val="20"/>
                <w:szCs w:val="20"/>
                <w:lang w:eastAsia="fr-FR"/>
              </w:rPr>
            </w:pPr>
            <w:r w:rsidRPr="009D4CD4">
              <w:rPr>
                <w:rFonts w:eastAsia="Times New Roman" w:cs="Arial"/>
                <w:b/>
                <w:sz w:val="20"/>
                <w:szCs w:val="20"/>
                <w:lang w:eastAsia="fr-FR"/>
              </w:rPr>
              <w:t>286,5</w:t>
            </w:r>
          </w:p>
        </w:tc>
        <w:tc>
          <w:tcPr>
            <w:tcW w:w="1050" w:type="dxa"/>
            <w:tcBorders>
              <w:top w:val="single" w:sz="4" w:space="0" w:color="auto"/>
              <w:left w:val="nil"/>
              <w:bottom w:val="single" w:sz="4" w:space="0" w:color="auto"/>
              <w:right w:val="single" w:sz="4" w:space="0" w:color="auto"/>
            </w:tcBorders>
            <w:shd w:val="clear" w:color="auto" w:fill="auto"/>
            <w:noWrap/>
            <w:hideMark/>
          </w:tcPr>
          <w:p w14:paraId="4C0DF9B3" w14:textId="3C6456A4" w:rsidR="009127BF" w:rsidRPr="009D4CD4" w:rsidRDefault="009127BF" w:rsidP="009127BF">
            <w:pPr>
              <w:spacing w:after="0" w:line="240" w:lineRule="auto"/>
              <w:jc w:val="left"/>
              <w:rPr>
                <w:rFonts w:eastAsia="Times New Roman" w:cs="Arial"/>
                <w:b/>
                <w:sz w:val="20"/>
                <w:szCs w:val="20"/>
                <w:lang w:eastAsia="fr-FR"/>
              </w:rPr>
            </w:pPr>
            <w:r w:rsidRPr="009D4CD4">
              <w:rPr>
                <w:rFonts w:eastAsia="Times New Roman" w:cs="Arial"/>
                <w:b/>
                <w:sz w:val="20"/>
                <w:szCs w:val="20"/>
                <w:lang w:eastAsia="fr-FR"/>
              </w:rPr>
              <w:t>316,8</w:t>
            </w:r>
          </w:p>
        </w:tc>
      </w:tr>
    </w:tbl>
    <w:p w14:paraId="299422D7" w14:textId="3B4B7FDA" w:rsidR="00B72A61" w:rsidRPr="009D4CD4" w:rsidRDefault="00B72A61" w:rsidP="00B72A61">
      <w:pPr>
        <w:spacing w:after="0" w:line="240" w:lineRule="auto"/>
        <w:jc w:val="left"/>
        <w:rPr>
          <w:rFonts w:cs="Arial"/>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2"/>
        <w:gridCol w:w="1068"/>
        <w:gridCol w:w="1049"/>
        <w:gridCol w:w="1079"/>
      </w:tblGrid>
      <w:tr w:rsidR="00264FF9" w:rsidRPr="009D4CD4" w14:paraId="21BFA48B" w14:textId="77777777" w:rsidTr="009F6EE2">
        <w:trPr>
          <w:trHeight w:hRule="exact" w:val="284"/>
        </w:trPr>
        <w:tc>
          <w:tcPr>
            <w:tcW w:w="4742" w:type="dxa"/>
            <w:tcBorders>
              <w:top w:val="nil"/>
              <w:left w:val="nil"/>
              <w:bottom w:val="single" w:sz="4" w:space="0" w:color="auto"/>
              <w:right w:val="single" w:sz="4" w:space="0" w:color="auto"/>
            </w:tcBorders>
            <w:shd w:val="clear" w:color="auto" w:fill="auto"/>
          </w:tcPr>
          <w:p w14:paraId="3309674D" w14:textId="0EF17163" w:rsidR="00264FF9" w:rsidRPr="009D4CD4" w:rsidRDefault="00264FF9" w:rsidP="00264FF9">
            <w:pPr>
              <w:spacing w:after="0" w:line="240" w:lineRule="auto"/>
              <w:ind w:right="140"/>
              <w:jc w:val="left"/>
              <w:rPr>
                <w:rFonts w:eastAsia="Times New Roman" w:cs="Arial"/>
                <w:sz w:val="20"/>
                <w:szCs w:val="20"/>
              </w:rPr>
            </w:pPr>
            <w:r w:rsidRPr="009D4CD4">
              <w:rPr>
                <w:rFonts w:eastAsia="Times New Roman" w:cs="Arial"/>
                <w:b/>
                <w:i/>
                <w:sz w:val="20"/>
                <w:szCs w:val="20"/>
              </w:rPr>
              <w:t xml:space="preserve">Les chiffres – clé </w:t>
            </w:r>
          </w:p>
        </w:tc>
        <w:tc>
          <w:tcPr>
            <w:tcW w:w="1068" w:type="dxa"/>
            <w:tcBorders>
              <w:left w:val="single" w:sz="4" w:space="0" w:color="auto"/>
            </w:tcBorders>
            <w:shd w:val="clear" w:color="auto" w:fill="auto"/>
          </w:tcPr>
          <w:p w14:paraId="0ACCBC9C" w14:textId="29828875" w:rsidR="00264FF9" w:rsidRPr="009D4CD4" w:rsidRDefault="00264FF9" w:rsidP="00264FF9">
            <w:pPr>
              <w:spacing w:after="0" w:line="240" w:lineRule="auto"/>
              <w:jc w:val="left"/>
              <w:rPr>
                <w:rFonts w:eastAsia="Times New Roman" w:cs="Arial"/>
                <w:b/>
                <w:bCs/>
                <w:sz w:val="20"/>
                <w:szCs w:val="20"/>
                <w:lang w:eastAsia="fr-FR"/>
              </w:rPr>
            </w:pPr>
            <w:r w:rsidRPr="009D4CD4">
              <w:rPr>
                <w:rFonts w:eastAsia="Times New Roman" w:cs="Arial"/>
                <w:b/>
                <w:bCs/>
                <w:sz w:val="20"/>
                <w:szCs w:val="20"/>
                <w:lang w:eastAsia="fr-FR"/>
              </w:rPr>
              <w:t>2021</w:t>
            </w:r>
          </w:p>
        </w:tc>
        <w:tc>
          <w:tcPr>
            <w:tcW w:w="1049" w:type="dxa"/>
            <w:shd w:val="clear" w:color="auto" w:fill="auto"/>
          </w:tcPr>
          <w:p w14:paraId="6B6C52A8" w14:textId="25DD9496" w:rsidR="00264FF9" w:rsidRPr="009D4CD4" w:rsidRDefault="00264FF9" w:rsidP="00264FF9">
            <w:pPr>
              <w:spacing w:after="0" w:line="240" w:lineRule="auto"/>
              <w:jc w:val="left"/>
              <w:rPr>
                <w:rFonts w:eastAsia="Times New Roman" w:cs="Arial"/>
                <w:b/>
                <w:bCs/>
                <w:sz w:val="20"/>
                <w:szCs w:val="20"/>
                <w:lang w:eastAsia="fr-FR"/>
              </w:rPr>
            </w:pPr>
            <w:r w:rsidRPr="009D4CD4">
              <w:rPr>
                <w:rFonts w:eastAsia="Times New Roman" w:cs="Arial"/>
                <w:b/>
                <w:bCs/>
                <w:sz w:val="20"/>
                <w:szCs w:val="20"/>
                <w:lang w:eastAsia="fr-FR"/>
              </w:rPr>
              <w:t>2020</w:t>
            </w:r>
          </w:p>
        </w:tc>
        <w:tc>
          <w:tcPr>
            <w:tcW w:w="1079" w:type="dxa"/>
            <w:shd w:val="clear" w:color="auto" w:fill="auto"/>
          </w:tcPr>
          <w:p w14:paraId="35ABFAC2" w14:textId="6FA1E935" w:rsidR="00264FF9" w:rsidRPr="009D4CD4" w:rsidRDefault="00264FF9" w:rsidP="00264FF9">
            <w:pPr>
              <w:spacing w:after="0" w:line="240" w:lineRule="auto"/>
              <w:jc w:val="left"/>
              <w:rPr>
                <w:rFonts w:eastAsia="Times New Roman" w:cs="Arial"/>
                <w:b/>
                <w:bCs/>
                <w:sz w:val="20"/>
                <w:szCs w:val="20"/>
                <w:lang w:eastAsia="fr-FR"/>
              </w:rPr>
            </w:pPr>
            <w:r w:rsidRPr="009D4CD4">
              <w:rPr>
                <w:rFonts w:eastAsia="Times New Roman" w:cs="Arial"/>
                <w:b/>
                <w:bCs/>
                <w:sz w:val="20"/>
                <w:szCs w:val="20"/>
                <w:lang w:eastAsia="fr-FR"/>
              </w:rPr>
              <w:t>2019</w:t>
            </w:r>
          </w:p>
        </w:tc>
      </w:tr>
      <w:tr w:rsidR="00264FF9" w:rsidRPr="009D4CD4" w14:paraId="4A61392C" w14:textId="77777777" w:rsidTr="009F6EE2">
        <w:trPr>
          <w:trHeight w:hRule="exact" w:val="567"/>
        </w:trPr>
        <w:tc>
          <w:tcPr>
            <w:tcW w:w="4742" w:type="dxa"/>
            <w:tcBorders>
              <w:top w:val="single" w:sz="4" w:space="0" w:color="auto"/>
            </w:tcBorders>
            <w:shd w:val="clear" w:color="auto" w:fill="auto"/>
          </w:tcPr>
          <w:p w14:paraId="50182796" w14:textId="77777777" w:rsidR="00264FF9" w:rsidRPr="009D4CD4" w:rsidRDefault="00264FF9" w:rsidP="00264FF9">
            <w:pPr>
              <w:spacing w:after="0" w:line="240" w:lineRule="auto"/>
              <w:jc w:val="left"/>
              <w:rPr>
                <w:rFonts w:cs="Arial"/>
                <w:sz w:val="20"/>
                <w:szCs w:val="20"/>
              </w:rPr>
            </w:pPr>
            <w:r w:rsidRPr="009D4CD4">
              <w:rPr>
                <w:rFonts w:cs="Arial"/>
                <w:sz w:val="20"/>
                <w:szCs w:val="20"/>
              </w:rPr>
              <w:t>Nb de mises à disposition de relevés de comptes électroniques</w:t>
            </w:r>
          </w:p>
          <w:p w14:paraId="49B37D15" w14:textId="77777777" w:rsidR="00264FF9" w:rsidRPr="009D4CD4" w:rsidRDefault="00264FF9" w:rsidP="00264FF9">
            <w:pPr>
              <w:spacing w:after="0" w:line="240" w:lineRule="auto"/>
              <w:jc w:val="left"/>
              <w:rPr>
                <w:rFonts w:eastAsia="Times New Roman" w:cs="Arial"/>
                <w:sz w:val="20"/>
                <w:szCs w:val="20"/>
              </w:rPr>
            </w:pPr>
          </w:p>
        </w:tc>
        <w:tc>
          <w:tcPr>
            <w:tcW w:w="1068" w:type="dxa"/>
            <w:shd w:val="clear" w:color="auto" w:fill="auto"/>
          </w:tcPr>
          <w:p w14:paraId="05D2756F" w14:textId="574E998B" w:rsidR="00264FF9" w:rsidRPr="009D4CD4" w:rsidRDefault="00EF1DA5" w:rsidP="00264FF9">
            <w:pPr>
              <w:spacing w:after="0" w:line="240" w:lineRule="auto"/>
              <w:jc w:val="left"/>
              <w:rPr>
                <w:rFonts w:cs="Calibri"/>
                <w:sz w:val="20"/>
                <w:szCs w:val="20"/>
                <w:lang w:eastAsia="fr-FR"/>
              </w:rPr>
            </w:pPr>
            <w:r w:rsidRPr="009D4CD4">
              <w:rPr>
                <w:rFonts w:cs="Calibri"/>
                <w:sz w:val="20"/>
                <w:szCs w:val="20"/>
                <w:lang w:eastAsia="fr-FR"/>
              </w:rPr>
              <w:t>448 440</w:t>
            </w:r>
          </w:p>
        </w:tc>
        <w:tc>
          <w:tcPr>
            <w:tcW w:w="1049" w:type="dxa"/>
            <w:shd w:val="clear" w:color="auto" w:fill="auto"/>
          </w:tcPr>
          <w:p w14:paraId="75EFDEE4" w14:textId="125D26FF" w:rsidR="00264FF9" w:rsidRPr="009D4CD4" w:rsidRDefault="00264FF9" w:rsidP="00264FF9">
            <w:pPr>
              <w:jc w:val="left"/>
              <w:rPr>
                <w:rFonts w:cs="Calibri"/>
                <w:sz w:val="20"/>
                <w:szCs w:val="20"/>
              </w:rPr>
            </w:pPr>
            <w:r w:rsidRPr="009D4CD4">
              <w:rPr>
                <w:rFonts w:cs="Calibri"/>
                <w:sz w:val="20"/>
                <w:szCs w:val="20"/>
              </w:rPr>
              <w:t>465 184</w:t>
            </w:r>
          </w:p>
        </w:tc>
        <w:tc>
          <w:tcPr>
            <w:tcW w:w="1079" w:type="dxa"/>
            <w:shd w:val="clear" w:color="auto" w:fill="auto"/>
          </w:tcPr>
          <w:p w14:paraId="0E46BA2E" w14:textId="17E146AA" w:rsidR="00264FF9" w:rsidRPr="009D4CD4" w:rsidRDefault="00264FF9" w:rsidP="00264FF9">
            <w:pPr>
              <w:jc w:val="left"/>
              <w:rPr>
                <w:rFonts w:cs="Calibri"/>
                <w:sz w:val="20"/>
                <w:szCs w:val="20"/>
              </w:rPr>
            </w:pPr>
            <w:r w:rsidRPr="009D4CD4">
              <w:rPr>
                <w:rFonts w:cs="Calibri"/>
                <w:sz w:val="20"/>
                <w:szCs w:val="20"/>
              </w:rPr>
              <w:t>389 041</w:t>
            </w:r>
          </w:p>
        </w:tc>
      </w:tr>
    </w:tbl>
    <w:p w14:paraId="54E1DEAC" w14:textId="77777777" w:rsidR="00191B13" w:rsidRPr="009D4CD4" w:rsidRDefault="00191B13" w:rsidP="00B72A61">
      <w:pPr>
        <w:spacing w:after="0" w:line="240" w:lineRule="auto"/>
        <w:jc w:val="left"/>
        <w:rPr>
          <w:rFonts w:cs="Arial"/>
        </w:rPr>
      </w:pPr>
    </w:p>
    <w:p w14:paraId="0916D6B3" w14:textId="43DE192B" w:rsidR="009675AC" w:rsidRPr="009D4CD4" w:rsidRDefault="009675AC" w:rsidP="009675AC">
      <w:pPr>
        <w:spacing w:after="0" w:line="240" w:lineRule="auto"/>
        <w:jc w:val="left"/>
        <w:rPr>
          <w:rFonts w:cs="Arial"/>
        </w:rPr>
      </w:pPr>
      <w:r w:rsidRPr="009D4CD4">
        <w:rPr>
          <w:rFonts w:cs="Arial"/>
        </w:rPr>
        <w:t xml:space="preserve">Le volume de papier utilisé en interne ou à destination des clients est évalué grâce à un suivi des sources les plus significatives. Quelques sources ne sont donc pas comptabilisées, comme les annexes expédiées avec les mailings, les supports externes de formation ou la publicité sur les lieux de vente. </w:t>
      </w:r>
    </w:p>
    <w:p w14:paraId="3A78627C" w14:textId="15842249" w:rsidR="00191B13" w:rsidRPr="009D4CD4" w:rsidRDefault="00191B13" w:rsidP="009675AC">
      <w:pPr>
        <w:spacing w:after="0" w:line="240" w:lineRule="auto"/>
        <w:jc w:val="left"/>
        <w:rPr>
          <w:rFonts w:cs="Arial"/>
        </w:rPr>
      </w:pPr>
      <w:r w:rsidRPr="009D4CD4">
        <w:rPr>
          <w:rFonts w:cs="Arial"/>
        </w:rPr>
        <w:t>Le volume de papier consommé en 2021 apparaît comme une correction par rapport à l’année 2020 atypique en raison de la crise sanitaire. En tendance, la consommation continue de diminuer. En 5 ans, entre 2016 et 2021, elle est passée de 378,3 à 290,7 tonnes, soit une baisse forte de 4,6% par an.</w:t>
      </w:r>
    </w:p>
    <w:p w14:paraId="2F7599D4" w14:textId="77777777" w:rsidR="00191B13" w:rsidRPr="009D4CD4" w:rsidRDefault="00191B13" w:rsidP="009675AC">
      <w:pPr>
        <w:spacing w:after="0" w:line="240" w:lineRule="auto"/>
        <w:jc w:val="left"/>
        <w:rPr>
          <w:rFonts w:cs="Arial"/>
        </w:rPr>
      </w:pPr>
    </w:p>
    <w:p w14:paraId="00CF88BC" w14:textId="06196529" w:rsidR="00B72A61" w:rsidRPr="009D4CD4" w:rsidRDefault="00B72A61" w:rsidP="00B72A61">
      <w:pPr>
        <w:spacing w:after="0" w:line="240" w:lineRule="auto"/>
        <w:jc w:val="left"/>
        <w:rPr>
          <w:rFonts w:cs="Arial"/>
        </w:rPr>
      </w:pPr>
      <w:r w:rsidRPr="009D4CD4">
        <w:rPr>
          <w:rFonts w:cs="Arial"/>
        </w:rPr>
        <w:t>L’objectif de réduction des quantités de papier utilisées est motivé par plusieurs enjeux : environnemental</w:t>
      </w:r>
      <w:r w:rsidR="005B6735">
        <w:rPr>
          <w:rFonts w:cs="Arial"/>
        </w:rPr>
        <w:t> ;</w:t>
      </w:r>
      <w:r w:rsidRPr="009D4CD4">
        <w:rPr>
          <w:rFonts w:cs="Arial"/>
        </w:rPr>
        <w:t xml:space="preserve"> réduction des </w:t>
      </w:r>
      <w:r w:rsidR="008E0F9E" w:rsidRPr="009D4CD4">
        <w:rPr>
          <w:rFonts w:cs="Arial"/>
        </w:rPr>
        <w:t>coûts ;</w:t>
      </w:r>
      <w:r w:rsidRPr="009D4CD4">
        <w:rPr>
          <w:rFonts w:cs="Arial"/>
        </w:rPr>
        <w:t xml:space="preserve"> sécurité des opérations ; satisfaction des clients. La dématérialisation des documents réduit les erreurs liées aux pertes ou à la manipulation de papier et procure plus de services en termes d’utilisation et de conservation. </w:t>
      </w:r>
    </w:p>
    <w:p w14:paraId="34BD45FA" w14:textId="77777777" w:rsidR="00B72A61" w:rsidRPr="009D4CD4" w:rsidRDefault="00B72A61" w:rsidP="00B72A61">
      <w:pPr>
        <w:spacing w:after="0" w:line="240" w:lineRule="auto"/>
        <w:jc w:val="left"/>
        <w:rPr>
          <w:rFonts w:cs="Arial"/>
        </w:rPr>
      </w:pPr>
    </w:p>
    <w:p w14:paraId="5C324BB5" w14:textId="77777777" w:rsidR="00B72A61" w:rsidRPr="009D4CD4" w:rsidRDefault="00B72A61" w:rsidP="00B72A61">
      <w:pPr>
        <w:spacing w:after="0" w:line="240" w:lineRule="auto"/>
        <w:jc w:val="left"/>
        <w:rPr>
          <w:rFonts w:cs="Arial"/>
        </w:rPr>
      </w:pPr>
      <w:r w:rsidRPr="009D4CD4">
        <w:rPr>
          <w:rFonts w:cs="Arial"/>
        </w:rPr>
        <w:t xml:space="preserve">Chaque année, des efforts sont déployés pour peser sur la consommation de papier, comme, par exemple, </w:t>
      </w:r>
      <w:r w:rsidR="00D16801" w:rsidRPr="009D4CD4">
        <w:rPr>
          <w:rFonts w:cs="Arial"/>
        </w:rPr>
        <w:t>l’impression</w:t>
      </w:r>
      <w:r w:rsidRPr="009D4CD4">
        <w:rPr>
          <w:rFonts w:cs="Arial"/>
        </w:rPr>
        <w:t xml:space="preserve"> recto – verso, la réduction continue des imprimés bancaires et autres bordereaux et pièces administratives, ceci par les actions de simplification et de dématérialisation. Ces efforts sont conduits dans tous les domaines. Ils portent par exemple </w:t>
      </w:r>
      <w:r w:rsidR="008E0F9E" w:rsidRPr="009D4CD4">
        <w:rPr>
          <w:rFonts w:cs="Arial"/>
        </w:rPr>
        <w:t>sur :</w:t>
      </w:r>
      <w:r w:rsidRPr="009D4CD4">
        <w:rPr>
          <w:rFonts w:cs="Arial"/>
        </w:rPr>
        <w:t xml:space="preserve"> </w:t>
      </w:r>
    </w:p>
    <w:p w14:paraId="108F3377" w14:textId="77777777" w:rsidR="00B72A61" w:rsidRPr="009D4CD4" w:rsidRDefault="00B72A61" w:rsidP="00B72A61">
      <w:pPr>
        <w:spacing w:after="0" w:line="240" w:lineRule="auto"/>
        <w:jc w:val="left"/>
        <w:rPr>
          <w:rFonts w:cs="Arial"/>
        </w:rPr>
      </w:pPr>
    </w:p>
    <w:p w14:paraId="42A24EA5" w14:textId="0435626C" w:rsidR="00B72A61" w:rsidRPr="009D4CD4" w:rsidRDefault="00B72A61" w:rsidP="00B72A61">
      <w:pPr>
        <w:spacing w:after="0" w:line="240" w:lineRule="auto"/>
        <w:jc w:val="left"/>
      </w:pPr>
      <w:r w:rsidRPr="009D4CD4">
        <w:t>&gt; Le processus de numérisation des factures</w:t>
      </w:r>
      <w:r w:rsidR="00191B13" w:rsidRPr="009D4CD4">
        <w:t>,</w:t>
      </w:r>
      <w:r w:rsidRPr="009D4CD4">
        <w:br/>
        <w:t>&gt; La mise à disposition des salariés du coffre - fort électronique, afin de dématérialiser certains documents tels que les bulletins de paie, le bilan social individualisé, mais également de stocker des documents numériques privés. Le service est personnel, confidentiel, sécurisé et gratuit. Les salariés peuvent le conserver à vie, même après leur départ de l’entreprise</w:t>
      </w:r>
      <w:r w:rsidR="00191B13" w:rsidRPr="009D4CD4">
        <w:t>,</w:t>
      </w:r>
    </w:p>
    <w:p w14:paraId="67AFD59F" w14:textId="4638C182" w:rsidR="00B72A61" w:rsidRPr="009D4CD4" w:rsidRDefault="00B72A61" w:rsidP="00B72A61">
      <w:pPr>
        <w:spacing w:after="0" w:line="240" w:lineRule="auto"/>
        <w:jc w:val="left"/>
      </w:pPr>
      <w:r w:rsidRPr="009D4CD4">
        <w:t>&gt; La communication de bordereaux et documents justificatifs de gestion des Caisses locales, de même que l’émargement des sociétaires aux Assemblées générales des Caisses locale</w:t>
      </w:r>
      <w:r w:rsidR="005B6735">
        <w:t>s</w:t>
      </w:r>
      <w:r w:rsidR="00191B13" w:rsidRPr="009D4CD4">
        <w:t>,</w:t>
      </w:r>
    </w:p>
    <w:p w14:paraId="5FA3321D" w14:textId="739312E1" w:rsidR="00B72A61" w:rsidRPr="009D4CD4" w:rsidRDefault="00B72A61" w:rsidP="00B72A61">
      <w:pPr>
        <w:spacing w:after="0" w:line="240" w:lineRule="auto"/>
        <w:jc w:val="left"/>
      </w:pPr>
      <w:r w:rsidRPr="009D4CD4">
        <w:t>&gt; Les échanges avec les notaires grâce à un portail en ligne</w:t>
      </w:r>
      <w:r w:rsidR="00191B13" w:rsidRPr="009D4CD4">
        <w:t>,</w:t>
      </w:r>
    </w:p>
    <w:p w14:paraId="12C67E52" w14:textId="1B9E18F1" w:rsidR="00B72A61" w:rsidRPr="009D4CD4" w:rsidRDefault="00B72A61" w:rsidP="00B72A61">
      <w:pPr>
        <w:spacing w:after="0" w:line="240" w:lineRule="auto"/>
        <w:jc w:val="left"/>
      </w:pPr>
      <w:r w:rsidRPr="009D4CD4">
        <w:rPr>
          <w:sz w:val="20"/>
        </w:rPr>
        <w:t xml:space="preserve">&gt; L’instruction des </w:t>
      </w:r>
      <w:r w:rsidRPr="009D4CD4">
        <w:t>dossiers de demandes de crédit Agri et Professionnels</w:t>
      </w:r>
      <w:r w:rsidR="00191B13" w:rsidRPr="009D4CD4">
        <w:t>,</w:t>
      </w:r>
    </w:p>
    <w:p w14:paraId="4B938695" w14:textId="77777777" w:rsidR="00AB5492" w:rsidRPr="009D4CD4" w:rsidRDefault="005F15DC" w:rsidP="00B72A61">
      <w:pPr>
        <w:spacing w:after="0" w:line="240" w:lineRule="auto"/>
        <w:jc w:val="left"/>
      </w:pPr>
      <w:r w:rsidRPr="009D4CD4">
        <w:t>&gt; La transmission des dossiers prescripteurs sur l’outil e-courtier, ainsi que la facturation.</w:t>
      </w:r>
      <w:r w:rsidR="00AB5492" w:rsidRPr="009D4CD4">
        <w:br/>
      </w:r>
    </w:p>
    <w:p w14:paraId="63E8C5F6" w14:textId="5A6D4D5A" w:rsidR="00B72A61" w:rsidRPr="009D4CD4" w:rsidRDefault="00AB5492" w:rsidP="00B72A61">
      <w:pPr>
        <w:spacing w:after="0" w:line="240" w:lineRule="auto"/>
        <w:jc w:val="left"/>
      </w:pPr>
      <w:r w:rsidRPr="009D4CD4">
        <w:t xml:space="preserve">En 2021, plusieurs initiatives ont été prises : </w:t>
      </w:r>
    </w:p>
    <w:p w14:paraId="34A62E5D" w14:textId="30CB9DFB" w:rsidR="005F15DC" w:rsidRPr="009D4CD4" w:rsidRDefault="00D53D07" w:rsidP="00B72A61">
      <w:pPr>
        <w:spacing w:after="0" w:line="240" w:lineRule="auto"/>
        <w:jc w:val="left"/>
      </w:pPr>
      <w:r w:rsidRPr="009D4CD4">
        <w:t>&gt; Dématérialisation des registres des Conseil</w:t>
      </w:r>
      <w:r w:rsidR="00AB5492" w:rsidRPr="009D4CD4">
        <w:t>s</w:t>
      </w:r>
      <w:r w:rsidRPr="009D4CD4">
        <w:t xml:space="preserve"> d’Administration des Caisses locales</w:t>
      </w:r>
      <w:r w:rsidR="00D72E91" w:rsidRPr="009D4CD4">
        <w:t>,</w:t>
      </w:r>
    </w:p>
    <w:p w14:paraId="3BE9F52C" w14:textId="4E0BAE54" w:rsidR="00007A6E" w:rsidRPr="009D4CD4" w:rsidRDefault="00007A6E" w:rsidP="00B72A61">
      <w:pPr>
        <w:spacing w:after="0" w:line="240" w:lineRule="auto"/>
        <w:jc w:val="left"/>
      </w:pPr>
      <w:r w:rsidRPr="009D4CD4">
        <w:t>&gt; Dématéria</w:t>
      </w:r>
      <w:r w:rsidR="00AB5492" w:rsidRPr="009D4CD4">
        <w:t>lisation des tickets-restaurant aux salariés</w:t>
      </w:r>
      <w:r w:rsidR="00D72E91" w:rsidRPr="009D4CD4">
        <w:t>,</w:t>
      </w:r>
    </w:p>
    <w:p w14:paraId="5142DEDB" w14:textId="6354E34E" w:rsidR="000B2796" w:rsidRPr="009D4CD4" w:rsidRDefault="00AB5492" w:rsidP="00B72A61">
      <w:pPr>
        <w:spacing w:after="0" w:line="240" w:lineRule="auto"/>
        <w:jc w:val="left"/>
      </w:pPr>
      <w:r w:rsidRPr="009D4CD4">
        <w:t>&gt; Démarrage d’un programme de suppression des agendas et calendriers utilisés en intern</w:t>
      </w:r>
      <w:r w:rsidR="00870A4D" w:rsidRPr="009D4CD4">
        <w:t>e et donnés aux clients (premiè</w:t>
      </w:r>
      <w:r w:rsidRPr="009D4CD4">
        <w:t xml:space="preserve">re étape de suppression </w:t>
      </w:r>
      <w:r w:rsidR="000B2796" w:rsidRPr="009D4CD4">
        <w:t>des a</w:t>
      </w:r>
      <w:r w:rsidRPr="009D4CD4">
        <w:t xml:space="preserve">gendas </w:t>
      </w:r>
      <w:r w:rsidR="000B2796" w:rsidRPr="009D4CD4">
        <w:t>de type «</w:t>
      </w:r>
      <w:r w:rsidR="00D72E91" w:rsidRPr="009D4CD4">
        <w:t xml:space="preserve"> </w:t>
      </w:r>
      <w:r w:rsidR="000B2796" w:rsidRPr="009D4CD4">
        <w:t>gold »)</w:t>
      </w:r>
      <w:r w:rsidR="00D72E91" w:rsidRPr="009D4CD4">
        <w:t>.</w:t>
      </w:r>
    </w:p>
    <w:p w14:paraId="751DF5E2" w14:textId="77777777" w:rsidR="000B2796" w:rsidRPr="009D4CD4" w:rsidRDefault="000B2796" w:rsidP="00B72A61">
      <w:pPr>
        <w:spacing w:after="0" w:line="240" w:lineRule="auto"/>
        <w:jc w:val="left"/>
      </w:pPr>
    </w:p>
    <w:p w14:paraId="73FF54B7" w14:textId="4E10C9E3" w:rsidR="00B72A61" w:rsidRPr="009D4CD4" w:rsidRDefault="00B72A61" w:rsidP="00B72A61">
      <w:pPr>
        <w:spacing w:after="0" w:line="240" w:lineRule="auto"/>
        <w:jc w:val="left"/>
        <w:rPr>
          <w:rFonts w:cs="Arial"/>
        </w:rPr>
      </w:pPr>
      <w:r w:rsidRPr="009D4CD4">
        <w:rPr>
          <w:rFonts w:cs="Arial"/>
        </w:rPr>
        <w:t>Les tendances observées en matière de consommation de papier sont également à mettre en relation avec les attentes des clients, comme le montre par exemple la baisse régulière de l’utilisat</w:t>
      </w:r>
      <w:r w:rsidR="009675AC" w:rsidRPr="009D4CD4">
        <w:rPr>
          <w:rFonts w:cs="Arial"/>
        </w:rPr>
        <w:t>ion des chèques ou l’adoption des</w:t>
      </w:r>
      <w:r w:rsidRPr="009D4CD4">
        <w:rPr>
          <w:rFonts w:cs="Arial"/>
        </w:rPr>
        <w:t xml:space="preserve"> relevé</w:t>
      </w:r>
      <w:r w:rsidR="009675AC" w:rsidRPr="009D4CD4">
        <w:rPr>
          <w:rFonts w:cs="Arial"/>
        </w:rPr>
        <w:t>s</w:t>
      </w:r>
      <w:r w:rsidRPr="009D4CD4">
        <w:rPr>
          <w:rFonts w:cs="Arial"/>
        </w:rPr>
        <w:t xml:space="preserve"> de compte électronique</w:t>
      </w:r>
      <w:r w:rsidR="009675AC" w:rsidRPr="009D4CD4">
        <w:rPr>
          <w:rFonts w:cs="Arial"/>
        </w:rPr>
        <w:t>s</w:t>
      </w:r>
      <w:r w:rsidRPr="009D4CD4">
        <w:rPr>
          <w:rFonts w:cs="Arial"/>
        </w:rPr>
        <w:t>.</w:t>
      </w:r>
      <w:r w:rsidRPr="009D4CD4">
        <w:rPr>
          <w:rFonts w:cs="Arial"/>
        </w:rPr>
        <w:br/>
      </w:r>
    </w:p>
    <w:p w14:paraId="2561F555" w14:textId="6A93C8DA" w:rsidR="00B72A61" w:rsidRPr="009D4CD4" w:rsidRDefault="00937437" w:rsidP="00937437">
      <w:pPr>
        <w:spacing w:after="0" w:line="240" w:lineRule="auto"/>
        <w:jc w:val="left"/>
        <w:rPr>
          <w:rFonts w:cs="Arial"/>
          <w:i/>
        </w:rPr>
      </w:pPr>
      <w:r w:rsidRPr="009D4CD4">
        <w:rPr>
          <w:rFonts w:cs="Arial"/>
          <w:i/>
        </w:rPr>
        <w:t>&gt;Utilisation de papier plus é</w:t>
      </w:r>
      <w:r w:rsidR="00B72A61" w:rsidRPr="009D4CD4">
        <w:rPr>
          <w:rFonts w:cs="Arial"/>
          <w:i/>
        </w:rPr>
        <w:t>co – responsab</w:t>
      </w:r>
      <w:r w:rsidRPr="009D4CD4">
        <w:rPr>
          <w:rFonts w:cs="Arial"/>
          <w:i/>
        </w:rPr>
        <w:t>le</w:t>
      </w:r>
      <w:r w:rsidR="00B72A61" w:rsidRPr="009D4CD4">
        <w:rPr>
          <w:rFonts w:cs="Arial"/>
          <w:i/>
        </w:rPr>
        <w:t>.</w:t>
      </w:r>
    </w:p>
    <w:p w14:paraId="3A0D734E" w14:textId="77777777" w:rsidR="00B72A61" w:rsidRPr="009D4CD4" w:rsidRDefault="00B72A61" w:rsidP="00B72A61">
      <w:pPr>
        <w:spacing w:after="0" w:line="240" w:lineRule="auto"/>
        <w:jc w:val="left"/>
        <w:rPr>
          <w:rFonts w:cs="Arial"/>
        </w:rPr>
      </w:pPr>
    </w:p>
    <w:p w14:paraId="00C0AFA7" w14:textId="5AD0B64D" w:rsidR="00B72A61" w:rsidRPr="009D4CD4" w:rsidRDefault="00B72A61" w:rsidP="00B72A61">
      <w:pPr>
        <w:spacing w:after="0" w:line="240" w:lineRule="auto"/>
        <w:jc w:val="left"/>
        <w:rPr>
          <w:rFonts w:eastAsia="Times New Roman"/>
          <w:lang w:eastAsia="fr-FR"/>
        </w:rPr>
      </w:pPr>
      <w:r w:rsidRPr="009D4CD4">
        <w:rPr>
          <w:rFonts w:cs="Arial"/>
        </w:rPr>
        <w:t xml:space="preserve">Pour tous les relevés de compte et autres documents expédiés aux clients, la </w:t>
      </w:r>
      <w:r w:rsidR="00A7717F">
        <w:rPr>
          <w:rFonts w:cs="Arial"/>
        </w:rPr>
        <w:t>Caisse Régionale</w:t>
      </w:r>
      <w:r w:rsidRPr="009D4CD4">
        <w:rPr>
          <w:rFonts w:cs="Arial"/>
        </w:rPr>
        <w:t xml:space="preserve"> utilise du papier éco-labellisé PEFC pour les courriers et les enveloppes. Ce label garantit qu’au moins 70% des fibres de bois utilisées proviennent de forêts gérées durablement. Les ramettes de papier utilisées par les services administratifs et les agences sont éco labélisés PEFC, tout comme les agendas.</w:t>
      </w:r>
      <w:r w:rsidR="000D5C48" w:rsidRPr="009D4CD4">
        <w:rPr>
          <w:rFonts w:cs="Arial"/>
        </w:rPr>
        <w:t xml:space="preserve"> </w:t>
      </w:r>
      <w:r w:rsidR="00140DDB" w:rsidRPr="009D4CD4">
        <w:rPr>
          <w:rFonts w:cs="Arial"/>
        </w:rPr>
        <w:t>L</w:t>
      </w:r>
      <w:r w:rsidRPr="009D4CD4">
        <w:rPr>
          <w:rFonts w:cs="Arial"/>
        </w:rPr>
        <w:t>es chéquiers</w:t>
      </w:r>
      <w:r w:rsidR="00326D6D" w:rsidRPr="009D4CD4">
        <w:rPr>
          <w:rFonts w:eastAsia="Times New Roman"/>
          <w:lang w:eastAsia="fr-FR"/>
        </w:rPr>
        <w:t xml:space="preserve"> sont également certifiés PEFC.</w:t>
      </w:r>
    </w:p>
    <w:p w14:paraId="7C4985D1" w14:textId="638554BF" w:rsidR="00B72A61" w:rsidRPr="009D4CD4" w:rsidRDefault="00B72A61" w:rsidP="00326D6D">
      <w:pPr>
        <w:pStyle w:val="Titre4"/>
      </w:pPr>
      <w:bookmarkStart w:id="163" w:name="_Toc96698051"/>
      <w:r w:rsidRPr="009D4CD4">
        <w:t>Biomasse</w:t>
      </w:r>
      <w:bookmarkEnd w:id="163"/>
    </w:p>
    <w:p w14:paraId="24D7CB08" w14:textId="46CB9961" w:rsidR="00B72A61" w:rsidRPr="009D4CD4" w:rsidRDefault="00B72A61" w:rsidP="00B72A61">
      <w:pPr>
        <w:spacing w:after="0" w:line="240" w:lineRule="auto"/>
        <w:jc w:val="left"/>
        <w:rPr>
          <w:rFonts w:cs="Arial"/>
        </w:rPr>
      </w:pPr>
      <w:r w:rsidRPr="009D4CD4">
        <w:rPr>
          <w:rFonts w:cs="Arial"/>
        </w:rPr>
        <w:t xml:space="preserve">Le site administratif de Rodez Causse Comtal bénéficie d’un système de chauffage mixte biomasse et fioul. </w:t>
      </w:r>
      <w:r w:rsidR="00326D6D" w:rsidRPr="009D4CD4">
        <w:rPr>
          <w:rFonts w:cs="Arial"/>
        </w:rPr>
        <w:t>La</w:t>
      </w:r>
      <w:r w:rsidRPr="009D4CD4">
        <w:rPr>
          <w:rFonts w:cs="Arial"/>
        </w:rPr>
        <w:t xml:space="preserve"> chaudière à biomasse d’une puissance de 700 kW, est approvisionnée en plaquettes fournies par une entreprise locale à partir de bois éco-cert</w:t>
      </w:r>
      <w:r w:rsidR="00326D6D" w:rsidRPr="009D4CD4">
        <w:rPr>
          <w:rFonts w:cs="Arial"/>
        </w:rPr>
        <w:t xml:space="preserve">ifié PEFC. </w:t>
      </w:r>
    </w:p>
    <w:p w14:paraId="6DBEE127" w14:textId="78B487C2" w:rsidR="00937437" w:rsidRPr="009D4CD4" w:rsidRDefault="00C42BD7" w:rsidP="00937437">
      <w:pPr>
        <w:pStyle w:val="Titre4"/>
      </w:pPr>
      <w:bookmarkStart w:id="164" w:name="_Toc96698052"/>
      <w:r w:rsidRPr="009D4CD4">
        <w:t>Suppression des batteries au</w:t>
      </w:r>
      <w:r w:rsidR="00436530" w:rsidRPr="009D4CD4">
        <w:t xml:space="preserve"> plomb</w:t>
      </w:r>
      <w:r w:rsidR="003D66A2" w:rsidRPr="009D4CD4">
        <w:t xml:space="preserve"> dans les agences</w:t>
      </w:r>
      <w:bookmarkEnd w:id="164"/>
    </w:p>
    <w:p w14:paraId="1B36B555" w14:textId="6195262C" w:rsidR="002736B2" w:rsidRPr="009D4CD4" w:rsidRDefault="00C42BD7" w:rsidP="0016681B">
      <w:pPr>
        <w:autoSpaceDE w:val="0"/>
        <w:autoSpaceDN w:val="0"/>
        <w:adjustRightInd w:val="0"/>
        <w:spacing w:after="0" w:line="240" w:lineRule="auto"/>
        <w:jc w:val="left"/>
      </w:pPr>
      <w:r w:rsidRPr="009D4CD4">
        <w:t>En 2021, u</w:t>
      </w:r>
      <w:r w:rsidR="0016681B" w:rsidRPr="009D4CD4">
        <w:t xml:space="preserve">n projet est mené concernant </w:t>
      </w:r>
      <w:r w:rsidRPr="009D4CD4">
        <w:t>le parc de 840</w:t>
      </w:r>
      <w:r w:rsidR="002736B2" w:rsidRPr="009D4CD4">
        <w:t xml:space="preserve"> batteries de secours des systèmes d’alarme des</w:t>
      </w:r>
      <w:r w:rsidR="0016681B" w:rsidRPr="009D4CD4">
        <w:t xml:space="preserve"> agences. L’objectif est de substituer les batteries au plomb par des batteries au lithium</w:t>
      </w:r>
      <w:r w:rsidRPr="009D4CD4">
        <w:t>,</w:t>
      </w:r>
      <w:r w:rsidR="0016681B" w:rsidRPr="009D4CD4">
        <w:t xml:space="preserve"> afin de sécuriser le système de gestion et de réduire l’empreinte écologique.  La solution permet </w:t>
      </w:r>
      <w:r w:rsidRPr="009D4CD4">
        <w:t>de gérer</w:t>
      </w:r>
      <w:r w:rsidR="0016681B" w:rsidRPr="009D4CD4">
        <w:t xml:space="preserve"> automatiquement</w:t>
      </w:r>
      <w:r w:rsidRPr="009D4CD4">
        <w:t xml:space="preserve"> l’état général de la batterie, </w:t>
      </w:r>
      <w:r w:rsidR="0016681B" w:rsidRPr="009D4CD4">
        <w:t>les niveaux de charge et de remonter l’autonomie restante via une interface de supervision.</w:t>
      </w:r>
    </w:p>
    <w:p w14:paraId="2CF820B5" w14:textId="60295C51" w:rsidR="00C42BD7" w:rsidRPr="009D4CD4" w:rsidRDefault="00C42BD7" w:rsidP="0016681B">
      <w:pPr>
        <w:autoSpaceDE w:val="0"/>
        <w:autoSpaceDN w:val="0"/>
        <w:adjustRightInd w:val="0"/>
        <w:spacing w:after="0" w:line="240" w:lineRule="auto"/>
        <w:jc w:val="left"/>
      </w:pPr>
      <w:r w:rsidRPr="009D4CD4">
        <w:t>Le recyclage des batteries en plomb est assuré par l’usine S</w:t>
      </w:r>
      <w:r w:rsidR="003D66A2" w:rsidRPr="009D4CD4">
        <w:t>N</w:t>
      </w:r>
      <w:r w:rsidRPr="009D4CD4">
        <w:t>AM, basée en Aveyron</w:t>
      </w:r>
      <w:r w:rsidR="003D66A2" w:rsidRPr="009D4CD4">
        <w:t xml:space="preserve">. </w:t>
      </w:r>
    </w:p>
    <w:p w14:paraId="5A39AB29" w14:textId="12C8953A" w:rsidR="00056B26" w:rsidRPr="009D4CD4" w:rsidRDefault="00C42BD7" w:rsidP="00326D6D">
      <w:pPr>
        <w:spacing w:after="0" w:line="240" w:lineRule="auto"/>
      </w:pPr>
      <w:r w:rsidRPr="009D4CD4">
        <w:t xml:space="preserve">Un pilote sur 3 agences </w:t>
      </w:r>
      <w:r w:rsidR="003D66A2" w:rsidRPr="009D4CD4">
        <w:t xml:space="preserve">réalisé en 2021 </w:t>
      </w:r>
      <w:r w:rsidRPr="009D4CD4">
        <w:t>est concluant. Le déploiement est prévu jusqu’en 2023.</w:t>
      </w:r>
    </w:p>
    <w:p w14:paraId="71683063" w14:textId="136B7E6E" w:rsidR="00056B26" w:rsidRPr="009D4CD4" w:rsidRDefault="00056B26" w:rsidP="00056B26">
      <w:pPr>
        <w:pStyle w:val="Titre4"/>
      </w:pPr>
      <w:bookmarkStart w:id="165" w:name="_Toc96698053"/>
      <w:r w:rsidRPr="009D4CD4">
        <w:t>Tendre vers la suppression du plastique à usage unique</w:t>
      </w:r>
      <w:bookmarkEnd w:id="165"/>
    </w:p>
    <w:p w14:paraId="5C48B055" w14:textId="3F050BB4" w:rsidR="00056B26" w:rsidRPr="009D4CD4" w:rsidRDefault="00056B26" w:rsidP="00056B26">
      <w:pPr>
        <w:spacing w:after="0" w:line="240" w:lineRule="auto"/>
        <w:jc w:val="left"/>
        <w:rPr>
          <w:rFonts w:cs="Arial"/>
        </w:rPr>
      </w:pPr>
      <w:r w:rsidRPr="009D4CD4">
        <w:rPr>
          <w:rFonts w:cs="Arial"/>
        </w:rPr>
        <w:t xml:space="preserve">La </w:t>
      </w:r>
      <w:r w:rsidR="00A7717F">
        <w:rPr>
          <w:rFonts w:cs="Arial"/>
        </w:rPr>
        <w:t>Caisse Régionale</w:t>
      </w:r>
      <w:r w:rsidRPr="009D4CD4">
        <w:rPr>
          <w:rFonts w:cs="Arial"/>
        </w:rPr>
        <w:t xml:space="preserve"> a lancé en 2020 un projet visant à supprimer à terme l’utilisation de plastique à usage unique. Premier chantier ouvert : les bouteilles d’eau mises à disposition dans les salles de réunion. Des fontaines à eau ont été installées dans chaque site administratif et une gourde distribuée à tous les salariés.  Ces actions ont permis d’économiser la consommation annuelle de 35 000 bouteilles. </w:t>
      </w:r>
    </w:p>
    <w:p w14:paraId="6BA192A1" w14:textId="77777777" w:rsidR="00056B26" w:rsidRPr="009D4CD4" w:rsidRDefault="00056B26" w:rsidP="00056B26">
      <w:pPr>
        <w:pStyle w:val="NormalWeb"/>
        <w:spacing w:before="0" w:beforeAutospacing="0" w:after="0" w:afterAutospacing="0"/>
        <w:jc w:val="both"/>
        <w:rPr>
          <w:rFonts w:ascii="Calibri" w:eastAsia="Calibri" w:hAnsi="Calibri" w:cs="Arial"/>
          <w:sz w:val="22"/>
          <w:szCs w:val="22"/>
          <w:lang w:eastAsia="en-US"/>
        </w:rPr>
      </w:pPr>
    </w:p>
    <w:p w14:paraId="30831DF4" w14:textId="77777777" w:rsidR="00056B26" w:rsidRPr="009D4CD4" w:rsidRDefault="00056B26" w:rsidP="00056B26">
      <w:pPr>
        <w:pStyle w:val="NormalWeb"/>
        <w:spacing w:before="0" w:beforeAutospacing="0" w:after="0" w:afterAutospacing="0"/>
        <w:jc w:val="both"/>
        <w:rPr>
          <w:rFonts w:ascii="Calibri" w:eastAsia="Calibri" w:hAnsi="Calibri" w:cs="Arial"/>
          <w:sz w:val="22"/>
          <w:szCs w:val="22"/>
          <w:lang w:eastAsia="en-US"/>
        </w:rPr>
      </w:pPr>
      <w:r w:rsidRPr="009D4CD4">
        <w:rPr>
          <w:rFonts w:ascii="Calibri" w:eastAsia="Calibri" w:hAnsi="Calibri" w:cs="Arial"/>
          <w:sz w:val="22"/>
          <w:szCs w:val="22"/>
          <w:lang w:eastAsia="en-US"/>
        </w:rPr>
        <w:t xml:space="preserve">En 2021, les pochettes en plastique ont été supprimées (consommation annuelle de 100 000 unités, notamment pour l’archivage des dossiers de crédits). Des solutions en papier cartonné ont été conçues en remplacement. </w:t>
      </w:r>
    </w:p>
    <w:p w14:paraId="4FB5ABFD" w14:textId="11E85BD7" w:rsidR="00937437" w:rsidRPr="009D4CD4" w:rsidRDefault="00937437" w:rsidP="00B72A61">
      <w:pPr>
        <w:spacing w:after="0" w:line="240" w:lineRule="auto"/>
        <w:jc w:val="left"/>
        <w:rPr>
          <w:rFonts w:cs="Arial"/>
          <w:u w:val="single"/>
        </w:rPr>
      </w:pPr>
    </w:p>
    <w:p w14:paraId="1FFB0E20" w14:textId="77777777" w:rsidR="001B75B0" w:rsidRPr="009D4CD4" w:rsidRDefault="001B75B0" w:rsidP="001B75B0">
      <w:pPr>
        <w:spacing w:after="0" w:line="240" w:lineRule="auto"/>
        <w:jc w:val="left"/>
        <w:rPr>
          <w:rFonts w:cs="Arial"/>
          <w:u w:val="single"/>
        </w:rPr>
      </w:pPr>
    </w:p>
    <w:p w14:paraId="712FB2D0" w14:textId="317E1263" w:rsidR="001B75B0" w:rsidRPr="009D4CD4" w:rsidRDefault="001B75B0" w:rsidP="001B75B0">
      <w:pPr>
        <w:numPr>
          <w:ilvl w:val="0"/>
          <w:numId w:val="4"/>
        </w:numPr>
        <w:spacing w:after="0" w:line="240" w:lineRule="auto"/>
        <w:jc w:val="left"/>
        <w:rPr>
          <w:rFonts w:cs="Arial"/>
        </w:rPr>
      </w:pPr>
      <w:r w:rsidRPr="009D4CD4">
        <w:rPr>
          <w:rFonts w:cs="Arial"/>
        </w:rPr>
        <w:t xml:space="preserve">Les filiales Edokial et Inforsud Technologies </w:t>
      </w:r>
      <w:r w:rsidR="001F1BBD" w:rsidRPr="009D4CD4">
        <w:rPr>
          <w:rFonts w:cs="Arial"/>
        </w:rPr>
        <w:t>(IST)</w:t>
      </w:r>
    </w:p>
    <w:p w14:paraId="4DEBC5E1" w14:textId="1F53E9AB" w:rsidR="001B75B0" w:rsidRPr="009D4CD4" w:rsidRDefault="001B75B0" w:rsidP="001B75B0">
      <w:pPr>
        <w:spacing w:after="0" w:line="240" w:lineRule="auto"/>
        <w:jc w:val="left"/>
        <w:rPr>
          <w:rFonts w:cs="Arial"/>
          <w:strike/>
        </w:rPr>
      </w:pPr>
    </w:p>
    <w:p w14:paraId="713814EB" w14:textId="43515EAE" w:rsidR="00FD74CD" w:rsidRPr="009D4CD4" w:rsidRDefault="00FD74CD" w:rsidP="001B75B0">
      <w:pPr>
        <w:spacing w:after="0" w:line="240" w:lineRule="auto"/>
        <w:jc w:val="left"/>
        <w:rPr>
          <w:rFonts w:cs="Arial"/>
        </w:rPr>
      </w:pPr>
      <w:r w:rsidRPr="009D4CD4">
        <w:rPr>
          <w:rFonts w:cs="Arial"/>
        </w:rPr>
        <w:t>Edokial</w:t>
      </w:r>
    </w:p>
    <w:p w14:paraId="23AA00D8" w14:textId="77777777" w:rsidR="00FD74CD" w:rsidRPr="009D4CD4" w:rsidRDefault="00FD74CD" w:rsidP="001B75B0">
      <w:pPr>
        <w:spacing w:after="0" w:line="240" w:lineRule="auto"/>
        <w:jc w:val="left"/>
        <w:rPr>
          <w:rFonts w:cs="Arial"/>
        </w:rPr>
      </w:pPr>
    </w:p>
    <w:p w14:paraId="20993D79" w14:textId="77777777" w:rsidR="00FD74CD" w:rsidRPr="009D4CD4" w:rsidRDefault="00FD74CD" w:rsidP="00FD74CD">
      <w:pPr>
        <w:spacing w:after="0" w:line="240" w:lineRule="auto"/>
        <w:jc w:val="left"/>
        <w:rPr>
          <w:i/>
        </w:rPr>
      </w:pPr>
      <w:r w:rsidRPr="009D4CD4">
        <w:rPr>
          <w:i/>
        </w:rPr>
        <w:t>Le papier :</w:t>
      </w:r>
    </w:p>
    <w:p w14:paraId="31D81B0E" w14:textId="77777777" w:rsidR="00FD74CD" w:rsidRPr="009D4CD4" w:rsidRDefault="00FD74CD" w:rsidP="00FD74CD">
      <w:pPr>
        <w:spacing w:after="0" w:line="240" w:lineRule="auto"/>
        <w:jc w:val="left"/>
      </w:pPr>
      <w:r w:rsidRPr="009D4CD4">
        <w:t>Spécialisée dans la production de documents, les filiales recherchent en permanence à optimiser la consommation de matière première et ainsi à réduire leur impact sur l’environnement. Ainsi, Edokial propose à ses clients:</w:t>
      </w:r>
      <w:r w:rsidRPr="009D4CD4">
        <w:br/>
        <w:t xml:space="preserve">&gt; Des solutions visant à regrouper des états par destinataire (regroupement de courriers), </w:t>
      </w:r>
    </w:p>
    <w:p w14:paraId="4A92C898" w14:textId="77777777" w:rsidR="00FD74CD" w:rsidRPr="009D4CD4" w:rsidRDefault="00FD74CD" w:rsidP="00FD74CD">
      <w:pPr>
        <w:spacing w:after="0" w:line="240" w:lineRule="auto"/>
        <w:jc w:val="left"/>
      </w:pPr>
      <w:r w:rsidRPr="009D4CD4">
        <w:t>&gt; Des solutions d'édition privilégiant le mode recto-verso,</w:t>
      </w:r>
    </w:p>
    <w:p w14:paraId="63889939" w14:textId="27C00F25" w:rsidR="00FD74CD" w:rsidRPr="009D4CD4" w:rsidRDefault="00FD74CD" w:rsidP="00FD74CD">
      <w:pPr>
        <w:spacing w:after="0" w:line="240" w:lineRule="auto"/>
        <w:jc w:val="left"/>
      </w:pPr>
      <w:r w:rsidRPr="009D4CD4">
        <w:t>&gt; Des solutions de dématérialisation et de diffusion de documents numériques (émission de mails, fax, sms,).</w:t>
      </w:r>
    </w:p>
    <w:p w14:paraId="0A6B0F6E" w14:textId="77777777" w:rsidR="00FD74CD" w:rsidRPr="009D4CD4" w:rsidRDefault="00FD74CD" w:rsidP="00FD74CD">
      <w:pPr>
        <w:spacing w:after="0" w:line="240" w:lineRule="auto"/>
        <w:jc w:val="left"/>
      </w:pPr>
    </w:p>
    <w:p w14:paraId="483B9BC5" w14:textId="17B84C48" w:rsidR="00FD74CD" w:rsidRPr="009D4CD4" w:rsidRDefault="005B6735" w:rsidP="00FD74CD">
      <w:pPr>
        <w:spacing w:after="0" w:line="240" w:lineRule="auto"/>
        <w:jc w:val="left"/>
      </w:pPr>
      <w:r>
        <w:t>Edokial possède</w:t>
      </w:r>
      <w:r w:rsidR="00FD74CD" w:rsidRPr="009D4CD4">
        <w:t xml:space="preserve"> la double certification FSC &amp; PEFC, qui sont </w:t>
      </w:r>
      <w:r w:rsidR="00FD74CD" w:rsidRPr="009D4CD4">
        <w:rPr>
          <w:bCs/>
        </w:rPr>
        <w:t xml:space="preserve">des standards d'exploitation de forêts gérées durablement, notamment en terme de replantation, de </w:t>
      </w:r>
      <w:r w:rsidR="00FD74CD" w:rsidRPr="009D4CD4">
        <w:t xml:space="preserve">respect de la règlementation sur le droit du travail, de respect des espèces protégées, et de la faune et de la flore etc. </w:t>
      </w:r>
    </w:p>
    <w:p w14:paraId="31D39FDF" w14:textId="77777777" w:rsidR="00FD74CD" w:rsidRPr="009D4CD4" w:rsidRDefault="00FD74CD" w:rsidP="00FD74CD">
      <w:pPr>
        <w:autoSpaceDE w:val="0"/>
        <w:autoSpaceDN w:val="0"/>
        <w:adjustRightInd w:val="0"/>
        <w:spacing w:after="0" w:line="240" w:lineRule="auto"/>
        <w:jc w:val="left"/>
      </w:pPr>
    </w:p>
    <w:p w14:paraId="1EA8F68B" w14:textId="77777777" w:rsidR="00FD74CD" w:rsidRPr="009D4CD4" w:rsidRDefault="00FD74CD" w:rsidP="00FD74CD">
      <w:pPr>
        <w:autoSpaceDE w:val="0"/>
        <w:autoSpaceDN w:val="0"/>
        <w:adjustRightInd w:val="0"/>
        <w:spacing w:after="0" w:line="240" w:lineRule="auto"/>
        <w:jc w:val="left"/>
      </w:pPr>
      <w:r w:rsidRPr="009D4CD4">
        <w:t>Au niveau d’Edokial, le document « chaine de contrôle » permet de vérifier la qualité du papier (certifié FSC et PEFC) depuis l’approvisionnement jusqu’à la facturation. Le process de vérification fait intervenir différents acteurs :</w:t>
      </w:r>
    </w:p>
    <w:p w14:paraId="530705BE" w14:textId="77777777" w:rsidR="00FD74CD" w:rsidRPr="009D4CD4" w:rsidRDefault="00FD74CD" w:rsidP="00FD74CD">
      <w:pPr>
        <w:spacing w:after="0" w:line="240" w:lineRule="auto"/>
        <w:jc w:val="left"/>
      </w:pPr>
      <w:r w:rsidRPr="009D4CD4">
        <w:t>&gt; Les gestionnaires de stock qui contrôlent la conformité du papier à la livraison. Cette information doit figurer sur le bon de commande et sur le bon de livraison,</w:t>
      </w:r>
    </w:p>
    <w:p w14:paraId="4F741C4B" w14:textId="77777777" w:rsidR="00FD74CD" w:rsidRPr="009D4CD4" w:rsidRDefault="00FD74CD" w:rsidP="00FD74CD">
      <w:pPr>
        <w:spacing w:after="0" w:line="240" w:lineRule="auto"/>
        <w:jc w:val="left"/>
      </w:pPr>
      <w:r w:rsidRPr="009D4CD4">
        <w:t>&gt; Les responsables build et run éditique, pour garantir l'apposition des logos et du numéro de certificat sur le papier lors de l'impression, à la demande des clients,</w:t>
      </w:r>
    </w:p>
    <w:p w14:paraId="346E5405" w14:textId="77777777" w:rsidR="00FD74CD" w:rsidRPr="009D4CD4" w:rsidRDefault="00FD74CD" w:rsidP="00FD74CD">
      <w:pPr>
        <w:spacing w:after="0" w:line="240" w:lineRule="auto"/>
        <w:jc w:val="left"/>
      </w:pPr>
      <w:r w:rsidRPr="009D4CD4">
        <w:t>&gt; Le service Achats/Facturation car les factures des productions réalisées sur papier certifié doivent comporter ces mentions.</w:t>
      </w:r>
    </w:p>
    <w:p w14:paraId="079A1771" w14:textId="77777777" w:rsidR="00FD74CD" w:rsidRPr="009D4CD4" w:rsidRDefault="00FD74CD" w:rsidP="00FD74CD">
      <w:pPr>
        <w:spacing w:after="0" w:line="240" w:lineRule="auto"/>
        <w:jc w:val="left"/>
        <w:rPr>
          <w:rFonts w:cs="Arial"/>
          <w:u w:val="single"/>
        </w:rPr>
      </w:pPr>
    </w:p>
    <w:p w14:paraId="3D81F270" w14:textId="77777777" w:rsidR="00FD74CD" w:rsidRPr="009D4CD4" w:rsidRDefault="00FD74CD" w:rsidP="00FD74CD">
      <w:pPr>
        <w:spacing w:after="0" w:line="240" w:lineRule="auto"/>
        <w:jc w:val="left"/>
        <w:rPr>
          <w:i/>
        </w:rPr>
      </w:pPr>
      <w:r w:rsidRPr="009D4CD4">
        <w:rPr>
          <w:i/>
        </w:rPr>
        <w:t>L’eau :</w:t>
      </w:r>
    </w:p>
    <w:p w14:paraId="3D3E88DB" w14:textId="77777777" w:rsidR="00FD74CD" w:rsidRPr="009D4CD4" w:rsidRDefault="00FD74CD" w:rsidP="00FD74CD">
      <w:pPr>
        <w:spacing w:after="0" w:line="240" w:lineRule="auto"/>
        <w:jc w:val="left"/>
        <w:rPr>
          <w:rFonts w:cs="Arial"/>
        </w:rPr>
      </w:pPr>
      <w:r w:rsidRPr="009D4CD4">
        <w:rPr>
          <w:rFonts w:cs="Arial"/>
        </w:rPr>
        <w:t>La production de froid est assurée par 2 aérocondenseurs externes, permettant le refroidissement des équipements par ventilation naturelle d’une boucle d’eau circulant dans la totalité des installations en circuit fermé. Les processus de production ne génèrent aucun rejet polluant dans les réseaux d’assainissement. Les eaux de process des filiales imprimerie sont récupérées pour être ensuite retraitées par un fournisseur agrée.</w:t>
      </w:r>
    </w:p>
    <w:p w14:paraId="23150F0E" w14:textId="029DABE3" w:rsidR="00FD74CD" w:rsidRPr="009D4CD4" w:rsidRDefault="00FD74CD" w:rsidP="00FD74CD">
      <w:pPr>
        <w:spacing w:after="0" w:line="240" w:lineRule="auto"/>
        <w:jc w:val="left"/>
        <w:rPr>
          <w:rFonts w:cs="Arial"/>
        </w:rPr>
      </w:pPr>
      <w:r w:rsidRPr="009D4CD4">
        <w:rPr>
          <w:rFonts w:cs="Arial"/>
        </w:rPr>
        <w:t>L’apport d’humidité dans les ateliers est réalisé grâce à un procédé de pulvérisation à très haute pression permettant de réduire les consommations électriques.</w:t>
      </w:r>
    </w:p>
    <w:p w14:paraId="7FF698DE" w14:textId="2C12D05F" w:rsidR="00FD74CD" w:rsidRPr="009D4CD4" w:rsidRDefault="00FD74CD" w:rsidP="001B75B0">
      <w:pPr>
        <w:spacing w:after="0" w:line="240" w:lineRule="auto"/>
        <w:jc w:val="left"/>
        <w:rPr>
          <w:rFonts w:cs="Arial"/>
        </w:rPr>
      </w:pPr>
    </w:p>
    <w:p w14:paraId="17F2F9FE" w14:textId="77777777" w:rsidR="00FD74CD" w:rsidRPr="009D4CD4" w:rsidRDefault="00FD74CD" w:rsidP="001B75B0">
      <w:pPr>
        <w:spacing w:after="0" w:line="240" w:lineRule="auto"/>
        <w:jc w:val="left"/>
        <w:rPr>
          <w:rFonts w:cs="Arial"/>
        </w:rPr>
      </w:pPr>
      <w:r w:rsidRPr="009D4CD4">
        <w:rPr>
          <w:rFonts w:cs="Arial"/>
        </w:rPr>
        <w:t>IST</w:t>
      </w:r>
    </w:p>
    <w:p w14:paraId="7A0F2E67" w14:textId="552E9CF6" w:rsidR="001B75B0" w:rsidRPr="009D4CD4" w:rsidRDefault="001B75B0" w:rsidP="001B75B0">
      <w:pPr>
        <w:spacing w:after="0" w:line="240" w:lineRule="auto"/>
        <w:jc w:val="left"/>
        <w:rPr>
          <w:rFonts w:cs="Arial"/>
        </w:rPr>
      </w:pPr>
      <w:r w:rsidRPr="009D4CD4">
        <w:rPr>
          <w:rFonts w:cs="Arial"/>
        </w:rPr>
        <w:t>Le tri des déchets a été mis en place sur les sites d</w:t>
      </w:r>
      <w:r w:rsidR="005B6735">
        <w:rPr>
          <w:rFonts w:cs="Arial"/>
        </w:rPr>
        <w:t>e Toulouse et de Bozouls. L</w:t>
      </w:r>
      <w:r w:rsidRPr="009D4CD4">
        <w:rPr>
          <w:rFonts w:cs="Arial"/>
        </w:rPr>
        <w:t>e</w:t>
      </w:r>
      <w:r w:rsidR="005B6735">
        <w:rPr>
          <w:rFonts w:cs="Arial"/>
        </w:rPr>
        <w:t>s</w:t>
      </w:r>
      <w:r w:rsidRPr="009D4CD4">
        <w:rPr>
          <w:rFonts w:cs="Arial"/>
        </w:rPr>
        <w:t xml:space="preserve"> papier, carton, gobelet et bouteilles plastiques sont récupéré</w:t>
      </w:r>
      <w:r w:rsidR="005B6735">
        <w:rPr>
          <w:rFonts w:cs="Arial"/>
        </w:rPr>
        <w:t>s</w:t>
      </w:r>
      <w:r w:rsidRPr="009D4CD4">
        <w:rPr>
          <w:rFonts w:cs="Arial"/>
        </w:rPr>
        <w:t xml:space="preserve"> et recyclé</w:t>
      </w:r>
      <w:r w:rsidR="005B6735">
        <w:rPr>
          <w:rFonts w:cs="Arial"/>
        </w:rPr>
        <w:t>s</w:t>
      </w:r>
      <w:r w:rsidRPr="009D4CD4">
        <w:rPr>
          <w:rFonts w:cs="Arial"/>
        </w:rPr>
        <w:t xml:space="preserve"> par un prestataire employant des personnes soit en réinsertion ou en situation d’handicap.</w:t>
      </w:r>
    </w:p>
    <w:p w14:paraId="718F4976" w14:textId="3E6FA9B6" w:rsidR="009B16FA" w:rsidRPr="009D4CD4" w:rsidRDefault="009B16FA" w:rsidP="00B72A61">
      <w:pPr>
        <w:spacing w:after="0" w:line="240" w:lineRule="auto"/>
        <w:jc w:val="left"/>
      </w:pPr>
    </w:p>
    <w:p w14:paraId="5CCE76DE" w14:textId="77777777" w:rsidR="00762F54" w:rsidRPr="009D4CD4" w:rsidRDefault="00762F54" w:rsidP="00B72A61">
      <w:pPr>
        <w:spacing w:after="0" w:line="240" w:lineRule="auto"/>
        <w:jc w:val="left"/>
      </w:pPr>
    </w:p>
    <w:p w14:paraId="210217E6" w14:textId="2CF08065" w:rsidR="00B72A61" w:rsidRPr="009D4CD4" w:rsidRDefault="00B72A61" w:rsidP="00326D6D">
      <w:pPr>
        <w:pStyle w:val="Titre3"/>
      </w:pPr>
      <w:bookmarkStart w:id="166" w:name="_Toc32416045"/>
      <w:bookmarkStart w:id="167" w:name="_Toc59444721"/>
      <w:bookmarkStart w:id="168" w:name="_Toc96698054"/>
      <w:r w:rsidRPr="009D4CD4">
        <w:t xml:space="preserve">Réduire l’impact environnemental des déchets </w:t>
      </w:r>
      <w:r w:rsidR="001059AE" w:rsidRPr="009D4CD4">
        <w:t>produits</w:t>
      </w:r>
      <w:r w:rsidRPr="009D4CD4">
        <w:t>.</w:t>
      </w:r>
      <w:bookmarkEnd w:id="166"/>
      <w:bookmarkEnd w:id="167"/>
      <w:bookmarkEnd w:id="168"/>
    </w:p>
    <w:p w14:paraId="685B98E9" w14:textId="77777777" w:rsidR="00B72A61" w:rsidRPr="009D4CD4" w:rsidRDefault="00B72A61" w:rsidP="00B72A61">
      <w:pPr>
        <w:tabs>
          <w:tab w:val="right" w:pos="9781"/>
        </w:tabs>
        <w:spacing w:after="0" w:line="240" w:lineRule="auto"/>
        <w:jc w:val="left"/>
      </w:pPr>
    </w:p>
    <w:p w14:paraId="1D0611FE" w14:textId="262D3051" w:rsidR="00B72A61" w:rsidRPr="009D4CD4" w:rsidRDefault="00B72A61" w:rsidP="00F41917">
      <w:pPr>
        <w:numPr>
          <w:ilvl w:val="0"/>
          <w:numId w:val="4"/>
        </w:numPr>
        <w:spacing w:after="0" w:line="240" w:lineRule="auto"/>
        <w:jc w:val="left"/>
        <w:rPr>
          <w:rFonts w:cs="Arial"/>
        </w:rPr>
      </w:pPr>
      <w:r w:rsidRPr="009D4CD4">
        <w:rPr>
          <w:rFonts w:cs="Arial"/>
        </w:rPr>
        <w:t xml:space="preserve">La </w:t>
      </w:r>
      <w:r w:rsidR="00A7717F">
        <w:rPr>
          <w:rFonts w:cs="Arial"/>
        </w:rPr>
        <w:t>Caisse Régionale</w:t>
      </w:r>
    </w:p>
    <w:p w14:paraId="0CECED9B" w14:textId="77777777" w:rsidR="00B72A61" w:rsidRPr="009D4CD4" w:rsidRDefault="00B72A61" w:rsidP="00B72A61">
      <w:pPr>
        <w:spacing w:after="0" w:line="240" w:lineRule="auto"/>
        <w:jc w:val="left"/>
        <w:rPr>
          <w:rFonts w:cs="Arial"/>
        </w:rPr>
      </w:pPr>
    </w:p>
    <w:p w14:paraId="314DF438" w14:textId="4FE4D72F" w:rsidR="00B72A61" w:rsidRPr="009D4CD4" w:rsidRDefault="00B72A61" w:rsidP="00B72A61">
      <w:pPr>
        <w:spacing w:after="0" w:line="240" w:lineRule="auto"/>
        <w:jc w:val="left"/>
        <w:rPr>
          <w:rFonts w:cs="Arial"/>
        </w:rPr>
      </w:pPr>
      <w:r w:rsidRPr="009D4CD4">
        <w:rPr>
          <w:rFonts w:cs="Arial"/>
        </w:rPr>
        <w:t xml:space="preserve">La politique de la </w:t>
      </w:r>
      <w:r w:rsidR="00A7717F">
        <w:rPr>
          <w:rFonts w:cs="Arial"/>
        </w:rPr>
        <w:t>Caisse Régionale</w:t>
      </w:r>
      <w:r w:rsidRPr="009D4CD4">
        <w:rPr>
          <w:rFonts w:cs="Arial"/>
        </w:rPr>
        <w:t xml:space="preserve"> vise à favori</w:t>
      </w:r>
      <w:r w:rsidR="005B6735">
        <w:rPr>
          <w:rFonts w:cs="Arial"/>
        </w:rPr>
        <w:t>ser le recyclage des principaux</w:t>
      </w:r>
      <w:r w:rsidRPr="009D4CD4">
        <w:rPr>
          <w:rFonts w:cs="Arial"/>
        </w:rPr>
        <w:t xml:space="preserve"> déchets générés par l’activité : papier, cartouches d’encre, déchets électriques et électroniques, cartes bancaires, bouteilles d’eau en plastique et</w:t>
      </w:r>
      <w:r w:rsidR="00683C3A">
        <w:rPr>
          <w:rFonts w:cs="Arial"/>
        </w:rPr>
        <w:t xml:space="preserve"> canettes en aluminium, stylos.</w:t>
      </w:r>
    </w:p>
    <w:p w14:paraId="169EC6E9" w14:textId="05E90312" w:rsidR="00B72A61" w:rsidRPr="009D4CD4" w:rsidRDefault="00B72A61" w:rsidP="00AA619A">
      <w:pPr>
        <w:pStyle w:val="Titre4"/>
      </w:pPr>
      <w:bookmarkStart w:id="169" w:name="_Toc96698055"/>
      <w:r w:rsidRPr="009D4CD4">
        <w:t>Le papier</w:t>
      </w:r>
      <w:bookmarkEnd w:id="169"/>
    </w:p>
    <w:p w14:paraId="6441A5D2" w14:textId="77777777" w:rsidR="00B72A61" w:rsidRPr="009D4CD4" w:rsidRDefault="00B72A61" w:rsidP="00B72A61">
      <w:pPr>
        <w:spacing w:after="0" w:line="240" w:lineRule="auto"/>
        <w:jc w:val="left"/>
        <w:rPr>
          <w:rFonts w:cs="Arial"/>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0"/>
        <w:gridCol w:w="937"/>
        <w:gridCol w:w="850"/>
        <w:gridCol w:w="851"/>
      </w:tblGrid>
      <w:tr w:rsidR="003A2C3D" w:rsidRPr="009D4CD4" w14:paraId="6E07169C" w14:textId="77777777" w:rsidTr="00523615">
        <w:trPr>
          <w:trHeight w:hRule="exact" w:val="255"/>
        </w:trPr>
        <w:tc>
          <w:tcPr>
            <w:tcW w:w="4700" w:type="dxa"/>
            <w:tcBorders>
              <w:top w:val="nil"/>
              <w:left w:val="nil"/>
              <w:bottom w:val="single" w:sz="4" w:space="0" w:color="auto"/>
              <w:right w:val="single" w:sz="4" w:space="0" w:color="auto"/>
            </w:tcBorders>
            <w:shd w:val="clear" w:color="auto" w:fill="auto"/>
          </w:tcPr>
          <w:p w14:paraId="45834693" w14:textId="77777777" w:rsidR="003A2C3D" w:rsidRPr="009D4CD4" w:rsidRDefault="003A2C3D" w:rsidP="003A2C3D">
            <w:pPr>
              <w:spacing w:after="0" w:line="240" w:lineRule="auto"/>
              <w:ind w:right="140"/>
              <w:jc w:val="left"/>
              <w:rPr>
                <w:rFonts w:eastAsia="Times New Roman" w:cs="Arial"/>
                <w:sz w:val="20"/>
                <w:szCs w:val="20"/>
              </w:rPr>
            </w:pPr>
            <w:r w:rsidRPr="009D4CD4">
              <w:rPr>
                <w:rFonts w:eastAsia="Times New Roman" w:cs="Arial"/>
                <w:b/>
                <w:i/>
                <w:sz w:val="20"/>
                <w:szCs w:val="20"/>
              </w:rPr>
              <w:t>Les chiffres – clé</w:t>
            </w:r>
          </w:p>
        </w:tc>
        <w:tc>
          <w:tcPr>
            <w:tcW w:w="937" w:type="dxa"/>
            <w:shd w:val="clear" w:color="auto" w:fill="auto"/>
          </w:tcPr>
          <w:p w14:paraId="583754B6" w14:textId="085E2AAA"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2021</w:t>
            </w:r>
          </w:p>
        </w:tc>
        <w:tc>
          <w:tcPr>
            <w:tcW w:w="850" w:type="dxa"/>
          </w:tcPr>
          <w:p w14:paraId="5DB9A5C1" w14:textId="52C91191"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2020</w:t>
            </w:r>
          </w:p>
        </w:tc>
        <w:tc>
          <w:tcPr>
            <w:tcW w:w="851" w:type="dxa"/>
          </w:tcPr>
          <w:p w14:paraId="3618BC93" w14:textId="38FF9788"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2019</w:t>
            </w:r>
          </w:p>
        </w:tc>
      </w:tr>
      <w:tr w:rsidR="003A2C3D" w:rsidRPr="009D4CD4" w14:paraId="14BB71A9" w14:textId="77777777" w:rsidTr="00523615">
        <w:trPr>
          <w:trHeight w:hRule="exact" w:val="255"/>
        </w:trPr>
        <w:tc>
          <w:tcPr>
            <w:tcW w:w="4700" w:type="dxa"/>
            <w:shd w:val="clear" w:color="auto" w:fill="auto"/>
          </w:tcPr>
          <w:p w14:paraId="20FB5C41" w14:textId="77777777" w:rsidR="003A2C3D" w:rsidRPr="009D4CD4" w:rsidRDefault="003A2C3D" w:rsidP="003A2C3D">
            <w:pPr>
              <w:spacing w:after="0" w:line="240" w:lineRule="auto"/>
              <w:ind w:right="140"/>
              <w:jc w:val="left"/>
              <w:rPr>
                <w:rFonts w:eastAsia="Times New Roman" w:cs="Arial"/>
                <w:sz w:val="20"/>
                <w:szCs w:val="20"/>
              </w:rPr>
            </w:pPr>
            <w:r w:rsidRPr="009D4CD4">
              <w:rPr>
                <w:rFonts w:eastAsia="Times New Roman" w:cs="Arial"/>
                <w:sz w:val="20"/>
                <w:szCs w:val="20"/>
                <w:lang w:eastAsia="fr-FR"/>
              </w:rPr>
              <w:t>Papier recyclé (tonnes)</w:t>
            </w:r>
          </w:p>
        </w:tc>
        <w:tc>
          <w:tcPr>
            <w:tcW w:w="937" w:type="dxa"/>
            <w:shd w:val="clear" w:color="auto" w:fill="auto"/>
            <w:vAlign w:val="center"/>
          </w:tcPr>
          <w:p w14:paraId="660EED92" w14:textId="4CDBA673" w:rsidR="003A2C3D" w:rsidRPr="009D4CD4" w:rsidRDefault="001F214E" w:rsidP="003A2C3D">
            <w:pPr>
              <w:autoSpaceDE w:val="0"/>
              <w:autoSpaceDN w:val="0"/>
              <w:adjustRightInd w:val="0"/>
              <w:spacing w:after="0" w:line="240" w:lineRule="auto"/>
              <w:jc w:val="left"/>
              <w:rPr>
                <w:rFonts w:eastAsia="Times New Roman" w:cs="Arial"/>
                <w:sz w:val="20"/>
                <w:szCs w:val="20"/>
              </w:rPr>
            </w:pPr>
            <w:r>
              <w:rPr>
                <w:rFonts w:eastAsia="Times New Roman" w:cs="Arial"/>
                <w:sz w:val="20"/>
                <w:szCs w:val="20"/>
              </w:rPr>
              <w:t>79</w:t>
            </w:r>
          </w:p>
        </w:tc>
        <w:tc>
          <w:tcPr>
            <w:tcW w:w="850" w:type="dxa"/>
            <w:vAlign w:val="center"/>
          </w:tcPr>
          <w:p w14:paraId="65BCF093" w14:textId="7F94F1C1" w:rsidR="003A2C3D" w:rsidRPr="009D4CD4" w:rsidRDefault="003A2C3D" w:rsidP="003A2C3D">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66</w:t>
            </w:r>
          </w:p>
        </w:tc>
        <w:tc>
          <w:tcPr>
            <w:tcW w:w="851" w:type="dxa"/>
            <w:vAlign w:val="center"/>
          </w:tcPr>
          <w:p w14:paraId="1C661EE1" w14:textId="24CF37DD" w:rsidR="003A2C3D" w:rsidRPr="009D4CD4" w:rsidRDefault="003A2C3D" w:rsidP="003A2C3D">
            <w:pPr>
              <w:autoSpaceDE w:val="0"/>
              <w:autoSpaceDN w:val="0"/>
              <w:adjustRightInd w:val="0"/>
              <w:spacing w:after="0" w:line="240" w:lineRule="auto"/>
              <w:jc w:val="left"/>
              <w:rPr>
                <w:rFonts w:eastAsia="Times New Roman" w:cs="Arial"/>
                <w:sz w:val="20"/>
                <w:szCs w:val="20"/>
              </w:rPr>
            </w:pPr>
            <w:r w:rsidRPr="009D4CD4">
              <w:rPr>
                <w:rFonts w:eastAsia="Times New Roman" w:cs="Arial"/>
                <w:sz w:val="20"/>
                <w:szCs w:val="20"/>
              </w:rPr>
              <w:t>126</w:t>
            </w:r>
          </w:p>
        </w:tc>
      </w:tr>
    </w:tbl>
    <w:p w14:paraId="760424A7" w14:textId="77777777" w:rsidR="00B72A61" w:rsidRPr="009D4CD4" w:rsidRDefault="00B72A61" w:rsidP="00B72A61">
      <w:pPr>
        <w:spacing w:after="0" w:line="240" w:lineRule="auto"/>
        <w:jc w:val="left"/>
        <w:rPr>
          <w:rFonts w:cs="Arial"/>
          <w:i/>
        </w:rPr>
      </w:pPr>
    </w:p>
    <w:p w14:paraId="17FF06B8" w14:textId="0FCFF3D0" w:rsidR="00B72A61" w:rsidRPr="009D4CD4" w:rsidRDefault="003156B2" w:rsidP="00B72A61">
      <w:pPr>
        <w:spacing w:after="0" w:line="240" w:lineRule="auto"/>
        <w:jc w:val="left"/>
        <w:rPr>
          <w:rFonts w:cs="Arial"/>
        </w:rPr>
      </w:pPr>
      <w:r w:rsidRPr="009D4CD4">
        <w:rPr>
          <w:rFonts w:cs="Arial"/>
        </w:rPr>
        <w:t>Etabli en</w:t>
      </w:r>
      <w:r w:rsidR="00B72A61" w:rsidRPr="009D4CD4">
        <w:rPr>
          <w:rFonts w:cs="Arial"/>
        </w:rPr>
        <w:t xml:space="preserve"> 2008, un programme de récupération du papier de bureau par les salariés a constitué une innovation au sein des Caisses régionales de Crédit Agricole. En agence, les équipes de la logistique ont optimisé le circuit de ramassage avec celui des approvisionnements. Régulièrement, des opérations de destruction d’archives alimentent les apports.</w:t>
      </w:r>
      <w:r w:rsidR="00C737F1" w:rsidRPr="009D4CD4">
        <w:rPr>
          <w:rFonts w:cs="Arial"/>
        </w:rPr>
        <w:t xml:space="preserve"> </w:t>
      </w:r>
      <w:r w:rsidR="00B72A61" w:rsidRPr="009D4CD4">
        <w:rPr>
          <w:rFonts w:cs="Arial"/>
        </w:rPr>
        <w:t xml:space="preserve">La baisse tendancielle du recyclage reflète celle de la consommation de papier. </w:t>
      </w:r>
    </w:p>
    <w:p w14:paraId="0B60C41F" w14:textId="6032000D" w:rsidR="00B72A61" w:rsidRPr="009D4CD4" w:rsidRDefault="00B72A61" w:rsidP="00B72A61">
      <w:pPr>
        <w:spacing w:after="0" w:line="240" w:lineRule="auto"/>
        <w:jc w:val="left"/>
        <w:rPr>
          <w:rFonts w:cs="Arial"/>
        </w:rPr>
      </w:pPr>
      <w:r w:rsidRPr="009D4CD4">
        <w:rPr>
          <w:rFonts w:cs="Arial"/>
        </w:rPr>
        <w:t>Le papier collecté est transporté par le prestataire Véolia sur sa plateforme à Toulouse pour y être broyé et conditionné en balles, acheminées ensuite en papeteries.</w:t>
      </w:r>
      <w:r w:rsidR="000C5DB6" w:rsidRPr="009D4CD4">
        <w:rPr>
          <w:rFonts w:cs="Arial"/>
        </w:rPr>
        <w:t xml:space="preserve"> La baisse enregistrée en 2020 est liée au contexte sanitaire.</w:t>
      </w:r>
    </w:p>
    <w:p w14:paraId="1A508732" w14:textId="387D6776" w:rsidR="00B72A61" w:rsidRPr="009D4CD4" w:rsidRDefault="00B72A61" w:rsidP="00AA619A">
      <w:pPr>
        <w:pStyle w:val="Titre4"/>
      </w:pPr>
      <w:bookmarkStart w:id="170" w:name="_Toc96698056"/>
      <w:r w:rsidRPr="009D4CD4">
        <w:t>Le carton</w:t>
      </w:r>
      <w:bookmarkEnd w:id="170"/>
    </w:p>
    <w:p w14:paraId="1E5F49E8" w14:textId="166C227E" w:rsidR="00B72A61" w:rsidRPr="009D4CD4" w:rsidRDefault="00B72A61" w:rsidP="00B72A61">
      <w:pPr>
        <w:spacing w:after="0" w:line="240" w:lineRule="auto"/>
        <w:jc w:val="left"/>
        <w:rPr>
          <w:rFonts w:cs="Arial"/>
          <w:i/>
        </w:rPr>
      </w:pPr>
      <w:r w:rsidRPr="009D4CD4">
        <w:rPr>
          <w:rFonts w:cs="Arial"/>
        </w:rPr>
        <w:t>Sur les sites administratifs, les cartons d’emballage sont évacués à travers les filières de recyclage des collectivités locales ou, sur Rodez – Causse Comtal, compressés avant d’être pris en charge par le prestataire Véolia pour être recyclés dans des sites de production papetière.</w:t>
      </w:r>
    </w:p>
    <w:p w14:paraId="48A2FA5C" w14:textId="2F527E03" w:rsidR="00B72A61" w:rsidRPr="009D4CD4" w:rsidRDefault="00B72A61" w:rsidP="00AA619A">
      <w:pPr>
        <w:pStyle w:val="Titre4"/>
      </w:pPr>
      <w:bookmarkStart w:id="171" w:name="_Toc96698057"/>
      <w:r w:rsidRPr="009D4CD4">
        <w:t>Les cartouches d’encre</w:t>
      </w:r>
      <w:bookmarkEnd w:id="1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5"/>
        <w:gridCol w:w="932"/>
        <w:gridCol w:w="850"/>
        <w:gridCol w:w="851"/>
      </w:tblGrid>
      <w:tr w:rsidR="003A2C3D" w:rsidRPr="009D4CD4" w14:paraId="374D5240" w14:textId="77777777" w:rsidTr="00523615">
        <w:trPr>
          <w:trHeight w:hRule="exact" w:val="255"/>
        </w:trPr>
        <w:tc>
          <w:tcPr>
            <w:tcW w:w="4705" w:type="dxa"/>
            <w:tcBorders>
              <w:top w:val="nil"/>
              <w:left w:val="nil"/>
              <w:bottom w:val="single" w:sz="4" w:space="0" w:color="auto"/>
              <w:right w:val="single" w:sz="4" w:space="0" w:color="auto"/>
            </w:tcBorders>
            <w:shd w:val="clear" w:color="auto" w:fill="auto"/>
          </w:tcPr>
          <w:p w14:paraId="4858FEB1" w14:textId="77777777" w:rsidR="003A2C3D" w:rsidRPr="009D4CD4" w:rsidRDefault="003A2C3D" w:rsidP="003A2C3D">
            <w:pPr>
              <w:spacing w:after="0" w:line="240" w:lineRule="auto"/>
              <w:ind w:right="140"/>
              <w:jc w:val="left"/>
              <w:rPr>
                <w:rFonts w:eastAsia="Times New Roman" w:cs="Arial"/>
                <w:sz w:val="20"/>
                <w:szCs w:val="20"/>
              </w:rPr>
            </w:pPr>
            <w:r w:rsidRPr="009D4CD4">
              <w:rPr>
                <w:rFonts w:eastAsia="Times New Roman" w:cs="Arial"/>
                <w:b/>
                <w:i/>
                <w:sz w:val="20"/>
                <w:szCs w:val="20"/>
              </w:rPr>
              <w:t>Les chiffres – clé</w:t>
            </w:r>
          </w:p>
        </w:tc>
        <w:tc>
          <w:tcPr>
            <w:tcW w:w="932" w:type="dxa"/>
            <w:shd w:val="clear" w:color="auto" w:fill="auto"/>
          </w:tcPr>
          <w:p w14:paraId="192FB4E7" w14:textId="13748CD1"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2021</w:t>
            </w:r>
          </w:p>
        </w:tc>
        <w:tc>
          <w:tcPr>
            <w:tcW w:w="850" w:type="dxa"/>
          </w:tcPr>
          <w:p w14:paraId="563BCB46" w14:textId="3EE016D6"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2020</w:t>
            </w:r>
          </w:p>
        </w:tc>
        <w:tc>
          <w:tcPr>
            <w:tcW w:w="851" w:type="dxa"/>
          </w:tcPr>
          <w:p w14:paraId="4EF20F99" w14:textId="5C4F58C4"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2019</w:t>
            </w:r>
          </w:p>
        </w:tc>
      </w:tr>
      <w:tr w:rsidR="003A2C3D" w:rsidRPr="009D4CD4" w14:paraId="573736FA" w14:textId="77777777" w:rsidTr="00523615">
        <w:trPr>
          <w:trHeight w:hRule="exact" w:val="255"/>
        </w:trPr>
        <w:tc>
          <w:tcPr>
            <w:tcW w:w="4705" w:type="dxa"/>
            <w:tcBorders>
              <w:top w:val="single" w:sz="4" w:space="0" w:color="auto"/>
            </w:tcBorders>
            <w:shd w:val="clear" w:color="auto" w:fill="auto"/>
          </w:tcPr>
          <w:p w14:paraId="2C5929C8" w14:textId="77777777" w:rsidR="003A2C3D" w:rsidRPr="009D4CD4" w:rsidRDefault="003A2C3D" w:rsidP="003A2C3D">
            <w:pPr>
              <w:spacing w:after="0" w:line="240" w:lineRule="auto"/>
              <w:ind w:right="140"/>
              <w:jc w:val="left"/>
              <w:rPr>
                <w:rFonts w:eastAsia="Times New Roman" w:cs="Arial"/>
                <w:sz w:val="20"/>
                <w:szCs w:val="20"/>
              </w:rPr>
            </w:pPr>
            <w:r w:rsidRPr="009D4CD4">
              <w:rPr>
                <w:rFonts w:eastAsia="Times New Roman" w:cs="Arial"/>
                <w:sz w:val="20"/>
                <w:szCs w:val="20"/>
                <w:lang w:eastAsia="fr-FR"/>
              </w:rPr>
              <w:t>Cartouches d’encre achetées</w:t>
            </w:r>
          </w:p>
        </w:tc>
        <w:tc>
          <w:tcPr>
            <w:tcW w:w="932" w:type="dxa"/>
            <w:shd w:val="clear" w:color="auto" w:fill="auto"/>
          </w:tcPr>
          <w:p w14:paraId="73A4B0E6" w14:textId="21CA0F34" w:rsidR="003A2C3D" w:rsidRPr="009D4CD4" w:rsidRDefault="0008600A" w:rsidP="003A2C3D">
            <w:pPr>
              <w:spacing w:after="0" w:line="240" w:lineRule="auto"/>
              <w:jc w:val="left"/>
              <w:rPr>
                <w:rFonts w:eastAsia="Times New Roman" w:cs="Arial"/>
                <w:sz w:val="20"/>
                <w:szCs w:val="20"/>
                <w:lang w:eastAsia="fr-FR"/>
              </w:rPr>
            </w:pPr>
            <w:r w:rsidRPr="009D4CD4">
              <w:rPr>
                <w:rFonts w:eastAsia="Times New Roman" w:cs="Arial"/>
                <w:sz w:val="20"/>
                <w:szCs w:val="20"/>
                <w:lang w:eastAsia="fr-FR"/>
              </w:rPr>
              <w:t>3 214</w:t>
            </w:r>
          </w:p>
        </w:tc>
        <w:tc>
          <w:tcPr>
            <w:tcW w:w="850" w:type="dxa"/>
          </w:tcPr>
          <w:p w14:paraId="10236031" w14:textId="77835D9C" w:rsidR="003A2C3D" w:rsidRPr="009D4CD4" w:rsidRDefault="003A2C3D" w:rsidP="003A2C3D">
            <w:pPr>
              <w:spacing w:after="0" w:line="240" w:lineRule="auto"/>
              <w:jc w:val="left"/>
              <w:rPr>
                <w:rFonts w:eastAsia="Times New Roman" w:cs="Arial"/>
                <w:sz w:val="20"/>
                <w:szCs w:val="20"/>
                <w:lang w:eastAsia="fr-FR"/>
              </w:rPr>
            </w:pPr>
            <w:r w:rsidRPr="009D4CD4">
              <w:rPr>
                <w:rFonts w:eastAsia="Times New Roman" w:cs="Arial"/>
                <w:sz w:val="20"/>
                <w:szCs w:val="20"/>
                <w:lang w:eastAsia="fr-FR"/>
              </w:rPr>
              <w:t>3 311</w:t>
            </w:r>
          </w:p>
        </w:tc>
        <w:tc>
          <w:tcPr>
            <w:tcW w:w="851" w:type="dxa"/>
          </w:tcPr>
          <w:p w14:paraId="382DFC5C" w14:textId="0FD76621" w:rsidR="003A2C3D" w:rsidRPr="009D4CD4" w:rsidRDefault="003A2C3D" w:rsidP="003A2C3D">
            <w:pPr>
              <w:spacing w:after="0" w:line="240" w:lineRule="auto"/>
              <w:jc w:val="left"/>
              <w:rPr>
                <w:rFonts w:eastAsia="Times New Roman" w:cs="Arial"/>
                <w:sz w:val="20"/>
                <w:szCs w:val="20"/>
                <w:lang w:eastAsia="fr-FR"/>
              </w:rPr>
            </w:pPr>
            <w:r w:rsidRPr="009D4CD4">
              <w:rPr>
                <w:rFonts w:eastAsia="Times New Roman" w:cs="Arial"/>
                <w:sz w:val="20"/>
                <w:szCs w:val="20"/>
                <w:lang w:eastAsia="fr-FR"/>
              </w:rPr>
              <w:t>3 284</w:t>
            </w:r>
          </w:p>
        </w:tc>
      </w:tr>
    </w:tbl>
    <w:p w14:paraId="62B0DA46" w14:textId="77777777" w:rsidR="0008600A" w:rsidRPr="009D4CD4" w:rsidRDefault="0008600A" w:rsidP="00B72A61">
      <w:pPr>
        <w:spacing w:after="0" w:line="240" w:lineRule="auto"/>
        <w:jc w:val="left"/>
        <w:rPr>
          <w:rFonts w:cs="Arial"/>
        </w:rPr>
      </w:pPr>
    </w:p>
    <w:p w14:paraId="7E5EBA37" w14:textId="30198504" w:rsidR="00B72A61" w:rsidRPr="009D4CD4" w:rsidRDefault="00B72A61" w:rsidP="00B72A61">
      <w:pPr>
        <w:spacing w:after="0" w:line="240" w:lineRule="auto"/>
        <w:jc w:val="left"/>
        <w:rPr>
          <w:rFonts w:cs="Arial"/>
        </w:rPr>
      </w:pPr>
      <w:r w:rsidRPr="009D4CD4">
        <w:rPr>
          <w:rFonts w:cs="Arial"/>
        </w:rPr>
        <w:t>Utilisées dans les services et les agences, les cartouches d’encre sont en totalité récupérées et confiées au consortium Conibi par l’intermédiaire du prestataire chargé</w:t>
      </w:r>
      <w:r w:rsidR="000336AC" w:rsidRPr="009D4CD4">
        <w:rPr>
          <w:rFonts w:cs="Arial"/>
        </w:rPr>
        <w:t xml:space="preserve"> des fournitures</w:t>
      </w:r>
      <w:r w:rsidRPr="009D4CD4">
        <w:rPr>
          <w:rFonts w:cs="Arial"/>
        </w:rPr>
        <w:t xml:space="preserve">. Les cartouches collectées </w:t>
      </w:r>
      <w:r w:rsidR="0020694D" w:rsidRPr="009D4CD4">
        <w:rPr>
          <w:rFonts w:cs="Arial"/>
        </w:rPr>
        <w:t xml:space="preserve">représentent un poids collecté de 3861 kg dont 10,3% </w:t>
      </w:r>
      <w:r w:rsidRPr="009D4CD4">
        <w:rPr>
          <w:rFonts w:cs="Arial"/>
        </w:rPr>
        <w:t xml:space="preserve">font l’objet d’une réutilisation </w:t>
      </w:r>
      <w:r w:rsidR="0020694D" w:rsidRPr="009D4CD4">
        <w:rPr>
          <w:rFonts w:cs="Arial"/>
        </w:rPr>
        <w:t>de consommables</w:t>
      </w:r>
      <w:r w:rsidRPr="009D4CD4">
        <w:rPr>
          <w:rFonts w:cs="Arial"/>
        </w:rPr>
        <w:t xml:space="preserve">, </w:t>
      </w:r>
      <w:r w:rsidR="0020694D" w:rsidRPr="009D4CD4">
        <w:rPr>
          <w:rFonts w:cs="Arial"/>
        </w:rPr>
        <w:t>55,6 % d’une valorisation matière</w:t>
      </w:r>
      <w:r w:rsidRPr="009D4CD4">
        <w:rPr>
          <w:rFonts w:cs="Arial"/>
        </w:rPr>
        <w:t xml:space="preserve">, </w:t>
      </w:r>
      <w:r w:rsidR="0020694D" w:rsidRPr="009D4CD4">
        <w:rPr>
          <w:rFonts w:cs="Arial"/>
        </w:rPr>
        <w:t xml:space="preserve">et 34,2% </w:t>
      </w:r>
      <w:r w:rsidRPr="009D4CD4">
        <w:rPr>
          <w:rFonts w:cs="Arial"/>
        </w:rPr>
        <w:t xml:space="preserve">d’une valorisation </w:t>
      </w:r>
      <w:r w:rsidR="00677357" w:rsidRPr="009D4CD4">
        <w:rPr>
          <w:rFonts w:cs="Arial"/>
        </w:rPr>
        <w:t>énergétique.</w:t>
      </w:r>
    </w:p>
    <w:p w14:paraId="04FC807C" w14:textId="77777777" w:rsidR="00B72A61" w:rsidRPr="009D4CD4" w:rsidRDefault="00B72A61" w:rsidP="00AA619A">
      <w:pPr>
        <w:pStyle w:val="Titre4"/>
      </w:pPr>
      <w:bookmarkStart w:id="172" w:name="_Toc96698058"/>
      <w:r w:rsidRPr="009D4CD4">
        <w:t>Les déchets d’équipements électriques et électroniques (DEEE)</w:t>
      </w:r>
      <w:bookmarkEnd w:id="172"/>
    </w:p>
    <w:p w14:paraId="1643775C" w14:textId="77777777" w:rsidR="00B63571" w:rsidRPr="009D4CD4" w:rsidRDefault="00B63571" w:rsidP="00B63571">
      <w:pPr>
        <w:spacing w:after="0" w:line="240" w:lineRule="auto"/>
        <w:jc w:val="left"/>
        <w:rPr>
          <w:rFonts w:cs="Arial"/>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5"/>
        <w:gridCol w:w="932"/>
        <w:gridCol w:w="850"/>
        <w:gridCol w:w="851"/>
      </w:tblGrid>
      <w:tr w:rsidR="00B63571" w:rsidRPr="009D4CD4" w14:paraId="6A9B03BA" w14:textId="77777777" w:rsidTr="00B63571">
        <w:trPr>
          <w:trHeight w:hRule="exact" w:val="255"/>
        </w:trPr>
        <w:tc>
          <w:tcPr>
            <w:tcW w:w="4705" w:type="dxa"/>
            <w:tcBorders>
              <w:top w:val="nil"/>
              <w:left w:val="nil"/>
              <w:bottom w:val="single" w:sz="4" w:space="0" w:color="auto"/>
              <w:right w:val="single" w:sz="4" w:space="0" w:color="auto"/>
            </w:tcBorders>
            <w:shd w:val="clear" w:color="auto" w:fill="auto"/>
          </w:tcPr>
          <w:p w14:paraId="3546B31A" w14:textId="77777777" w:rsidR="00B63571" w:rsidRPr="009D4CD4" w:rsidRDefault="00B63571" w:rsidP="00B63571">
            <w:pPr>
              <w:spacing w:after="0" w:line="240" w:lineRule="auto"/>
              <w:ind w:right="140"/>
              <w:jc w:val="left"/>
              <w:rPr>
                <w:rFonts w:eastAsia="Times New Roman" w:cs="Arial"/>
                <w:sz w:val="20"/>
                <w:szCs w:val="20"/>
              </w:rPr>
            </w:pPr>
            <w:r w:rsidRPr="009D4CD4">
              <w:rPr>
                <w:rFonts w:eastAsia="Times New Roman" w:cs="Arial"/>
                <w:b/>
                <w:i/>
                <w:sz w:val="20"/>
                <w:szCs w:val="20"/>
              </w:rPr>
              <w:t>Les chiffres – clé</w:t>
            </w:r>
          </w:p>
        </w:tc>
        <w:tc>
          <w:tcPr>
            <w:tcW w:w="932" w:type="dxa"/>
            <w:shd w:val="clear" w:color="auto" w:fill="auto"/>
          </w:tcPr>
          <w:p w14:paraId="7451CC80" w14:textId="77777777" w:rsidR="00B63571" w:rsidRPr="009D4CD4" w:rsidRDefault="00B63571" w:rsidP="00B63571">
            <w:pPr>
              <w:spacing w:after="0" w:line="240" w:lineRule="auto"/>
              <w:ind w:right="140"/>
              <w:jc w:val="left"/>
              <w:rPr>
                <w:rFonts w:eastAsia="Times New Roman" w:cs="Arial"/>
                <w:b/>
                <w:sz w:val="20"/>
                <w:szCs w:val="20"/>
              </w:rPr>
            </w:pPr>
            <w:r w:rsidRPr="009D4CD4">
              <w:rPr>
                <w:rFonts w:eastAsia="Times New Roman" w:cs="Arial"/>
                <w:b/>
                <w:sz w:val="20"/>
                <w:szCs w:val="20"/>
              </w:rPr>
              <w:t>2021</w:t>
            </w:r>
          </w:p>
        </w:tc>
        <w:tc>
          <w:tcPr>
            <w:tcW w:w="850" w:type="dxa"/>
          </w:tcPr>
          <w:p w14:paraId="011F4576" w14:textId="77777777" w:rsidR="00B63571" w:rsidRPr="009D4CD4" w:rsidRDefault="00B63571" w:rsidP="00B63571">
            <w:pPr>
              <w:spacing w:after="0" w:line="240" w:lineRule="auto"/>
              <w:ind w:right="140"/>
              <w:jc w:val="left"/>
              <w:rPr>
                <w:rFonts w:eastAsia="Times New Roman" w:cs="Arial"/>
                <w:b/>
                <w:sz w:val="20"/>
                <w:szCs w:val="20"/>
              </w:rPr>
            </w:pPr>
            <w:r w:rsidRPr="009D4CD4">
              <w:rPr>
                <w:rFonts w:eastAsia="Times New Roman" w:cs="Arial"/>
                <w:b/>
                <w:sz w:val="20"/>
                <w:szCs w:val="20"/>
              </w:rPr>
              <w:t>2020</w:t>
            </w:r>
          </w:p>
        </w:tc>
        <w:tc>
          <w:tcPr>
            <w:tcW w:w="851" w:type="dxa"/>
          </w:tcPr>
          <w:p w14:paraId="27B87631" w14:textId="77777777" w:rsidR="00B63571" w:rsidRPr="009D4CD4" w:rsidRDefault="00B63571" w:rsidP="00B63571">
            <w:pPr>
              <w:spacing w:after="0" w:line="240" w:lineRule="auto"/>
              <w:ind w:right="140"/>
              <w:jc w:val="left"/>
              <w:rPr>
                <w:rFonts w:eastAsia="Times New Roman" w:cs="Arial"/>
                <w:b/>
                <w:sz w:val="20"/>
                <w:szCs w:val="20"/>
              </w:rPr>
            </w:pPr>
            <w:r w:rsidRPr="009D4CD4">
              <w:rPr>
                <w:rFonts w:eastAsia="Times New Roman" w:cs="Arial"/>
                <w:b/>
                <w:sz w:val="20"/>
                <w:szCs w:val="20"/>
              </w:rPr>
              <w:t>2019</w:t>
            </w:r>
          </w:p>
        </w:tc>
      </w:tr>
      <w:tr w:rsidR="00B63571" w:rsidRPr="009D4CD4" w14:paraId="77719CF3" w14:textId="77777777" w:rsidTr="00B63571">
        <w:trPr>
          <w:trHeight w:hRule="exact" w:val="255"/>
        </w:trPr>
        <w:tc>
          <w:tcPr>
            <w:tcW w:w="4705" w:type="dxa"/>
            <w:tcBorders>
              <w:top w:val="single" w:sz="4" w:space="0" w:color="auto"/>
            </w:tcBorders>
            <w:shd w:val="clear" w:color="auto" w:fill="auto"/>
          </w:tcPr>
          <w:p w14:paraId="57EAD850" w14:textId="723B2CDA" w:rsidR="00B63571" w:rsidRPr="009D4CD4" w:rsidRDefault="00B63571" w:rsidP="00B63571">
            <w:pPr>
              <w:spacing w:after="0" w:line="240" w:lineRule="auto"/>
              <w:ind w:right="140"/>
              <w:jc w:val="left"/>
              <w:rPr>
                <w:rFonts w:eastAsia="Times New Roman" w:cs="Arial"/>
                <w:sz w:val="20"/>
                <w:szCs w:val="20"/>
              </w:rPr>
            </w:pPr>
            <w:r w:rsidRPr="009D4CD4">
              <w:rPr>
                <w:rFonts w:eastAsia="Times New Roman" w:cs="Arial"/>
                <w:sz w:val="20"/>
                <w:szCs w:val="20"/>
                <w:lang w:eastAsia="fr-FR"/>
              </w:rPr>
              <w:t>DEEE (tonnes)</w:t>
            </w:r>
          </w:p>
        </w:tc>
        <w:tc>
          <w:tcPr>
            <w:tcW w:w="932" w:type="dxa"/>
            <w:shd w:val="clear" w:color="auto" w:fill="auto"/>
          </w:tcPr>
          <w:p w14:paraId="67796035" w14:textId="0DEEDCE1" w:rsidR="00B63571" w:rsidRPr="009D4CD4" w:rsidRDefault="00B63571" w:rsidP="00B63571">
            <w:pPr>
              <w:spacing w:after="0" w:line="240" w:lineRule="auto"/>
              <w:jc w:val="left"/>
              <w:rPr>
                <w:rFonts w:eastAsia="Times New Roman" w:cs="Arial"/>
                <w:sz w:val="20"/>
                <w:szCs w:val="20"/>
                <w:lang w:eastAsia="fr-FR"/>
              </w:rPr>
            </w:pPr>
            <w:r w:rsidRPr="009D4CD4">
              <w:rPr>
                <w:rFonts w:eastAsia="Times New Roman" w:cs="Arial"/>
                <w:sz w:val="20"/>
                <w:szCs w:val="20"/>
                <w:lang w:eastAsia="fr-FR"/>
              </w:rPr>
              <w:t>19,5</w:t>
            </w:r>
          </w:p>
        </w:tc>
        <w:tc>
          <w:tcPr>
            <w:tcW w:w="850" w:type="dxa"/>
          </w:tcPr>
          <w:p w14:paraId="366CC7B7" w14:textId="11351044" w:rsidR="00B63571" w:rsidRPr="009D4CD4" w:rsidRDefault="00B63571" w:rsidP="00B63571">
            <w:pPr>
              <w:spacing w:after="0" w:line="240" w:lineRule="auto"/>
              <w:jc w:val="left"/>
              <w:rPr>
                <w:rFonts w:eastAsia="Times New Roman" w:cs="Arial"/>
                <w:sz w:val="20"/>
                <w:szCs w:val="20"/>
                <w:lang w:eastAsia="fr-FR"/>
              </w:rPr>
            </w:pPr>
            <w:r w:rsidRPr="009D4CD4">
              <w:rPr>
                <w:rFonts w:eastAsia="Times New Roman" w:cs="Arial"/>
                <w:sz w:val="20"/>
                <w:szCs w:val="20"/>
                <w:lang w:eastAsia="fr-FR"/>
              </w:rPr>
              <w:t>16,2</w:t>
            </w:r>
          </w:p>
        </w:tc>
        <w:tc>
          <w:tcPr>
            <w:tcW w:w="851" w:type="dxa"/>
          </w:tcPr>
          <w:p w14:paraId="063697FE" w14:textId="1668059F" w:rsidR="00B63571" w:rsidRPr="009D4CD4" w:rsidRDefault="00B63571" w:rsidP="00B63571">
            <w:pPr>
              <w:spacing w:after="0" w:line="240" w:lineRule="auto"/>
              <w:jc w:val="left"/>
              <w:rPr>
                <w:rFonts w:eastAsia="Times New Roman" w:cs="Arial"/>
                <w:sz w:val="20"/>
                <w:szCs w:val="20"/>
                <w:lang w:eastAsia="fr-FR"/>
              </w:rPr>
            </w:pPr>
            <w:r w:rsidRPr="009D4CD4">
              <w:rPr>
                <w:rFonts w:eastAsia="Times New Roman" w:cs="Arial"/>
                <w:sz w:val="20"/>
                <w:szCs w:val="20"/>
                <w:lang w:eastAsia="fr-FR"/>
              </w:rPr>
              <w:t>4</w:t>
            </w:r>
          </w:p>
        </w:tc>
      </w:tr>
    </w:tbl>
    <w:p w14:paraId="5C9F0086" w14:textId="77777777" w:rsidR="00B63571" w:rsidRPr="009D4CD4" w:rsidRDefault="00B63571" w:rsidP="00B63571">
      <w:pPr>
        <w:spacing w:after="0" w:line="240" w:lineRule="auto"/>
        <w:jc w:val="left"/>
        <w:rPr>
          <w:rFonts w:cs="Arial"/>
          <w:u w:val="single"/>
        </w:rPr>
      </w:pPr>
    </w:p>
    <w:p w14:paraId="6C0BCF96" w14:textId="54E8D38F" w:rsidR="00B72A61" w:rsidRPr="009D4CD4" w:rsidRDefault="00B63571" w:rsidP="00B72A61">
      <w:pPr>
        <w:spacing w:after="0" w:line="240" w:lineRule="auto"/>
        <w:jc w:val="left"/>
        <w:rPr>
          <w:rFonts w:asciiTheme="minorHAnsi" w:hAnsiTheme="minorHAnsi" w:cstheme="minorBidi"/>
        </w:rPr>
      </w:pPr>
      <w:r w:rsidRPr="009D4CD4">
        <w:rPr>
          <w:rFonts w:asciiTheme="minorHAnsi" w:hAnsiTheme="minorHAnsi" w:cs="Arial"/>
        </w:rPr>
        <w:t xml:space="preserve">Les DEEE sont confiés </w:t>
      </w:r>
      <w:r w:rsidR="005B6735">
        <w:rPr>
          <w:rFonts w:asciiTheme="minorHAnsi" w:hAnsiTheme="minorHAnsi" w:cs="Arial"/>
        </w:rPr>
        <w:t xml:space="preserve">à </w:t>
      </w:r>
      <w:r w:rsidR="00B72A61" w:rsidRPr="009D4CD4">
        <w:rPr>
          <w:rFonts w:asciiTheme="minorHAnsi" w:hAnsiTheme="minorHAnsi" w:cs="Arial"/>
        </w:rPr>
        <w:t xml:space="preserve">l’entreprise adaptée </w:t>
      </w:r>
      <w:r w:rsidR="00B72A61" w:rsidRPr="009D4CD4">
        <w:rPr>
          <w:rFonts w:asciiTheme="minorHAnsi" w:hAnsiTheme="minorHAnsi" w:cstheme="minorBidi"/>
        </w:rPr>
        <w:t xml:space="preserve">ATF Gaia. </w:t>
      </w:r>
      <w:r w:rsidRPr="009D4CD4">
        <w:rPr>
          <w:rFonts w:asciiTheme="minorHAnsi" w:hAnsiTheme="minorHAnsi" w:cstheme="minorBidi"/>
        </w:rPr>
        <w:t>En 2021, l</w:t>
      </w:r>
      <w:r w:rsidR="0067031E" w:rsidRPr="009D4CD4">
        <w:rPr>
          <w:rFonts w:asciiTheme="minorHAnsi" w:hAnsiTheme="minorHAnsi" w:cstheme="minorBidi"/>
        </w:rPr>
        <w:t xml:space="preserve">e matériel a </w:t>
      </w:r>
      <w:r w:rsidR="007B533A" w:rsidRPr="009D4CD4">
        <w:rPr>
          <w:rFonts w:asciiTheme="minorHAnsi" w:hAnsiTheme="minorHAnsi" w:cstheme="minorBidi"/>
        </w:rPr>
        <w:t xml:space="preserve">été </w:t>
      </w:r>
      <w:r w:rsidRPr="009D4CD4">
        <w:rPr>
          <w:rFonts w:asciiTheme="minorHAnsi" w:hAnsiTheme="minorHAnsi" w:cstheme="minorBidi"/>
        </w:rPr>
        <w:t>ré-employé</w:t>
      </w:r>
      <w:r w:rsidR="00B72A61" w:rsidRPr="009D4CD4">
        <w:rPr>
          <w:rFonts w:asciiTheme="minorHAnsi" w:hAnsiTheme="minorHAnsi" w:cstheme="minorBidi"/>
        </w:rPr>
        <w:t xml:space="preserve"> </w:t>
      </w:r>
      <w:r w:rsidRPr="009D4CD4">
        <w:rPr>
          <w:rFonts w:asciiTheme="minorHAnsi" w:hAnsiTheme="minorHAnsi" w:cstheme="minorBidi"/>
        </w:rPr>
        <w:t>à hauteur de 87</w:t>
      </w:r>
      <w:r w:rsidR="007B533A" w:rsidRPr="009D4CD4">
        <w:rPr>
          <w:rFonts w:asciiTheme="minorHAnsi" w:hAnsiTheme="minorHAnsi" w:cstheme="minorBidi"/>
        </w:rPr>
        <w:t>%, le reste étant valorisé sous forme de matière ou d’énergie.</w:t>
      </w:r>
      <w:r w:rsidR="00B72A61" w:rsidRPr="009D4CD4">
        <w:rPr>
          <w:rFonts w:asciiTheme="minorHAnsi" w:hAnsiTheme="minorHAnsi" w:cstheme="minorBidi"/>
        </w:rPr>
        <w:t xml:space="preserve"> </w:t>
      </w:r>
    </w:p>
    <w:p w14:paraId="6B409092" w14:textId="77777777" w:rsidR="004764FE" w:rsidRPr="009D4CD4" w:rsidRDefault="004764FE" w:rsidP="00B72A61">
      <w:pPr>
        <w:spacing w:after="0" w:line="240" w:lineRule="auto"/>
        <w:jc w:val="left"/>
        <w:rPr>
          <w:rFonts w:cs="Arial"/>
        </w:rPr>
      </w:pPr>
    </w:p>
    <w:p w14:paraId="38863EBB" w14:textId="77777777" w:rsidR="000D46EE" w:rsidRPr="009D4CD4" w:rsidRDefault="000D46EE" w:rsidP="00B72A61">
      <w:pPr>
        <w:spacing w:after="0" w:line="240" w:lineRule="auto"/>
        <w:jc w:val="left"/>
        <w:rPr>
          <w:rFonts w:cs="Arial"/>
          <w:i/>
        </w:rPr>
      </w:pPr>
      <w:r w:rsidRPr="009D4CD4">
        <w:rPr>
          <w:rFonts w:cs="Arial"/>
          <w:i/>
        </w:rPr>
        <w:t>Les canettes de boisson</w:t>
      </w:r>
    </w:p>
    <w:p w14:paraId="112167CD" w14:textId="77777777" w:rsidR="000D46EE" w:rsidRPr="009D4CD4" w:rsidRDefault="000D46EE" w:rsidP="00B72A61">
      <w:pPr>
        <w:spacing w:after="0" w:line="240" w:lineRule="auto"/>
        <w:jc w:val="left"/>
        <w:rPr>
          <w:rFonts w:cs="Arial"/>
        </w:rPr>
      </w:pPr>
    </w:p>
    <w:p w14:paraId="5F57CE62" w14:textId="64FD9A0D" w:rsidR="00086155" w:rsidRPr="009D4CD4" w:rsidRDefault="000D46EE" w:rsidP="00B72A61">
      <w:pPr>
        <w:spacing w:after="0" w:line="240" w:lineRule="auto"/>
        <w:jc w:val="left"/>
        <w:rPr>
          <w:rFonts w:cs="Arial"/>
        </w:rPr>
      </w:pPr>
      <w:r w:rsidRPr="009D4CD4">
        <w:rPr>
          <w:rFonts w:cs="Arial"/>
        </w:rPr>
        <w:t xml:space="preserve">Sur chaque site, des containers dédiés à la collecte des canettes de boisson en aluminium sont installés à proximité des distributeurs de boisson. Relevée par les personnes en charge du ménage, la collecte est acheminée vers les bacs de recyclage entreposés dans chaque site avant d’être pris en charge par les services des Communautés de communes. </w:t>
      </w:r>
    </w:p>
    <w:p w14:paraId="46955DF1" w14:textId="77777777" w:rsidR="00B72A61" w:rsidRPr="009D4CD4" w:rsidRDefault="00B72A61" w:rsidP="00AA619A">
      <w:pPr>
        <w:pStyle w:val="Titre4"/>
      </w:pPr>
      <w:bookmarkStart w:id="173" w:name="_Toc96698059"/>
      <w:r w:rsidRPr="009D4CD4">
        <w:t>Les cartes bancaires usagées</w:t>
      </w:r>
      <w:bookmarkEnd w:id="17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0"/>
        <w:gridCol w:w="937"/>
        <w:gridCol w:w="850"/>
        <w:gridCol w:w="851"/>
      </w:tblGrid>
      <w:tr w:rsidR="003A2C3D" w:rsidRPr="009D4CD4" w14:paraId="75577764" w14:textId="77777777" w:rsidTr="00523615">
        <w:trPr>
          <w:trHeight w:hRule="exact" w:val="255"/>
        </w:trPr>
        <w:tc>
          <w:tcPr>
            <w:tcW w:w="4700" w:type="dxa"/>
            <w:tcBorders>
              <w:top w:val="nil"/>
              <w:left w:val="nil"/>
              <w:bottom w:val="single" w:sz="4" w:space="0" w:color="auto"/>
              <w:right w:val="single" w:sz="4" w:space="0" w:color="auto"/>
            </w:tcBorders>
            <w:shd w:val="clear" w:color="auto" w:fill="auto"/>
          </w:tcPr>
          <w:p w14:paraId="5561A3C8" w14:textId="77777777" w:rsidR="003A2C3D" w:rsidRPr="009D4CD4" w:rsidRDefault="003A2C3D" w:rsidP="003A2C3D">
            <w:pPr>
              <w:spacing w:after="0" w:line="240" w:lineRule="auto"/>
              <w:ind w:right="140"/>
              <w:jc w:val="left"/>
              <w:rPr>
                <w:rFonts w:eastAsia="Times New Roman" w:cs="Arial"/>
                <w:sz w:val="20"/>
                <w:szCs w:val="20"/>
              </w:rPr>
            </w:pPr>
            <w:r w:rsidRPr="009D4CD4">
              <w:rPr>
                <w:rFonts w:eastAsia="Times New Roman" w:cs="Arial"/>
                <w:b/>
                <w:i/>
                <w:sz w:val="20"/>
                <w:szCs w:val="20"/>
              </w:rPr>
              <w:t>Les chiffres – clé</w:t>
            </w:r>
          </w:p>
        </w:tc>
        <w:tc>
          <w:tcPr>
            <w:tcW w:w="937" w:type="dxa"/>
            <w:shd w:val="clear" w:color="auto" w:fill="auto"/>
          </w:tcPr>
          <w:p w14:paraId="1DD51CD4" w14:textId="09C4C1E0"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2021</w:t>
            </w:r>
          </w:p>
        </w:tc>
        <w:tc>
          <w:tcPr>
            <w:tcW w:w="850" w:type="dxa"/>
          </w:tcPr>
          <w:p w14:paraId="13BFBD72" w14:textId="4486C9E0"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2020</w:t>
            </w:r>
          </w:p>
        </w:tc>
        <w:tc>
          <w:tcPr>
            <w:tcW w:w="851" w:type="dxa"/>
          </w:tcPr>
          <w:p w14:paraId="3DD37C61" w14:textId="27FE0948" w:rsidR="003A2C3D" w:rsidRPr="009D4CD4" w:rsidRDefault="003A2C3D" w:rsidP="003A2C3D">
            <w:pPr>
              <w:spacing w:after="0" w:line="240" w:lineRule="auto"/>
              <w:ind w:right="140"/>
              <w:jc w:val="left"/>
              <w:rPr>
                <w:rFonts w:eastAsia="Times New Roman" w:cs="Arial"/>
                <w:b/>
                <w:sz w:val="20"/>
                <w:szCs w:val="20"/>
              </w:rPr>
            </w:pPr>
            <w:r w:rsidRPr="009D4CD4">
              <w:rPr>
                <w:rFonts w:eastAsia="Times New Roman" w:cs="Arial"/>
                <w:b/>
                <w:sz w:val="20"/>
                <w:szCs w:val="20"/>
              </w:rPr>
              <w:t>2019</w:t>
            </w:r>
          </w:p>
        </w:tc>
      </w:tr>
      <w:tr w:rsidR="003A2C3D" w:rsidRPr="009D4CD4" w14:paraId="301BCD57" w14:textId="77777777" w:rsidTr="00523615">
        <w:trPr>
          <w:trHeight w:hRule="exact" w:val="255"/>
        </w:trPr>
        <w:tc>
          <w:tcPr>
            <w:tcW w:w="4700" w:type="dxa"/>
            <w:tcBorders>
              <w:top w:val="single" w:sz="4" w:space="0" w:color="auto"/>
              <w:bottom w:val="single" w:sz="4" w:space="0" w:color="auto"/>
            </w:tcBorders>
            <w:shd w:val="clear" w:color="auto" w:fill="auto"/>
          </w:tcPr>
          <w:p w14:paraId="378C3595" w14:textId="77777777" w:rsidR="003A2C3D" w:rsidRPr="009D4CD4" w:rsidRDefault="003A2C3D" w:rsidP="003A2C3D">
            <w:pPr>
              <w:spacing w:after="0" w:line="240" w:lineRule="auto"/>
              <w:ind w:right="140"/>
              <w:jc w:val="left"/>
              <w:rPr>
                <w:rFonts w:eastAsia="Times New Roman" w:cs="Arial"/>
                <w:sz w:val="20"/>
                <w:szCs w:val="20"/>
              </w:rPr>
            </w:pPr>
            <w:r w:rsidRPr="009D4CD4">
              <w:rPr>
                <w:rFonts w:eastAsia="Times New Roman" w:cs="Arial"/>
                <w:sz w:val="20"/>
                <w:szCs w:val="20"/>
                <w:lang w:eastAsia="fr-FR"/>
              </w:rPr>
              <w:t>Cartes bancaires récupérées</w:t>
            </w:r>
          </w:p>
        </w:tc>
        <w:tc>
          <w:tcPr>
            <w:tcW w:w="937" w:type="dxa"/>
            <w:shd w:val="clear" w:color="auto" w:fill="auto"/>
          </w:tcPr>
          <w:p w14:paraId="18F07185" w14:textId="1B66ABFD" w:rsidR="003A2C3D" w:rsidRPr="009D4CD4" w:rsidRDefault="0008600A" w:rsidP="003A2C3D">
            <w:pPr>
              <w:spacing w:after="0" w:line="240" w:lineRule="auto"/>
              <w:jc w:val="left"/>
              <w:rPr>
                <w:rFonts w:eastAsia="Times New Roman" w:cs="Arial"/>
                <w:sz w:val="20"/>
                <w:szCs w:val="20"/>
                <w:lang w:eastAsia="fr-FR"/>
              </w:rPr>
            </w:pPr>
            <w:r w:rsidRPr="009D4CD4">
              <w:rPr>
                <w:rFonts w:eastAsia="Times New Roman" w:cs="Arial"/>
                <w:sz w:val="20"/>
                <w:szCs w:val="20"/>
                <w:lang w:eastAsia="fr-FR"/>
              </w:rPr>
              <w:t>54 055</w:t>
            </w:r>
          </w:p>
        </w:tc>
        <w:tc>
          <w:tcPr>
            <w:tcW w:w="850" w:type="dxa"/>
          </w:tcPr>
          <w:p w14:paraId="5B3FAD5E" w14:textId="1BA8AEC2" w:rsidR="003A2C3D" w:rsidRPr="009D4CD4" w:rsidRDefault="003A2C3D" w:rsidP="003A2C3D">
            <w:pPr>
              <w:spacing w:after="0" w:line="240" w:lineRule="auto"/>
              <w:jc w:val="left"/>
              <w:rPr>
                <w:rFonts w:eastAsia="Times New Roman" w:cs="Arial"/>
                <w:sz w:val="20"/>
                <w:szCs w:val="20"/>
                <w:lang w:eastAsia="fr-FR"/>
              </w:rPr>
            </w:pPr>
            <w:r w:rsidRPr="009D4CD4">
              <w:rPr>
                <w:rFonts w:eastAsia="Times New Roman" w:cs="Arial"/>
                <w:sz w:val="20"/>
                <w:szCs w:val="20"/>
                <w:lang w:eastAsia="fr-FR"/>
              </w:rPr>
              <w:t>55 745</w:t>
            </w:r>
          </w:p>
        </w:tc>
        <w:tc>
          <w:tcPr>
            <w:tcW w:w="851" w:type="dxa"/>
          </w:tcPr>
          <w:p w14:paraId="34EAD5E0" w14:textId="41796F2C" w:rsidR="003A2C3D" w:rsidRPr="009D4CD4" w:rsidRDefault="003A2C3D" w:rsidP="003A2C3D">
            <w:pPr>
              <w:spacing w:after="0" w:line="240" w:lineRule="auto"/>
              <w:jc w:val="left"/>
              <w:rPr>
                <w:rFonts w:eastAsia="Times New Roman" w:cs="Arial"/>
                <w:sz w:val="20"/>
                <w:szCs w:val="20"/>
                <w:lang w:eastAsia="fr-FR"/>
              </w:rPr>
            </w:pPr>
            <w:r w:rsidRPr="009D4CD4">
              <w:rPr>
                <w:rFonts w:eastAsia="Times New Roman" w:cs="Arial"/>
                <w:sz w:val="20"/>
                <w:szCs w:val="20"/>
                <w:lang w:eastAsia="fr-FR"/>
              </w:rPr>
              <w:t>63 178</w:t>
            </w:r>
          </w:p>
        </w:tc>
      </w:tr>
    </w:tbl>
    <w:p w14:paraId="35A149B7" w14:textId="77777777" w:rsidR="00B72A61" w:rsidRPr="009D4CD4" w:rsidRDefault="00B72A61" w:rsidP="00B72A61">
      <w:pPr>
        <w:spacing w:after="0" w:line="240" w:lineRule="auto"/>
        <w:jc w:val="left"/>
        <w:rPr>
          <w:rFonts w:cs="Arial"/>
        </w:rPr>
      </w:pPr>
    </w:p>
    <w:p w14:paraId="5C9C0AA2" w14:textId="7CF89A32" w:rsidR="00140DDB" w:rsidRPr="009D4CD4" w:rsidRDefault="00B72A61" w:rsidP="00B72A61">
      <w:pPr>
        <w:spacing w:after="0" w:line="240" w:lineRule="auto"/>
        <w:jc w:val="left"/>
        <w:rPr>
          <w:rFonts w:cs="Arial"/>
        </w:rPr>
      </w:pPr>
      <w:r w:rsidRPr="009D4CD4">
        <w:rPr>
          <w:rFonts w:cs="Arial"/>
        </w:rPr>
        <w:t>Avec cinq autres Caisses régionales, le Crédit Agricole Nord Midi-Pyrénées a testé dès 2013 la mise en place d’un programme unique en Europe de récupération des cartes bancaires. Grâce à ce dispositif approuvé par l’Ademe, les cartes usagées ramenées en agence par les clients sont centralisées à Lyon, avant d’être traitées dans une unité du Groupe Umicore basée en Belgique. Les métaux contenus dans les cartes sont recyclés.</w:t>
      </w:r>
      <w:r w:rsidR="008B4692" w:rsidRPr="009D4CD4">
        <w:rPr>
          <w:rFonts w:cs="Arial"/>
        </w:rPr>
        <w:t xml:space="preserve"> </w:t>
      </w:r>
    </w:p>
    <w:p w14:paraId="2D7DF689" w14:textId="11A2D63E" w:rsidR="00A52D99" w:rsidRDefault="0008600A">
      <w:pPr>
        <w:spacing w:after="0" w:line="240" w:lineRule="auto"/>
        <w:jc w:val="left"/>
        <w:rPr>
          <w:rFonts w:cs="Arial"/>
        </w:rPr>
      </w:pPr>
      <w:r w:rsidRPr="009D4CD4">
        <w:rPr>
          <w:rFonts w:cs="Arial"/>
        </w:rPr>
        <w:t xml:space="preserve">La tendance à la </w:t>
      </w:r>
      <w:r w:rsidR="005C4C31" w:rsidRPr="009D4CD4">
        <w:rPr>
          <w:rFonts w:cs="Arial"/>
        </w:rPr>
        <w:t>baisse enregistré</w:t>
      </w:r>
      <w:r w:rsidR="00DB7F34" w:rsidRPr="009D4CD4">
        <w:rPr>
          <w:rFonts w:cs="Arial"/>
        </w:rPr>
        <w:t>e</w:t>
      </w:r>
      <w:r w:rsidR="005C4C31" w:rsidRPr="009D4CD4">
        <w:rPr>
          <w:rFonts w:cs="Arial"/>
        </w:rPr>
        <w:t xml:space="preserve"> </w:t>
      </w:r>
      <w:r w:rsidRPr="009D4CD4">
        <w:rPr>
          <w:rFonts w:cs="Arial"/>
        </w:rPr>
        <w:t>depuis</w:t>
      </w:r>
      <w:r w:rsidR="005C4C31" w:rsidRPr="009D4CD4">
        <w:rPr>
          <w:rFonts w:cs="Arial"/>
        </w:rPr>
        <w:t xml:space="preserve"> 2020 est liée aux perturbations de la crise sanitaire.</w:t>
      </w:r>
    </w:p>
    <w:p w14:paraId="1510E3B8" w14:textId="77777777" w:rsidR="00B72A61" w:rsidRPr="009D4CD4" w:rsidRDefault="00B72A61" w:rsidP="00AA619A">
      <w:pPr>
        <w:pStyle w:val="Titre4"/>
      </w:pPr>
      <w:bookmarkStart w:id="174" w:name="_Toc96698060"/>
      <w:r w:rsidRPr="009D4CD4">
        <w:t>Les stylos et instruments d’écriture</w:t>
      </w:r>
      <w:bookmarkEnd w:id="174"/>
    </w:p>
    <w:p w14:paraId="43FCC723" w14:textId="77777777" w:rsidR="00B72A61" w:rsidRPr="009D4CD4" w:rsidRDefault="00B72A61" w:rsidP="00B72A61">
      <w:pPr>
        <w:spacing w:after="0" w:line="240" w:lineRule="auto"/>
        <w:jc w:val="left"/>
        <w:rPr>
          <w:rFonts w:cs="Arial"/>
        </w:rPr>
      </w:pPr>
    </w:p>
    <w:p w14:paraId="53705385" w14:textId="77777777" w:rsidR="00B72A61" w:rsidRPr="009D4CD4" w:rsidRDefault="00B72A61" w:rsidP="00B72A61">
      <w:pPr>
        <w:spacing w:after="0" w:line="240" w:lineRule="auto"/>
        <w:jc w:val="left"/>
        <w:rPr>
          <w:rFonts w:cs="Arial"/>
        </w:rPr>
      </w:pPr>
      <w:r w:rsidRPr="009D4CD4">
        <w:rPr>
          <w:rFonts w:cs="Arial"/>
        </w:rPr>
        <w:t>Lancé en 2018, un dispositif de récupération des stylos et instruments d’écriture est à la disposition des salariés en agence et dans les sites. Les produits de la collecte sont transformés en divers objets en plastique (ex : mobilier de jardin) par le partenaire TERRA CYCLE.</w:t>
      </w:r>
    </w:p>
    <w:p w14:paraId="1740EBF0" w14:textId="77777777" w:rsidR="00B72A61" w:rsidRPr="009D4CD4" w:rsidRDefault="00B72A61" w:rsidP="00823E55">
      <w:pPr>
        <w:pStyle w:val="CAA-N"/>
        <w:rPr>
          <w:rFonts w:ascii="Calibri" w:hAnsi="Calibri" w:cs="Arial"/>
          <w:color w:val="auto"/>
          <w:sz w:val="22"/>
          <w:szCs w:val="22"/>
        </w:rPr>
      </w:pPr>
    </w:p>
    <w:p w14:paraId="0C1FD74E" w14:textId="0DE61CBE" w:rsidR="00823E55" w:rsidRPr="009D4CD4" w:rsidRDefault="00264FF9" w:rsidP="00AA619A">
      <w:pPr>
        <w:pStyle w:val="Titre4"/>
      </w:pPr>
      <w:bookmarkStart w:id="175" w:name="_Toc96698061"/>
      <w:r w:rsidRPr="009D4CD4">
        <w:t>Masques sanitaires</w:t>
      </w:r>
      <w:bookmarkEnd w:id="175"/>
    </w:p>
    <w:p w14:paraId="1AB0C620" w14:textId="44576F54" w:rsidR="00823E55" w:rsidRPr="009D4CD4" w:rsidRDefault="00823E55" w:rsidP="00683C3A">
      <w:pPr>
        <w:pStyle w:val="CAA-N"/>
        <w:spacing w:after="0"/>
        <w:jc w:val="left"/>
        <w:rPr>
          <w:rFonts w:cs="Arial"/>
        </w:rPr>
      </w:pPr>
      <w:r w:rsidRPr="009D4CD4">
        <w:rPr>
          <w:rFonts w:ascii="Calibri" w:hAnsi="Calibri" w:cs="Arial"/>
          <w:color w:val="auto"/>
          <w:sz w:val="22"/>
          <w:szCs w:val="22"/>
        </w:rPr>
        <w:t xml:space="preserve">Depuis le début de la crise sanitaire, la consommation de masques a </w:t>
      </w:r>
      <w:r w:rsidR="00B63571" w:rsidRPr="009D4CD4">
        <w:rPr>
          <w:rFonts w:ascii="Calibri" w:hAnsi="Calibri" w:cs="Arial"/>
          <w:color w:val="auto"/>
          <w:sz w:val="22"/>
          <w:szCs w:val="22"/>
        </w:rPr>
        <w:t>généré</w:t>
      </w:r>
      <w:r w:rsidRPr="009D4CD4">
        <w:rPr>
          <w:rFonts w:ascii="Calibri" w:hAnsi="Calibri" w:cs="Arial"/>
          <w:color w:val="auto"/>
          <w:sz w:val="22"/>
          <w:szCs w:val="22"/>
        </w:rPr>
        <w:t xml:space="preserve"> </w:t>
      </w:r>
      <w:r w:rsidR="00B63571" w:rsidRPr="009D4CD4">
        <w:rPr>
          <w:rFonts w:ascii="Calibri" w:hAnsi="Calibri" w:cs="Arial"/>
          <w:color w:val="auto"/>
          <w:sz w:val="22"/>
          <w:szCs w:val="22"/>
        </w:rPr>
        <w:t xml:space="preserve">un surcroît considérable de déchets. </w:t>
      </w:r>
      <w:r w:rsidR="00823D34" w:rsidRPr="009D4CD4">
        <w:rPr>
          <w:rFonts w:ascii="Calibri" w:hAnsi="Calibri" w:cs="Arial"/>
          <w:color w:val="auto"/>
          <w:sz w:val="22"/>
          <w:szCs w:val="22"/>
        </w:rPr>
        <w:t>C’est la raison pour laquelle,</w:t>
      </w:r>
      <w:r w:rsidR="00B63571" w:rsidRPr="009D4CD4">
        <w:rPr>
          <w:rFonts w:ascii="Calibri" w:hAnsi="Calibri" w:cs="Arial"/>
          <w:color w:val="auto"/>
          <w:sz w:val="22"/>
          <w:szCs w:val="22"/>
        </w:rPr>
        <w:t xml:space="preserve"> des contenants cartonnés ont été installés dans les agences et les sites</w:t>
      </w:r>
      <w:r w:rsidR="00823D34" w:rsidRPr="009D4CD4">
        <w:rPr>
          <w:rFonts w:ascii="Calibri" w:hAnsi="Calibri" w:cs="Arial"/>
          <w:color w:val="auto"/>
          <w:sz w:val="22"/>
          <w:szCs w:val="22"/>
        </w:rPr>
        <w:t xml:space="preserve"> en 2021. </w:t>
      </w:r>
      <w:r w:rsidRPr="009D4CD4">
        <w:rPr>
          <w:rFonts w:ascii="Calibri" w:hAnsi="Calibri" w:cs="Arial"/>
          <w:color w:val="auto"/>
          <w:sz w:val="22"/>
          <w:szCs w:val="22"/>
        </w:rPr>
        <w:t xml:space="preserve">Les masques récupérés entrent dans une filière de recyclage </w:t>
      </w:r>
      <w:r w:rsidR="00B63571" w:rsidRPr="009D4CD4">
        <w:rPr>
          <w:rFonts w:ascii="Calibri" w:hAnsi="Calibri" w:cs="Arial"/>
          <w:color w:val="auto"/>
          <w:sz w:val="22"/>
          <w:szCs w:val="22"/>
        </w:rPr>
        <w:t>valorisant les différents composants : l</w:t>
      </w:r>
      <w:r w:rsidR="00823D34" w:rsidRPr="009D4CD4">
        <w:rPr>
          <w:rFonts w:ascii="Calibri" w:hAnsi="Calibri" w:cs="Arial"/>
          <w:color w:val="auto"/>
          <w:sz w:val="22"/>
          <w:szCs w:val="22"/>
        </w:rPr>
        <w:t>a tige d’</w:t>
      </w:r>
      <w:r w:rsidRPr="009D4CD4">
        <w:rPr>
          <w:rFonts w:ascii="Calibri" w:hAnsi="Calibri" w:cs="Arial"/>
          <w:color w:val="auto"/>
          <w:sz w:val="22"/>
          <w:szCs w:val="22"/>
        </w:rPr>
        <w:t xml:space="preserve">aluminium </w:t>
      </w:r>
      <w:r w:rsidR="00823D34" w:rsidRPr="009D4CD4">
        <w:rPr>
          <w:rFonts w:ascii="Calibri" w:hAnsi="Calibri" w:cs="Arial"/>
          <w:color w:val="auto"/>
          <w:sz w:val="22"/>
          <w:szCs w:val="22"/>
        </w:rPr>
        <w:t xml:space="preserve">est orientée sur une filière </w:t>
      </w:r>
      <w:r w:rsidRPr="009D4CD4">
        <w:rPr>
          <w:rFonts w:ascii="Calibri" w:hAnsi="Calibri" w:cs="Arial"/>
          <w:color w:val="auto"/>
          <w:sz w:val="22"/>
          <w:szCs w:val="22"/>
        </w:rPr>
        <w:t>de recyclage des métaux</w:t>
      </w:r>
      <w:r w:rsidR="00823D34" w:rsidRPr="009D4CD4">
        <w:rPr>
          <w:rFonts w:ascii="Calibri" w:hAnsi="Calibri" w:cs="Arial"/>
          <w:color w:val="auto"/>
          <w:sz w:val="22"/>
          <w:szCs w:val="22"/>
        </w:rPr>
        <w:t>. Le masque en p</w:t>
      </w:r>
      <w:r w:rsidRPr="009D4CD4">
        <w:rPr>
          <w:rFonts w:ascii="Calibri" w:hAnsi="Calibri" w:cs="Arial"/>
          <w:color w:val="auto"/>
          <w:sz w:val="22"/>
          <w:szCs w:val="22"/>
        </w:rPr>
        <w:t xml:space="preserve">olypropylène </w:t>
      </w:r>
      <w:r w:rsidR="00823D34" w:rsidRPr="009D4CD4">
        <w:rPr>
          <w:rFonts w:ascii="Calibri" w:hAnsi="Calibri" w:cs="Arial"/>
          <w:color w:val="auto"/>
          <w:sz w:val="22"/>
          <w:szCs w:val="22"/>
        </w:rPr>
        <w:t xml:space="preserve">est valorisé au bénéfice des </w:t>
      </w:r>
      <w:r w:rsidRPr="009D4CD4">
        <w:rPr>
          <w:rFonts w:ascii="Calibri" w:hAnsi="Calibri" w:cs="Arial"/>
          <w:color w:val="auto"/>
          <w:sz w:val="22"/>
          <w:szCs w:val="22"/>
        </w:rPr>
        <w:t>secteur</w:t>
      </w:r>
      <w:r w:rsidR="00823D34" w:rsidRPr="009D4CD4">
        <w:rPr>
          <w:rFonts w:ascii="Calibri" w:hAnsi="Calibri" w:cs="Arial"/>
          <w:color w:val="auto"/>
          <w:sz w:val="22"/>
          <w:szCs w:val="22"/>
        </w:rPr>
        <w:t>s</w:t>
      </w:r>
      <w:r w:rsidRPr="009D4CD4">
        <w:rPr>
          <w:rFonts w:ascii="Calibri" w:hAnsi="Calibri" w:cs="Arial"/>
          <w:color w:val="auto"/>
          <w:sz w:val="22"/>
          <w:szCs w:val="22"/>
        </w:rPr>
        <w:t xml:space="preserve"> automobile et textile</w:t>
      </w:r>
      <w:r w:rsidR="00823D34" w:rsidRPr="009D4CD4">
        <w:rPr>
          <w:rFonts w:ascii="Calibri" w:hAnsi="Calibri" w:cs="Arial"/>
          <w:color w:val="auto"/>
          <w:sz w:val="22"/>
          <w:szCs w:val="22"/>
        </w:rPr>
        <w:t>.</w:t>
      </w:r>
    </w:p>
    <w:p w14:paraId="1D4F7BE0" w14:textId="77777777" w:rsidR="00AA619A" w:rsidRPr="009D4CD4" w:rsidRDefault="00AA619A" w:rsidP="00B72A61">
      <w:pPr>
        <w:spacing w:after="0" w:line="240" w:lineRule="auto"/>
        <w:jc w:val="left"/>
        <w:rPr>
          <w:rFonts w:cs="Arial"/>
        </w:rPr>
      </w:pPr>
    </w:p>
    <w:p w14:paraId="396511FB" w14:textId="692B8CF1" w:rsidR="00B72A61" w:rsidRPr="009D4CD4" w:rsidRDefault="001B75B0" w:rsidP="001B75B0">
      <w:pPr>
        <w:numPr>
          <w:ilvl w:val="0"/>
          <w:numId w:val="4"/>
        </w:numPr>
        <w:spacing w:after="0" w:line="240" w:lineRule="auto"/>
        <w:jc w:val="left"/>
        <w:rPr>
          <w:rFonts w:cs="Arial"/>
        </w:rPr>
      </w:pPr>
      <w:r w:rsidRPr="009D4CD4">
        <w:rPr>
          <w:rFonts w:cs="Arial"/>
        </w:rPr>
        <w:t>Les filiales Edokial et Inforsud Technologie</w:t>
      </w:r>
      <w:r w:rsidR="00CC3251" w:rsidRPr="009D4CD4">
        <w:rPr>
          <w:rFonts w:cs="Arial"/>
        </w:rPr>
        <w:t>s</w:t>
      </w:r>
      <w:r w:rsidRPr="009D4CD4">
        <w:rPr>
          <w:rFonts w:cs="Arial"/>
        </w:rPr>
        <w:t xml:space="preserve"> </w:t>
      </w:r>
      <w:r w:rsidR="00CC3251" w:rsidRPr="009D4CD4">
        <w:rPr>
          <w:rFonts w:cs="Arial"/>
        </w:rPr>
        <w:t>(IST)</w:t>
      </w:r>
    </w:p>
    <w:p w14:paraId="756FAEA9" w14:textId="77777777" w:rsidR="00B72A61" w:rsidRPr="009D4CD4" w:rsidRDefault="00B72A61" w:rsidP="00B72A61">
      <w:pPr>
        <w:spacing w:after="0" w:line="240" w:lineRule="auto"/>
        <w:jc w:val="left"/>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4"/>
        <w:gridCol w:w="1011"/>
        <w:gridCol w:w="976"/>
        <w:gridCol w:w="976"/>
        <w:gridCol w:w="920"/>
      </w:tblGrid>
      <w:tr w:rsidR="00CC3251" w:rsidRPr="009D4CD4" w14:paraId="3CF85346" w14:textId="77777777" w:rsidTr="0015198F">
        <w:trPr>
          <w:trHeight w:hRule="exact" w:val="284"/>
        </w:trPr>
        <w:tc>
          <w:tcPr>
            <w:tcW w:w="4714" w:type="dxa"/>
            <w:tcBorders>
              <w:top w:val="nil"/>
              <w:left w:val="nil"/>
              <w:bottom w:val="single" w:sz="4" w:space="0" w:color="auto"/>
              <w:right w:val="single" w:sz="4" w:space="0" w:color="auto"/>
            </w:tcBorders>
            <w:shd w:val="clear" w:color="auto" w:fill="auto"/>
          </w:tcPr>
          <w:p w14:paraId="588C797C" w14:textId="69ECD610" w:rsidR="00CC3251" w:rsidRPr="009D4CD4" w:rsidRDefault="00CC3251" w:rsidP="00823D34">
            <w:pPr>
              <w:spacing w:after="0" w:line="240" w:lineRule="auto"/>
              <w:ind w:right="140"/>
              <w:jc w:val="left"/>
              <w:rPr>
                <w:rFonts w:eastAsia="Times New Roman" w:cs="Arial"/>
                <w:sz w:val="20"/>
                <w:szCs w:val="20"/>
              </w:rPr>
            </w:pPr>
            <w:r w:rsidRPr="009D4CD4">
              <w:rPr>
                <w:rFonts w:eastAsia="Times New Roman" w:cs="Arial"/>
                <w:b/>
                <w:i/>
                <w:sz w:val="20"/>
                <w:szCs w:val="20"/>
              </w:rPr>
              <w:t>Les chiffres – clé (en tonnes)</w:t>
            </w:r>
          </w:p>
        </w:tc>
        <w:tc>
          <w:tcPr>
            <w:tcW w:w="1011" w:type="dxa"/>
          </w:tcPr>
          <w:p w14:paraId="201D8010" w14:textId="5F6E0FA5" w:rsidR="00CC3251" w:rsidRPr="009D4CD4" w:rsidRDefault="00CC3251" w:rsidP="00823D34">
            <w:pPr>
              <w:spacing w:after="0" w:line="240" w:lineRule="auto"/>
              <w:ind w:right="140"/>
              <w:jc w:val="left"/>
              <w:rPr>
                <w:rFonts w:eastAsia="Times New Roman" w:cs="Arial"/>
                <w:b/>
                <w:sz w:val="20"/>
                <w:szCs w:val="20"/>
              </w:rPr>
            </w:pPr>
            <w:r w:rsidRPr="009D4CD4">
              <w:rPr>
                <w:rFonts w:eastAsia="Times New Roman" w:cs="Arial"/>
                <w:b/>
                <w:sz w:val="20"/>
                <w:szCs w:val="20"/>
              </w:rPr>
              <w:t>21 IST</w:t>
            </w:r>
          </w:p>
        </w:tc>
        <w:tc>
          <w:tcPr>
            <w:tcW w:w="976" w:type="dxa"/>
          </w:tcPr>
          <w:p w14:paraId="39E0FF97" w14:textId="0201C5A5" w:rsidR="00CC3251" w:rsidRPr="009D4CD4" w:rsidRDefault="00CC3251" w:rsidP="00823D34">
            <w:pPr>
              <w:spacing w:after="0" w:line="240" w:lineRule="auto"/>
              <w:ind w:right="140"/>
              <w:jc w:val="left"/>
              <w:rPr>
                <w:rFonts w:eastAsia="Times New Roman" w:cs="Arial"/>
                <w:b/>
                <w:sz w:val="20"/>
                <w:szCs w:val="20"/>
              </w:rPr>
            </w:pPr>
            <w:r w:rsidRPr="009D4CD4">
              <w:rPr>
                <w:rFonts w:eastAsia="Times New Roman" w:cs="Arial"/>
                <w:b/>
                <w:sz w:val="20"/>
                <w:szCs w:val="20"/>
              </w:rPr>
              <w:t>21 EDK</w:t>
            </w:r>
          </w:p>
        </w:tc>
        <w:tc>
          <w:tcPr>
            <w:tcW w:w="976" w:type="dxa"/>
            <w:shd w:val="clear" w:color="auto" w:fill="auto"/>
          </w:tcPr>
          <w:p w14:paraId="26C69C83" w14:textId="1A6BEFF3" w:rsidR="00CC3251" w:rsidRPr="009D4CD4" w:rsidRDefault="00CC3251" w:rsidP="00823D34">
            <w:pPr>
              <w:spacing w:after="0" w:line="240" w:lineRule="auto"/>
              <w:ind w:right="140"/>
              <w:jc w:val="left"/>
              <w:rPr>
                <w:rFonts w:eastAsia="Times New Roman" w:cs="Arial"/>
                <w:b/>
                <w:sz w:val="20"/>
                <w:szCs w:val="20"/>
              </w:rPr>
            </w:pPr>
            <w:r w:rsidRPr="009D4CD4">
              <w:rPr>
                <w:rFonts w:eastAsia="Times New Roman" w:cs="Arial"/>
                <w:b/>
                <w:sz w:val="20"/>
                <w:szCs w:val="20"/>
              </w:rPr>
              <w:t>2020</w:t>
            </w:r>
          </w:p>
        </w:tc>
        <w:tc>
          <w:tcPr>
            <w:tcW w:w="920" w:type="dxa"/>
          </w:tcPr>
          <w:p w14:paraId="2C6F17FF" w14:textId="78CC89BB" w:rsidR="00CC3251" w:rsidRPr="009D4CD4" w:rsidRDefault="00CC3251" w:rsidP="00823D34">
            <w:pPr>
              <w:spacing w:after="0" w:line="240" w:lineRule="auto"/>
              <w:ind w:right="140"/>
              <w:jc w:val="left"/>
              <w:rPr>
                <w:rFonts w:eastAsia="Times New Roman" w:cs="Arial"/>
                <w:b/>
                <w:sz w:val="20"/>
                <w:szCs w:val="20"/>
              </w:rPr>
            </w:pPr>
            <w:r w:rsidRPr="009D4CD4">
              <w:rPr>
                <w:rFonts w:eastAsia="Times New Roman" w:cs="Arial"/>
                <w:b/>
                <w:sz w:val="20"/>
                <w:szCs w:val="20"/>
              </w:rPr>
              <w:t>2019</w:t>
            </w:r>
          </w:p>
        </w:tc>
      </w:tr>
      <w:tr w:rsidR="00CC3251" w:rsidRPr="009D4CD4" w14:paraId="6C2AA22B" w14:textId="77777777" w:rsidTr="0015198F">
        <w:trPr>
          <w:trHeight w:hRule="exact" w:val="284"/>
        </w:trPr>
        <w:tc>
          <w:tcPr>
            <w:tcW w:w="4714" w:type="dxa"/>
            <w:tcBorders>
              <w:top w:val="single" w:sz="4" w:space="0" w:color="auto"/>
              <w:bottom w:val="single" w:sz="4" w:space="0" w:color="auto"/>
            </w:tcBorders>
            <w:shd w:val="clear" w:color="auto" w:fill="auto"/>
          </w:tcPr>
          <w:p w14:paraId="1D9F82C4" w14:textId="77777777" w:rsidR="00CC3251" w:rsidRPr="009D4CD4" w:rsidRDefault="00CC3251" w:rsidP="00823D34">
            <w:pPr>
              <w:spacing w:after="0" w:line="240" w:lineRule="auto"/>
              <w:ind w:right="140"/>
              <w:jc w:val="left"/>
              <w:rPr>
                <w:rFonts w:eastAsia="Times New Roman" w:cs="Arial"/>
                <w:sz w:val="20"/>
                <w:szCs w:val="20"/>
              </w:rPr>
            </w:pPr>
            <w:r w:rsidRPr="009D4CD4">
              <w:rPr>
                <w:rFonts w:eastAsia="Times New Roman" w:cs="Arial"/>
                <w:sz w:val="20"/>
                <w:szCs w:val="20"/>
                <w:lang w:eastAsia="fr-FR"/>
              </w:rPr>
              <w:t>Papiers</w:t>
            </w:r>
          </w:p>
        </w:tc>
        <w:tc>
          <w:tcPr>
            <w:tcW w:w="1011" w:type="dxa"/>
          </w:tcPr>
          <w:p w14:paraId="0B6866FB" w14:textId="7F7822BF" w:rsidR="00CC3251" w:rsidRPr="009D4CD4" w:rsidRDefault="00CC3251" w:rsidP="00CC3251">
            <w:pPr>
              <w:spacing w:line="240" w:lineRule="auto"/>
              <w:jc w:val="left"/>
              <w:rPr>
                <w:rFonts w:eastAsia="Times New Roman" w:cs="Arial"/>
                <w:sz w:val="20"/>
                <w:szCs w:val="20"/>
                <w:lang w:eastAsia="fr-FR"/>
              </w:rPr>
            </w:pPr>
            <w:r w:rsidRPr="009D4CD4">
              <w:rPr>
                <w:rFonts w:eastAsia="Times New Roman" w:cs="Arial"/>
                <w:sz w:val="20"/>
                <w:szCs w:val="20"/>
                <w:lang w:eastAsia="fr-FR"/>
              </w:rPr>
              <w:t xml:space="preserve">1,25 </w:t>
            </w:r>
          </w:p>
        </w:tc>
        <w:tc>
          <w:tcPr>
            <w:tcW w:w="976" w:type="dxa"/>
          </w:tcPr>
          <w:p w14:paraId="08A4F7C4" w14:textId="59C3295B" w:rsidR="00CC3251" w:rsidRPr="009D4CD4" w:rsidRDefault="006C3D5A"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298</w:t>
            </w:r>
          </w:p>
        </w:tc>
        <w:tc>
          <w:tcPr>
            <w:tcW w:w="976" w:type="dxa"/>
            <w:shd w:val="clear" w:color="auto" w:fill="auto"/>
          </w:tcPr>
          <w:p w14:paraId="3F43737D" w14:textId="07BA142F"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 xml:space="preserve">522 </w:t>
            </w:r>
          </w:p>
        </w:tc>
        <w:tc>
          <w:tcPr>
            <w:tcW w:w="920" w:type="dxa"/>
          </w:tcPr>
          <w:p w14:paraId="19B2671E" w14:textId="3B30F6A8"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650</w:t>
            </w:r>
          </w:p>
        </w:tc>
      </w:tr>
      <w:tr w:rsidR="00CC3251" w:rsidRPr="009D4CD4" w14:paraId="43CB814C" w14:textId="77777777" w:rsidTr="0015198F">
        <w:trPr>
          <w:trHeight w:hRule="exact" w:val="284"/>
        </w:trPr>
        <w:tc>
          <w:tcPr>
            <w:tcW w:w="4714" w:type="dxa"/>
            <w:tcBorders>
              <w:top w:val="single" w:sz="4" w:space="0" w:color="auto"/>
              <w:bottom w:val="single" w:sz="4" w:space="0" w:color="auto"/>
            </w:tcBorders>
            <w:shd w:val="clear" w:color="auto" w:fill="auto"/>
          </w:tcPr>
          <w:p w14:paraId="3A9C3545" w14:textId="77777777" w:rsidR="00CC3251" w:rsidRPr="009D4CD4" w:rsidRDefault="00CC3251" w:rsidP="00823D34">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Cartons</w:t>
            </w:r>
          </w:p>
        </w:tc>
        <w:tc>
          <w:tcPr>
            <w:tcW w:w="1011" w:type="dxa"/>
          </w:tcPr>
          <w:p w14:paraId="15B47667" w14:textId="19356EC8"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0,38</w:t>
            </w:r>
          </w:p>
        </w:tc>
        <w:tc>
          <w:tcPr>
            <w:tcW w:w="976" w:type="dxa"/>
          </w:tcPr>
          <w:p w14:paraId="12DD1654" w14:textId="0526DA37" w:rsidR="00CC3251" w:rsidRPr="009D4CD4" w:rsidRDefault="006C3D5A"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166</w:t>
            </w:r>
          </w:p>
        </w:tc>
        <w:tc>
          <w:tcPr>
            <w:tcW w:w="976" w:type="dxa"/>
            <w:shd w:val="clear" w:color="auto" w:fill="auto"/>
          </w:tcPr>
          <w:p w14:paraId="472F1B32" w14:textId="3BC1BF85"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128</w:t>
            </w:r>
          </w:p>
        </w:tc>
        <w:tc>
          <w:tcPr>
            <w:tcW w:w="920" w:type="dxa"/>
          </w:tcPr>
          <w:p w14:paraId="75331578" w14:textId="36F28198" w:rsidR="00CC3251" w:rsidRPr="009D4CD4" w:rsidRDefault="00CC3251" w:rsidP="00823D34">
            <w:pPr>
              <w:spacing w:line="-283" w:lineRule="auto"/>
              <w:rPr>
                <w:rFonts w:eastAsiaTheme="minorHAnsi"/>
                <w:sz w:val="20"/>
                <w:szCs w:val="20"/>
                <w:lang w:eastAsia="fr-FR"/>
              </w:rPr>
            </w:pPr>
            <w:r w:rsidRPr="009D4CD4">
              <w:rPr>
                <w:rFonts w:eastAsia="Times New Roman" w:cs="Arial"/>
                <w:sz w:val="20"/>
                <w:szCs w:val="20"/>
                <w:lang w:eastAsia="fr-FR"/>
              </w:rPr>
              <w:t>155</w:t>
            </w:r>
          </w:p>
        </w:tc>
      </w:tr>
      <w:tr w:rsidR="00CC3251" w:rsidRPr="009D4CD4" w14:paraId="42CFC619" w14:textId="77777777" w:rsidTr="0015198F">
        <w:trPr>
          <w:trHeight w:hRule="exact" w:val="284"/>
        </w:trPr>
        <w:tc>
          <w:tcPr>
            <w:tcW w:w="4714" w:type="dxa"/>
            <w:tcBorders>
              <w:top w:val="single" w:sz="4" w:space="0" w:color="auto"/>
              <w:bottom w:val="single" w:sz="4" w:space="0" w:color="auto"/>
            </w:tcBorders>
            <w:shd w:val="clear" w:color="auto" w:fill="auto"/>
          </w:tcPr>
          <w:p w14:paraId="712C1F3E" w14:textId="77777777" w:rsidR="00CC3251" w:rsidRPr="009D4CD4" w:rsidRDefault="00CC3251" w:rsidP="00823D34">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Encre</w:t>
            </w:r>
          </w:p>
          <w:p w14:paraId="44B7772C" w14:textId="77777777" w:rsidR="00CC3251" w:rsidRPr="009D4CD4" w:rsidRDefault="00CC3251" w:rsidP="00823D34">
            <w:pPr>
              <w:spacing w:after="0" w:line="240" w:lineRule="auto"/>
              <w:ind w:right="140"/>
              <w:jc w:val="left"/>
              <w:rPr>
                <w:rFonts w:eastAsia="Times New Roman" w:cs="Arial"/>
                <w:sz w:val="20"/>
                <w:szCs w:val="20"/>
                <w:lang w:eastAsia="fr-FR"/>
              </w:rPr>
            </w:pPr>
          </w:p>
          <w:p w14:paraId="4D63B152" w14:textId="77777777" w:rsidR="00CC3251" w:rsidRPr="009D4CD4" w:rsidRDefault="00CC3251" w:rsidP="00823D34">
            <w:pPr>
              <w:spacing w:after="0" w:line="240" w:lineRule="auto"/>
              <w:ind w:right="140"/>
              <w:jc w:val="left"/>
              <w:rPr>
                <w:rFonts w:eastAsia="Times New Roman" w:cs="Arial"/>
                <w:sz w:val="20"/>
                <w:szCs w:val="20"/>
                <w:lang w:eastAsia="fr-FR"/>
              </w:rPr>
            </w:pPr>
          </w:p>
        </w:tc>
        <w:tc>
          <w:tcPr>
            <w:tcW w:w="1011" w:type="dxa"/>
          </w:tcPr>
          <w:p w14:paraId="04966492" w14:textId="6A71E06C" w:rsidR="00CC3251" w:rsidRPr="009D4CD4" w:rsidRDefault="00CC3251" w:rsidP="001B75B0">
            <w:pPr>
              <w:rPr>
                <w:rFonts w:cs="Arial"/>
                <w:sz w:val="20"/>
                <w:szCs w:val="20"/>
              </w:rPr>
            </w:pPr>
            <w:r w:rsidRPr="009D4CD4">
              <w:rPr>
                <w:rFonts w:cs="Arial"/>
                <w:sz w:val="20"/>
                <w:szCs w:val="20"/>
              </w:rPr>
              <w:t>-</w:t>
            </w:r>
          </w:p>
        </w:tc>
        <w:tc>
          <w:tcPr>
            <w:tcW w:w="976" w:type="dxa"/>
          </w:tcPr>
          <w:p w14:paraId="28B8F9AD" w14:textId="45ED3966" w:rsidR="00CC3251" w:rsidRPr="009D4CD4" w:rsidRDefault="006C3D5A"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1,8</w:t>
            </w:r>
          </w:p>
        </w:tc>
        <w:tc>
          <w:tcPr>
            <w:tcW w:w="976" w:type="dxa"/>
            <w:shd w:val="clear" w:color="auto" w:fill="auto"/>
          </w:tcPr>
          <w:p w14:paraId="189CD6FC" w14:textId="46AE5328"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1,3</w:t>
            </w:r>
          </w:p>
        </w:tc>
        <w:tc>
          <w:tcPr>
            <w:tcW w:w="920" w:type="dxa"/>
          </w:tcPr>
          <w:p w14:paraId="53F03FE3" w14:textId="350D868E" w:rsidR="00CC3251" w:rsidRPr="009D4CD4" w:rsidRDefault="00CC3251" w:rsidP="00823D34">
            <w:pPr>
              <w:spacing w:line="-283" w:lineRule="auto"/>
              <w:rPr>
                <w:rFonts w:eastAsiaTheme="minorHAnsi"/>
                <w:sz w:val="20"/>
                <w:szCs w:val="20"/>
                <w:lang w:eastAsia="fr-FR"/>
              </w:rPr>
            </w:pPr>
            <w:r w:rsidRPr="009D4CD4">
              <w:rPr>
                <w:rFonts w:eastAsia="Times New Roman" w:cs="Arial"/>
                <w:sz w:val="20"/>
                <w:szCs w:val="20"/>
                <w:lang w:eastAsia="fr-FR"/>
              </w:rPr>
              <w:t>1,7</w:t>
            </w:r>
          </w:p>
        </w:tc>
      </w:tr>
      <w:tr w:rsidR="00CC3251" w:rsidRPr="009D4CD4" w14:paraId="143BEC3B" w14:textId="77777777" w:rsidTr="0015198F">
        <w:trPr>
          <w:trHeight w:hRule="exact" w:val="284"/>
        </w:trPr>
        <w:tc>
          <w:tcPr>
            <w:tcW w:w="4714" w:type="dxa"/>
            <w:tcBorders>
              <w:top w:val="single" w:sz="4" w:space="0" w:color="auto"/>
              <w:bottom w:val="single" w:sz="4" w:space="0" w:color="auto"/>
            </w:tcBorders>
            <w:shd w:val="clear" w:color="auto" w:fill="auto"/>
          </w:tcPr>
          <w:p w14:paraId="37EF96BB" w14:textId="77777777" w:rsidR="00CC3251" w:rsidRPr="009D4CD4" w:rsidRDefault="00CC3251" w:rsidP="00823D34">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Toner</w:t>
            </w:r>
          </w:p>
        </w:tc>
        <w:tc>
          <w:tcPr>
            <w:tcW w:w="1011" w:type="dxa"/>
          </w:tcPr>
          <w:p w14:paraId="7D76621D" w14:textId="257BAC4F"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0,11</w:t>
            </w:r>
          </w:p>
        </w:tc>
        <w:tc>
          <w:tcPr>
            <w:tcW w:w="976" w:type="dxa"/>
          </w:tcPr>
          <w:p w14:paraId="0997C1C7" w14:textId="5ED302EE" w:rsidR="00CC3251" w:rsidRPr="009D4CD4" w:rsidRDefault="006C3D5A"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1,7</w:t>
            </w:r>
          </w:p>
        </w:tc>
        <w:tc>
          <w:tcPr>
            <w:tcW w:w="976" w:type="dxa"/>
            <w:shd w:val="clear" w:color="auto" w:fill="auto"/>
          </w:tcPr>
          <w:p w14:paraId="419EFF1A" w14:textId="5B4F3B03"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2,25</w:t>
            </w:r>
          </w:p>
        </w:tc>
        <w:tc>
          <w:tcPr>
            <w:tcW w:w="920" w:type="dxa"/>
          </w:tcPr>
          <w:p w14:paraId="0BAD58FF" w14:textId="5681A9C0" w:rsidR="00CC3251" w:rsidRPr="009D4CD4" w:rsidRDefault="00CC3251" w:rsidP="00823D34">
            <w:pPr>
              <w:spacing w:line="-283" w:lineRule="auto"/>
              <w:rPr>
                <w:rFonts w:eastAsiaTheme="minorHAnsi"/>
                <w:sz w:val="20"/>
                <w:szCs w:val="20"/>
                <w:lang w:eastAsia="fr-FR"/>
              </w:rPr>
            </w:pPr>
            <w:r w:rsidRPr="009D4CD4">
              <w:rPr>
                <w:rFonts w:eastAsia="Times New Roman" w:cs="Arial"/>
                <w:sz w:val="20"/>
                <w:szCs w:val="20"/>
                <w:lang w:eastAsia="fr-FR"/>
              </w:rPr>
              <w:t>4,82</w:t>
            </w:r>
          </w:p>
        </w:tc>
      </w:tr>
      <w:tr w:rsidR="00CC3251" w:rsidRPr="009D4CD4" w14:paraId="4D7CDE5F" w14:textId="77777777" w:rsidTr="0015198F">
        <w:trPr>
          <w:trHeight w:hRule="exact" w:val="284"/>
        </w:trPr>
        <w:tc>
          <w:tcPr>
            <w:tcW w:w="4714" w:type="dxa"/>
            <w:tcBorders>
              <w:top w:val="single" w:sz="4" w:space="0" w:color="auto"/>
              <w:bottom w:val="single" w:sz="4" w:space="0" w:color="auto"/>
            </w:tcBorders>
            <w:shd w:val="clear" w:color="auto" w:fill="auto"/>
          </w:tcPr>
          <w:p w14:paraId="59E252BF" w14:textId="77777777" w:rsidR="00CC3251" w:rsidRPr="009D4CD4" w:rsidRDefault="00CC3251" w:rsidP="00823D34">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Emballages souillés</w:t>
            </w:r>
          </w:p>
        </w:tc>
        <w:tc>
          <w:tcPr>
            <w:tcW w:w="1011" w:type="dxa"/>
          </w:tcPr>
          <w:p w14:paraId="5A8D55E2" w14:textId="3515B99D"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w:t>
            </w:r>
          </w:p>
        </w:tc>
        <w:tc>
          <w:tcPr>
            <w:tcW w:w="976" w:type="dxa"/>
          </w:tcPr>
          <w:p w14:paraId="59BC1436" w14:textId="56D7E530" w:rsidR="00CC3251" w:rsidRPr="009D4CD4" w:rsidRDefault="006C3D5A"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1,1</w:t>
            </w:r>
          </w:p>
        </w:tc>
        <w:tc>
          <w:tcPr>
            <w:tcW w:w="976" w:type="dxa"/>
            <w:shd w:val="clear" w:color="auto" w:fill="auto"/>
          </w:tcPr>
          <w:p w14:paraId="7B249989" w14:textId="1DF1A10C"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6,38</w:t>
            </w:r>
          </w:p>
        </w:tc>
        <w:tc>
          <w:tcPr>
            <w:tcW w:w="920" w:type="dxa"/>
          </w:tcPr>
          <w:p w14:paraId="46232630" w14:textId="6D0508CA" w:rsidR="00CC3251" w:rsidRPr="009D4CD4" w:rsidRDefault="00CC3251" w:rsidP="00823D34">
            <w:pPr>
              <w:spacing w:line="-283" w:lineRule="auto"/>
              <w:rPr>
                <w:rFonts w:eastAsiaTheme="minorHAnsi"/>
                <w:sz w:val="20"/>
                <w:szCs w:val="20"/>
                <w:lang w:eastAsia="fr-FR"/>
              </w:rPr>
            </w:pPr>
            <w:r w:rsidRPr="009D4CD4">
              <w:rPr>
                <w:rFonts w:eastAsia="Times New Roman" w:cs="Arial"/>
                <w:sz w:val="20"/>
                <w:szCs w:val="20"/>
                <w:lang w:eastAsia="fr-FR"/>
              </w:rPr>
              <w:t>7,49</w:t>
            </w:r>
          </w:p>
        </w:tc>
      </w:tr>
      <w:tr w:rsidR="00CC3251" w:rsidRPr="009D4CD4" w14:paraId="39ED0560" w14:textId="77777777" w:rsidTr="0015198F">
        <w:trPr>
          <w:trHeight w:hRule="exact" w:val="284"/>
        </w:trPr>
        <w:tc>
          <w:tcPr>
            <w:tcW w:w="4714" w:type="dxa"/>
            <w:tcBorders>
              <w:top w:val="single" w:sz="4" w:space="0" w:color="auto"/>
              <w:bottom w:val="single" w:sz="4" w:space="0" w:color="auto"/>
            </w:tcBorders>
            <w:shd w:val="clear" w:color="auto" w:fill="auto"/>
          </w:tcPr>
          <w:p w14:paraId="4A6BC1AC" w14:textId="77777777" w:rsidR="00CC3251" w:rsidRPr="009D4CD4" w:rsidRDefault="00CC3251" w:rsidP="00823D34">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Eau de mouillage</w:t>
            </w:r>
          </w:p>
        </w:tc>
        <w:tc>
          <w:tcPr>
            <w:tcW w:w="1011" w:type="dxa"/>
          </w:tcPr>
          <w:p w14:paraId="22F1B130" w14:textId="3CE06A66"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w:t>
            </w:r>
          </w:p>
        </w:tc>
        <w:tc>
          <w:tcPr>
            <w:tcW w:w="976" w:type="dxa"/>
          </w:tcPr>
          <w:p w14:paraId="4B931CC9" w14:textId="0CAE56FA" w:rsidR="00CC3251" w:rsidRPr="009D4CD4" w:rsidRDefault="006C3D5A"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0</w:t>
            </w:r>
          </w:p>
        </w:tc>
        <w:tc>
          <w:tcPr>
            <w:tcW w:w="976" w:type="dxa"/>
            <w:shd w:val="clear" w:color="auto" w:fill="auto"/>
          </w:tcPr>
          <w:p w14:paraId="2D273FC7" w14:textId="1F604711"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0,7</w:t>
            </w:r>
          </w:p>
        </w:tc>
        <w:tc>
          <w:tcPr>
            <w:tcW w:w="920" w:type="dxa"/>
          </w:tcPr>
          <w:p w14:paraId="55C677C1" w14:textId="7E20D2C5" w:rsidR="00CC3251" w:rsidRPr="009D4CD4" w:rsidRDefault="00CC3251" w:rsidP="00823D34">
            <w:pPr>
              <w:spacing w:line="-283" w:lineRule="auto"/>
              <w:rPr>
                <w:rFonts w:eastAsiaTheme="minorHAnsi"/>
                <w:sz w:val="20"/>
                <w:szCs w:val="20"/>
                <w:lang w:eastAsia="fr-FR"/>
              </w:rPr>
            </w:pPr>
            <w:r w:rsidRPr="009D4CD4">
              <w:rPr>
                <w:rFonts w:eastAsia="Times New Roman" w:cs="Arial"/>
                <w:sz w:val="20"/>
                <w:szCs w:val="20"/>
                <w:lang w:eastAsia="fr-FR"/>
              </w:rPr>
              <w:t>0,2</w:t>
            </w:r>
          </w:p>
        </w:tc>
      </w:tr>
      <w:tr w:rsidR="00CC3251" w:rsidRPr="009D4CD4" w14:paraId="53E27260" w14:textId="77777777" w:rsidTr="0015198F">
        <w:trPr>
          <w:trHeight w:hRule="exact" w:val="284"/>
        </w:trPr>
        <w:tc>
          <w:tcPr>
            <w:tcW w:w="4714" w:type="dxa"/>
            <w:tcBorders>
              <w:top w:val="single" w:sz="4" w:space="0" w:color="auto"/>
            </w:tcBorders>
            <w:shd w:val="clear" w:color="auto" w:fill="auto"/>
          </w:tcPr>
          <w:p w14:paraId="54F3FAAE" w14:textId="77777777" w:rsidR="00CC3251" w:rsidRPr="009D4CD4" w:rsidRDefault="00CC3251" w:rsidP="00823D34">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DEEE</w:t>
            </w:r>
          </w:p>
        </w:tc>
        <w:tc>
          <w:tcPr>
            <w:tcW w:w="1011" w:type="dxa"/>
          </w:tcPr>
          <w:p w14:paraId="2EE4D801" w14:textId="240F8D63"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4.5</w:t>
            </w:r>
          </w:p>
        </w:tc>
        <w:tc>
          <w:tcPr>
            <w:tcW w:w="976" w:type="dxa"/>
          </w:tcPr>
          <w:p w14:paraId="2F4E4E89" w14:textId="270B858E" w:rsidR="00CC3251" w:rsidRPr="009D4CD4" w:rsidRDefault="006C3D5A"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0</w:t>
            </w:r>
          </w:p>
        </w:tc>
        <w:tc>
          <w:tcPr>
            <w:tcW w:w="976" w:type="dxa"/>
            <w:shd w:val="clear" w:color="auto" w:fill="auto"/>
          </w:tcPr>
          <w:p w14:paraId="1C3F5C55" w14:textId="65C41B0A" w:rsidR="00CC3251" w:rsidRPr="009D4CD4" w:rsidRDefault="00CC3251" w:rsidP="00823D34">
            <w:pPr>
              <w:spacing w:line="240" w:lineRule="auto"/>
              <w:jc w:val="left"/>
              <w:rPr>
                <w:rFonts w:eastAsia="Times New Roman" w:cs="Arial"/>
                <w:sz w:val="20"/>
                <w:szCs w:val="20"/>
                <w:lang w:eastAsia="fr-FR"/>
              </w:rPr>
            </w:pPr>
            <w:r w:rsidRPr="009D4CD4">
              <w:rPr>
                <w:rFonts w:eastAsia="Times New Roman" w:cs="Arial"/>
                <w:sz w:val="20"/>
                <w:szCs w:val="20"/>
                <w:lang w:eastAsia="fr-FR"/>
              </w:rPr>
              <w:t>8,4</w:t>
            </w:r>
          </w:p>
        </w:tc>
        <w:tc>
          <w:tcPr>
            <w:tcW w:w="920" w:type="dxa"/>
          </w:tcPr>
          <w:p w14:paraId="45C5E4AC" w14:textId="70CE36B9" w:rsidR="00CC3251" w:rsidRPr="009D4CD4" w:rsidRDefault="00CC3251" w:rsidP="00823D34">
            <w:pPr>
              <w:spacing w:line="-283" w:lineRule="auto"/>
              <w:rPr>
                <w:rFonts w:eastAsiaTheme="minorHAnsi"/>
                <w:sz w:val="20"/>
                <w:szCs w:val="20"/>
                <w:lang w:eastAsia="fr-FR"/>
              </w:rPr>
            </w:pPr>
            <w:r w:rsidRPr="009D4CD4">
              <w:rPr>
                <w:rFonts w:eastAsia="Times New Roman" w:cs="Arial"/>
                <w:sz w:val="20"/>
                <w:szCs w:val="20"/>
                <w:lang w:eastAsia="fr-FR"/>
              </w:rPr>
              <w:t>9</w:t>
            </w:r>
          </w:p>
        </w:tc>
      </w:tr>
    </w:tbl>
    <w:p w14:paraId="184967E3" w14:textId="7E5A4BD3" w:rsidR="00B72A61" w:rsidRPr="009D4CD4" w:rsidRDefault="00B72A61" w:rsidP="00B72A61">
      <w:pPr>
        <w:spacing w:after="0" w:line="240" w:lineRule="auto"/>
        <w:jc w:val="left"/>
        <w:rPr>
          <w:rFonts w:cs="Arial"/>
        </w:rPr>
      </w:pPr>
    </w:p>
    <w:p w14:paraId="691D2963" w14:textId="71D2F139" w:rsidR="006C3D5A" w:rsidRPr="009D4CD4" w:rsidRDefault="006C3D5A" w:rsidP="006C3D5A">
      <w:pPr>
        <w:spacing w:after="0" w:line="240" w:lineRule="auto"/>
        <w:jc w:val="left"/>
      </w:pPr>
      <w:r w:rsidRPr="009D4CD4">
        <w:t>Conformément à la réglementation, les registres de suivi des déchets sont en place dans chaque filiale. A Edokial, les opérations de chargement et déchargement sont réalisées dans le respect de la règlementation environnementale, avec mise à disposition préventive d’absorbants spécifiques et protections de plaques d’égouts aux points de dépotage.</w:t>
      </w:r>
    </w:p>
    <w:p w14:paraId="1EC9A5C7" w14:textId="77777777" w:rsidR="006C3D5A" w:rsidRPr="009D4CD4" w:rsidRDefault="006C3D5A" w:rsidP="006C3D5A">
      <w:pPr>
        <w:spacing w:after="0" w:line="240" w:lineRule="auto"/>
        <w:jc w:val="left"/>
      </w:pPr>
    </w:p>
    <w:p w14:paraId="38E9872E" w14:textId="77777777" w:rsidR="006C3D5A" w:rsidRPr="009D4CD4" w:rsidRDefault="006C3D5A" w:rsidP="006C3D5A">
      <w:pPr>
        <w:tabs>
          <w:tab w:val="right" w:pos="9781"/>
        </w:tabs>
        <w:spacing w:after="0" w:line="240" w:lineRule="auto"/>
        <w:jc w:val="left"/>
        <w:rPr>
          <w:i/>
        </w:rPr>
      </w:pPr>
      <w:r w:rsidRPr="009D4CD4">
        <w:rPr>
          <w:i/>
        </w:rPr>
        <w:t>Le papier et le carton</w:t>
      </w:r>
    </w:p>
    <w:p w14:paraId="71F3B8EA" w14:textId="30DD76DB" w:rsidR="006C3D5A" w:rsidRPr="009D4CD4" w:rsidRDefault="006C3D5A" w:rsidP="006C3D5A">
      <w:pPr>
        <w:tabs>
          <w:tab w:val="right" w:pos="9781"/>
        </w:tabs>
        <w:spacing w:after="0" w:line="240" w:lineRule="auto"/>
        <w:jc w:val="left"/>
      </w:pPr>
      <w:r w:rsidRPr="009D4CD4">
        <w:t xml:space="preserve">Sur les sites de production d’Edokial, le papier est rassemblé avec le reste de chutes de la production, avant d’être expédié chez le prestataire COVED pour le recyclage. Le carton est également recyclé de la même manière. Sur les autres sites, le papier et le carton de bureau sont triés et </w:t>
      </w:r>
      <w:r w:rsidRPr="009D4CD4">
        <w:rPr>
          <w:rFonts w:cs="Arial"/>
        </w:rPr>
        <w:t>évacués à travers les filières de recyclage des collectivités locales</w:t>
      </w:r>
      <w:r w:rsidRPr="009D4CD4">
        <w:t>.</w:t>
      </w:r>
    </w:p>
    <w:p w14:paraId="700F0622" w14:textId="3EBFCD04" w:rsidR="006C3D5A" w:rsidRPr="009D4CD4" w:rsidRDefault="006C3D5A" w:rsidP="006C3D5A">
      <w:pPr>
        <w:tabs>
          <w:tab w:val="right" w:pos="9781"/>
        </w:tabs>
        <w:spacing w:after="0" w:line="240" w:lineRule="auto"/>
        <w:jc w:val="left"/>
      </w:pPr>
      <w:r w:rsidRPr="009D4CD4">
        <w:t xml:space="preserve">A IST, le papier et le carton sont </w:t>
      </w:r>
      <w:r w:rsidR="002B52CD" w:rsidRPr="009D4CD4">
        <w:t>collectés</w:t>
      </w:r>
      <w:r w:rsidRPr="009D4CD4">
        <w:t xml:space="preserve"> par un prestataire</w:t>
      </w:r>
      <w:r w:rsidR="002B52CD" w:rsidRPr="009D4CD4">
        <w:t xml:space="preserve"> sur le site de Toulouse</w:t>
      </w:r>
      <w:r w:rsidRPr="009D4CD4">
        <w:t xml:space="preserve"> pour le recyclage. Sur les autres sites administratifs, le papier et le carton de bureau sont triés et </w:t>
      </w:r>
      <w:r w:rsidRPr="009D4CD4">
        <w:rPr>
          <w:rFonts w:cs="Arial"/>
        </w:rPr>
        <w:t>évacués à travers les filières de recyclage des collectivités locales</w:t>
      </w:r>
      <w:r w:rsidRPr="009D4CD4">
        <w:t>.</w:t>
      </w:r>
    </w:p>
    <w:p w14:paraId="2E09D49B" w14:textId="77777777" w:rsidR="006C3D5A" w:rsidRPr="009D4CD4" w:rsidRDefault="006C3D5A" w:rsidP="006C3D5A">
      <w:pPr>
        <w:tabs>
          <w:tab w:val="right" w:pos="9781"/>
        </w:tabs>
        <w:spacing w:after="0" w:line="240" w:lineRule="auto"/>
        <w:jc w:val="left"/>
        <w:rPr>
          <w:i/>
        </w:rPr>
      </w:pPr>
    </w:p>
    <w:p w14:paraId="4A2E11DA" w14:textId="77777777" w:rsidR="006C3D5A" w:rsidRPr="009D4CD4" w:rsidRDefault="006C3D5A" w:rsidP="006C3D5A">
      <w:pPr>
        <w:tabs>
          <w:tab w:val="right" w:pos="9781"/>
        </w:tabs>
        <w:spacing w:after="0" w:line="240" w:lineRule="auto"/>
        <w:jc w:val="left"/>
        <w:rPr>
          <w:i/>
        </w:rPr>
      </w:pPr>
      <w:r w:rsidRPr="009D4CD4">
        <w:rPr>
          <w:i/>
        </w:rPr>
        <w:t>Les encres</w:t>
      </w:r>
    </w:p>
    <w:p w14:paraId="646FC657" w14:textId="77777777" w:rsidR="006C3D5A" w:rsidRPr="009D4CD4" w:rsidRDefault="006C3D5A" w:rsidP="006C3D5A">
      <w:pPr>
        <w:tabs>
          <w:tab w:val="right" w:pos="9781"/>
        </w:tabs>
        <w:spacing w:after="0" w:line="240" w:lineRule="auto"/>
        <w:jc w:val="left"/>
      </w:pPr>
      <w:r w:rsidRPr="009D4CD4">
        <w:t>Sur les sites de production Edokial, les contenants des encres de production sont récupérés par des prestataires spécialisés. Sur le site du Causse comtal, les cartouches d’encres sont recyclés par le biais de la société Pro XL.</w:t>
      </w:r>
    </w:p>
    <w:p w14:paraId="2F18D1E5" w14:textId="77777777" w:rsidR="006C3D5A" w:rsidRPr="009D4CD4" w:rsidRDefault="006C3D5A" w:rsidP="006C3D5A">
      <w:pPr>
        <w:tabs>
          <w:tab w:val="right" w:pos="9781"/>
        </w:tabs>
        <w:spacing w:after="0" w:line="240" w:lineRule="auto"/>
        <w:jc w:val="left"/>
      </w:pPr>
    </w:p>
    <w:p w14:paraId="6639134F" w14:textId="77777777" w:rsidR="006C3D5A" w:rsidRPr="009D4CD4" w:rsidRDefault="006C3D5A" w:rsidP="006C3D5A">
      <w:pPr>
        <w:spacing w:after="0" w:line="240" w:lineRule="auto"/>
        <w:jc w:val="left"/>
        <w:rPr>
          <w:i/>
        </w:rPr>
      </w:pPr>
      <w:r w:rsidRPr="009D4CD4">
        <w:rPr>
          <w:i/>
        </w:rPr>
        <w:t>Marque IMPRIM’VERT</w:t>
      </w:r>
    </w:p>
    <w:p w14:paraId="36A6A4BA" w14:textId="77777777" w:rsidR="006C3D5A" w:rsidRPr="009D4CD4" w:rsidRDefault="006C3D5A" w:rsidP="006C3D5A">
      <w:pPr>
        <w:spacing w:after="0" w:line="240" w:lineRule="auto"/>
        <w:jc w:val="left"/>
      </w:pPr>
      <w:r w:rsidRPr="009D4CD4">
        <w:t>Les sites de production Edokial sont labellisés Imprim’Vert. Ainsi, tous les déchets générés par leur activité (palettes de livraison, films d’emballage, gâches d’impression, cartouches d’encre, solvants, etc.) sont triés, conditionnés et confiés à des prestataires agréés.</w:t>
      </w:r>
    </w:p>
    <w:p w14:paraId="65C6D805" w14:textId="77777777" w:rsidR="00FF5851" w:rsidRPr="009D4CD4" w:rsidRDefault="00FF5851" w:rsidP="00FF5851">
      <w:pPr>
        <w:tabs>
          <w:tab w:val="right" w:pos="9781"/>
        </w:tabs>
        <w:spacing w:after="0" w:line="240" w:lineRule="auto"/>
        <w:jc w:val="left"/>
      </w:pPr>
    </w:p>
    <w:p w14:paraId="185A1C26" w14:textId="3B034A4A" w:rsidR="00FF5851" w:rsidRPr="009D4CD4" w:rsidRDefault="00FF5851" w:rsidP="00FF5851">
      <w:pPr>
        <w:tabs>
          <w:tab w:val="right" w:pos="9781"/>
        </w:tabs>
        <w:spacing w:after="0" w:line="240" w:lineRule="auto"/>
        <w:jc w:val="left"/>
        <w:rPr>
          <w:u w:val="single"/>
        </w:rPr>
      </w:pPr>
      <w:r w:rsidRPr="00F7690A">
        <w:rPr>
          <w:i/>
        </w:rPr>
        <w:t>L</w:t>
      </w:r>
      <w:r w:rsidRPr="009D4CD4">
        <w:rPr>
          <w:i/>
        </w:rPr>
        <w:t>es déchets d’équipements électriques et électroniques (DEEE)</w:t>
      </w:r>
    </w:p>
    <w:p w14:paraId="53F69999" w14:textId="22F565FE" w:rsidR="00FF5851" w:rsidRPr="009D4CD4" w:rsidRDefault="00723A0D" w:rsidP="00FF5851">
      <w:pPr>
        <w:spacing w:after="0" w:line="240" w:lineRule="auto"/>
        <w:jc w:val="left"/>
        <w:rPr>
          <w:rFonts w:cs="Arial"/>
        </w:rPr>
      </w:pPr>
      <w:r w:rsidRPr="009D4CD4">
        <w:rPr>
          <w:rFonts w:cs="Arial"/>
        </w:rPr>
        <w:t xml:space="preserve">IST </w:t>
      </w:r>
      <w:r w:rsidR="00FF5851" w:rsidRPr="009D4CD4">
        <w:rPr>
          <w:rFonts w:cs="Arial"/>
        </w:rPr>
        <w:t xml:space="preserve">est agréé pour la collecte des déchets DEEE de ses clients. </w:t>
      </w:r>
    </w:p>
    <w:p w14:paraId="366F5A79" w14:textId="77777777" w:rsidR="00FF5851" w:rsidRPr="009D4CD4" w:rsidRDefault="00FF5851" w:rsidP="00FF5851">
      <w:pPr>
        <w:tabs>
          <w:tab w:val="right" w:pos="9781"/>
        </w:tabs>
        <w:spacing w:after="0" w:line="240" w:lineRule="auto"/>
        <w:jc w:val="left"/>
      </w:pPr>
    </w:p>
    <w:p w14:paraId="385EC184" w14:textId="77777777" w:rsidR="00FF5851" w:rsidRPr="009D4CD4" w:rsidRDefault="00FF5851" w:rsidP="00B72A61">
      <w:pPr>
        <w:spacing w:after="0" w:line="240" w:lineRule="auto"/>
        <w:jc w:val="left"/>
        <w:rPr>
          <w:rFonts w:cs="Arial"/>
        </w:rPr>
      </w:pPr>
    </w:p>
    <w:p w14:paraId="734BC496" w14:textId="1E62B50D" w:rsidR="00B72A61" w:rsidRPr="009D4CD4" w:rsidRDefault="00B72A61" w:rsidP="00326D6D">
      <w:pPr>
        <w:pStyle w:val="Titre3"/>
      </w:pPr>
      <w:bookmarkStart w:id="176" w:name="_Toc32416049"/>
      <w:bookmarkStart w:id="177" w:name="_Toc59444725"/>
      <w:bookmarkStart w:id="178" w:name="_Toc96698062"/>
      <w:r w:rsidRPr="009D4CD4">
        <w:t>Agir pour la protection de la biodiversité</w:t>
      </w:r>
      <w:bookmarkEnd w:id="176"/>
      <w:bookmarkEnd w:id="177"/>
      <w:bookmarkEnd w:id="178"/>
    </w:p>
    <w:p w14:paraId="3CC1ADB9" w14:textId="12E4799D" w:rsidR="00B72A61" w:rsidRPr="009D4CD4" w:rsidRDefault="00B72A61" w:rsidP="00B72A61">
      <w:pPr>
        <w:spacing w:after="0" w:line="240" w:lineRule="exact"/>
        <w:jc w:val="left"/>
        <w:rPr>
          <w:u w:val="single"/>
        </w:rPr>
      </w:pPr>
    </w:p>
    <w:p w14:paraId="57706797" w14:textId="637C1C18" w:rsidR="000B5BE3" w:rsidRPr="009D4CD4" w:rsidRDefault="00626CA4" w:rsidP="000B5BE3">
      <w:pPr>
        <w:spacing w:after="0" w:line="240" w:lineRule="auto"/>
        <w:jc w:val="left"/>
      </w:pPr>
      <w:r w:rsidRPr="009D4CD4">
        <w:t xml:space="preserve">Un certain nombre d’initiatives </w:t>
      </w:r>
      <w:r w:rsidR="000B5BE3" w:rsidRPr="009D4CD4">
        <w:t>constitue</w:t>
      </w:r>
      <w:r w:rsidRPr="009D4CD4">
        <w:t>nt</w:t>
      </w:r>
      <w:r w:rsidR="000B5BE3" w:rsidRPr="009D4CD4">
        <w:t xml:space="preserve"> le</w:t>
      </w:r>
      <w:r w:rsidRPr="009D4CD4">
        <w:t>s</w:t>
      </w:r>
      <w:r w:rsidR="000B5BE3" w:rsidRPr="009D4CD4">
        <w:t xml:space="preserve"> marqueur</w:t>
      </w:r>
      <w:r w:rsidRPr="009D4CD4">
        <w:t>s</w:t>
      </w:r>
      <w:r w:rsidR="000B5BE3" w:rsidRPr="009D4CD4">
        <w:t xml:space="preserve"> de </w:t>
      </w:r>
      <w:r w:rsidRPr="009D4CD4">
        <w:t xml:space="preserve">l’engagement </w:t>
      </w:r>
      <w:r w:rsidR="000B5BE3" w:rsidRPr="009D4CD4">
        <w:t>du CANMP en faveur de la biodiversité</w:t>
      </w:r>
      <w:r w:rsidRPr="009D4CD4">
        <w:t> :</w:t>
      </w:r>
    </w:p>
    <w:p w14:paraId="2B4EBF87" w14:textId="75266110" w:rsidR="00626CA4" w:rsidRPr="009D4CD4" w:rsidRDefault="00626CA4" w:rsidP="000B5BE3">
      <w:pPr>
        <w:spacing w:after="0" w:line="240" w:lineRule="auto"/>
        <w:jc w:val="left"/>
      </w:pPr>
      <w:r w:rsidRPr="009D4CD4">
        <w:t>&gt; Le projet agro pastoral sur le site de Rodez Causse Comtal</w:t>
      </w:r>
    </w:p>
    <w:p w14:paraId="16B23479" w14:textId="50FCCB91" w:rsidR="00626CA4" w:rsidRPr="009D4CD4" w:rsidRDefault="00626CA4" w:rsidP="000B5BE3">
      <w:pPr>
        <w:spacing w:after="0" w:line="240" w:lineRule="auto"/>
        <w:jc w:val="left"/>
      </w:pPr>
      <w:r w:rsidRPr="009D4CD4">
        <w:t>&gt; Le projet Zéro plastique à usage unique</w:t>
      </w:r>
    </w:p>
    <w:p w14:paraId="621A3AAC" w14:textId="6DC56349" w:rsidR="005174D6" w:rsidRPr="009D4CD4" w:rsidRDefault="00626CA4" w:rsidP="00994931">
      <w:pPr>
        <w:spacing w:after="0" w:line="240" w:lineRule="auto"/>
        <w:jc w:val="left"/>
      </w:pPr>
      <w:r w:rsidRPr="009D4CD4">
        <w:t>&gt; Les projets concourant à la plantation d’arbres</w:t>
      </w:r>
    </w:p>
    <w:p w14:paraId="29641901" w14:textId="0470BFF3" w:rsidR="005174D6" w:rsidRPr="009D4CD4" w:rsidRDefault="005174D6" w:rsidP="005174D6">
      <w:pPr>
        <w:pStyle w:val="Titre4"/>
      </w:pPr>
      <w:bookmarkStart w:id="179" w:name="_Toc96698063"/>
      <w:r w:rsidRPr="009D4CD4">
        <w:t>Le projet agro pastoral sur le site de Rodez Causse Comtal</w:t>
      </w:r>
      <w:bookmarkEnd w:id="179"/>
    </w:p>
    <w:p w14:paraId="6D32562A" w14:textId="77777777" w:rsidR="00B02EA2" w:rsidRPr="009D4CD4" w:rsidRDefault="00B02EA2" w:rsidP="00B02EA2">
      <w:pPr>
        <w:spacing w:after="0" w:line="240" w:lineRule="auto"/>
        <w:jc w:val="left"/>
      </w:pPr>
      <w:r w:rsidRPr="009D4CD4">
        <w:t>Le site administratif de Rodez Causse Comtal est situé sur des terrains présentant une richesse remarquable en termes de biodiversité, comme l’ont montré des inventaires réalisés sous la conduite de la Ligue de Protection des Oiseaux de l’Aveyron, notamment en raison de la présence abondante du Séneçon de Rodez, plante endémique inscrite à la liste rouge des espèces menacées. Outre la richesse floristique et faunistique, le site concentre plusieurs autres enjeux comme par exemple la présence d’une ancienne voie romaine.</w:t>
      </w:r>
    </w:p>
    <w:p w14:paraId="3F207FCB" w14:textId="77777777" w:rsidR="00B02EA2" w:rsidRPr="009D4CD4" w:rsidRDefault="00B02EA2" w:rsidP="00B02EA2">
      <w:pPr>
        <w:spacing w:after="0" w:line="240" w:lineRule="auto"/>
        <w:jc w:val="left"/>
      </w:pPr>
    </w:p>
    <w:p w14:paraId="5CD3765F" w14:textId="2C2577CA" w:rsidR="00B02EA2" w:rsidRPr="009D4CD4" w:rsidRDefault="00B02EA2" w:rsidP="00B02EA2">
      <w:pPr>
        <w:spacing w:after="0" w:line="240" w:lineRule="auto"/>
        <w:jc w:val="left"/>
      </w:pPr>
      <w:r w:rsidRPr="009D4CD4">
        <w:t xml:space="preserve">Historiquement, l’espace était menacé par la fermeture du milieu due à la déprise agricole et à la disparition des systèmes agro - pastoraux traditionnels </w:t>
      </w:r>
      <w:r w:rsidR="00C14B66" w:rsidRPr="009D4CD4">
        <w:t>des hauts plateaux calcaires</w:t>
      </w:r>
      <w:r w:rsidRPr="009D4CD4">
        <w:t xml:space="preserve">. L’absence d’entretien avait conduit à l’installation progressive d’espèces invasives comme le genévrier. Les bâtiments étaient menacés par une végétation devenue impénétrable et particulièrement inflammable. La richesse faunistique et floristique était également compromise. </w:t>
      </w:r>
    </w:p>
    <w:p w14:paraId="3770FC5E" w14:textId="77777777" w:rsidR="00B02EA2" w:rsidRPr="009D4CD4" w:rsidRDefault="00B02EA2" w:rsidP="00B02EA2">
      <w:pPr>
        <w:spacing w:after="0" w:line="240" w:lineRule="auto"/>
        <w:jc w:val="left"/>
      </w:pPr>
    </w:p>
    <w:p w14:paraId="048E8489" w14:textId="3591E96B" w:rsidR="00B02EA2" w:rsidRPr="009D4CD4" w:rsidRDefault="00C14B66" w:rsidP="00B02EA2">
      <w:pPr>
        <w:spacing w:after="0" w:line="240" w:lineRule="auto"/>
        <w:jc w:val="left"/>
      </w:pPr>
      <w:r w:rsidRPr="009D4CD4">
        <w:t>L</w:t>
      </w:r>
      <w:r w:rsidR="00B02EA2" w:rsidRPr="009D4CD4">
        <w:t xml:space="preserve">e site cristallise </w:t>
      </w:r>
      <w:r w:rsidRPr="009D4CD4">
        <w:t xml:space="preserve">donc </w:t>
      </w:r>
      <w:r w:rsidR="00B02EA2" w:rsidRPr="009D4CD4">
        <w:t>un enjeu patrimonial majeur, avec une forte visibilité sur un espace fragile en proximité de l’agglomération du Grand Rodez.</w:t>
      </w:r>
    </w:p>
    <w:p w14:paraId="6A7F1BD6" w14:textId="77777777" w:rsidR="00B02EA2" w:rsidRPr="009D4CD4" w:rsidRDefault="00B02EA2" w:rsidP="00B02EA2">
      <w:pPr>
        <w:spacing w:after="0" w:line="240" w:lineRule="auto"/>
        <w:jc w:val="left"/>
      </w:pPr>
    </w:p>
    <w:p w14:paraId="295BD70E" w14:textId="77777777" w:rsidR="00B02EA2" w:rsidRPr="009D4CD4" w:rsidRDefault="00B02EA2" w:rsidP="00B02EA2">
      <w:pPr>
        <w:spacing w:after="0" w:line="240" w:lineRule="auto"/>
      </w:pPr>
      <w:r w:rsidRPr="009D4CD4">
        <w:t xml:space="preserve">Face à ces enjeux, un projet a été ouvert en 2017, avec plusieurs objectifs : </w:t>
      </w:r>
    </w:p>
    <w:p w14:paraId="435606A8" w14:textId="766CECD3" w:rsidR="00B02EA2" w:rsidRPr="009D4CD4" w:rsidRDefault="00B02EA2" w:rsidP="00B02EA2">
      <w:pPr>
        <w:spacing w:after="0" w:line="240" w:lineRule="auto"/>
        <w:jc w:val="left"/>
      </w:pPr>
      <w:r w:rsidRPr="009D4CD4">
        <w:t>&gt; Inventaires de faunes et de flore et établissement d’un plan de gestion</w:t>
      </w:r>
      <w:r w:rsidR="00F7690A">
        <w:t>,</w:t>
      </w:r>
    </w:p>
    <w:p w14:paraId="564A3B50" w14:textId="77777777" w:rsidR="00B02EA2" w:rsidRPr="009D4CD4" w:rsidRDefault="00B02EA2" w:rsidP="00B02EA2">
      <w:pPr>
        <w:spacing w:after="0" w:line="240" w:lineRule="auto"/>
        <w:jc w:val="left"/>
      </w:pPr>
      <w:r w:rsidRPr="009D4CD4">
        <w:t xml:space="preserve">&gt; </w:t>
      </w:r>
      <w:r w:rsidR="00117642" w:rsidRPr="009D4CD4">
        <w:t>Réouverture</w:t>
      </w:r>
      <w:r w:rsidRPr="009D4CD4">
        <w:t xml:space="preserve"> du milieu par débroussaillage et entretien par la réintroduction d’une gestion agro-pastorale permettant à la fois un développement agricole et une conservation écologique du milieu, </w:t>
      </w:r>
    </w:p>
    <w:p w14:paraId="78D2558F" w14:textId="77777777" w:rsidR="00B02EA2" w:rsidRPr="009D4CD4" w:rsidRDefault="00B02EA2" w:rsidP="00B02EA2">
      <w:pPr>
        <w:spacing w:after="0" w:line="240" w:lineRule="auto"/>
        <w:jc w:val="left"/>
      </w:pPr>
      <w:r w:rsidRPr="009D4CD4">
        <w:t>&gt; Mise en place d’une démarche scientifique de gestion de milieu compte tenu de sa spécificité, en associant les parties prenantes internes et externes,</w:t>
      </w:r>
    </w:p>
    <w:p w14:paraId="38294590" w14:textId="77777777" w:rsidR="00B02EA2" w:rsidRPr="009D4CD4" w:rsidRDefault="00B02EA2" w:rsidP="00B02EA2">
      <w:pPr>
        <w:spacing w:after="0" w:line="240" w:lineRule="auto"/>
        <w:jc w:val="left"/>
      </w:pPr>
      <w:r w:rsidRPr="009D4CD4">
        <w:t>&gt; Création de références techniques et scientifiques,</w:t>
      </w:r>
    </w:p>
    <w:p w14:paraId="225E6D78" w14:textId="77777777" w:rsidR="00B02EA2" w:rsidRPr="009D4CD4" w:rsidRDefault="00B02EA2" w:rsidP="00B02EA2">
      <w:pPr>
        <w:spacing w:after="0" w:line="240" w:lineRule="auto"/>
        <w:jc w:val="left"/>
      </w:pPr>
      <w:r w:rsidRPr="009D4CD4">
        <w:t>&gt; Installation d’une station de phyto-épuration des eaux usées,</w:t>
      </w:r>
    </w:p>
    <w:p w14:paraId="1B9A6B5D" w14:textId="77777777" w:rsidR="00B02EA2" w:rsidRPr="009D4CD4" w:rsidRDefault="00B02EA2" w:rsidP="00B02EA2">
      <w:pPr>
        <w:spacing w:after="0" w:line="240" w:lineRule="auto"/>
        <w:jc w:val="left"/>
      </w:pPr>
      <w:r w:rsidRPr="009D4CD4">
        <w:t>&gt; Développement de nouvelles fonctions permettant de valoriser le site (ex : parcours pédagogiques ; partenariats éducatifs avec des structures d’enseignement).</w:t>
      </w:r>
    </w:p>
    <w:p w14:paraId="0E158F4D" w14:textId="77777777" w:rsidR="00B02EA2" w:rsidRPr="009D4CD4" w:rsidRDefault="00B02EA2" w:rsidP="00B02EA2">
      <w:pPr>
        <w:spacing w:after="0" w:line="240" w:lineRule="auto"/>
        <w:jc w:val="left"/>
      </w:pPr>
    </w:p>
    <w:p w14:paraId="6C273F82" w14:textId="369B24A8" w:rsidR="00B02EA2" w:rsidRPr="009D4CD4" w:rsidRDefault="00B02EA2" w:rsidP="00B02EA2">
      <w:pPr>
        <w:spacing w:after="0" w:line="240" w:lineRule="auto"/>
        <w:jc w:val="left"/>
      </w:pPr>
      <w:r w:rsidRPr="009D4CD4">
        <w:t xml:space="preserve">Pour atteindre les objectifs, le CANMP est accompagné par la Ligue de Protection des Oiseaux Aveyron, structure possédant une expérience de gestion de milieu fragile. Un programme a été arrêté sur une durée de 5 ans, prévoyant diverses actions, notamment : inventaires faunistiques et floristiques en début et en fin de </w:t>
      </w:r>
      <w:r w:rsidR="00F7690A">
        <w:t>programme, travaux d’ouverture,</w:t>
      </w:r>
      <w:r w:rsidRPr="009D4CD4">
        <w:t xml:space="preserve"> cloturâge, entretien par agro-pastoralisme, réhabilitation du petit patrimoine bâti, mise en place d’un rucher, phyto-épuration.</w:t>
      </w:r>
    </w:p>
    <w:p w14:paraId="38BC4375" w14:textId="77777777" w:rsidR="00B02EA2" w:rsidRPr="009D4CD4" w:rsidRDefault="00B02EA2" w:rsidP="00B02EA2">
      <w:pPr>
        <w:spacing w:after="0" w:line="240" w:lineRule="auto"/>
        <w:jc w:val="left"/>
      </w:pPr>
      <w:r w:rsidRPr="009D4CD4">
        <w:t>Un Comité scientifique associant les parties prenantes a été institué. Cette instance consultative réunie annuellement apporte son expertise aux gestionnaires du projet Elle est composée des structures suivantes :</w:t>
      </w:r>
    </w:p>
    <w:p w14:paraId="2974A244" w14:textId="77777777" w:rsidR="00B02EA2" w:rsidRPr="009D4CD4" w:rsidRDefault="00B02EA2" w:rsidP="00B02EA2">
      <w:pPr>
        <w:spacing w:after="0" w:line="240" w:lineRule="auto"/>
        <w:jc w:val="left"/>
      </w:pPr>
      <w:r w:rsidRPr="009D4CD4">
        <w:t xml:space="preserve">- Conservatoire Botanique Nationale Midi-Pyrénées ; Conservatoire Régional des Espaces Naturels ; Lycée la Roque ; Association Arbres Haies et Paysages 12 ; Chambre d’Agriculture ; Association de défense de l’environnement Comité Causse Comtal ; Association Abeilles 12 ; Fédération des chasseurs </w:t>
      </w:r>
      <w:r w:rsidR="00117642" w:rsidRPr="009D4CD4">
        <w:t>12 ;</w:t>
      </w:r>
      <w:r w:rsidRPr="009D4CD4">
        <w:t xml:space="preserve"> Association de gestion Gages-Montrozier.</w:t>
      </w:r>
    </w:p>
    <w:p w14:paraId="7A81DE78" w14:textId="77777777" w:rsidR="00B02EA2" w:rsidRPr="009D4CD4" w:rsidRDefault="00B02EA2" w:rsidP="00B02EA2">
      <w:pPr>
        <w:spacing w:after="0" w:line="240" w:lineRule="auto"/>
      </w:pPr>
      <w:r w:rsidRPr="009D4CD4">
        <w:t>Après la réalisation des inventaires en 2017 et l’établissement du plan de gestion, les travaux de débroussaillage ont démarré en 2018. Une convention a été signée avec le Lycée Agricole de La Roque (12) pour le pâturage. Les premiers troupeaux ovins et bovins sont arrivés en 2019. Parallèlement, les travaux d’étude pour l’installation de la station de phyto épuration ont été poursuivis.</w:t>
      </w:r>
    </w:p>
    <w:p w14:paraId="3A1DB9C7" w14:textId="77777777" w:rsidR="005174D6" w:rsidRPr="009D4CD4" w:rsidRDefault="00B02EA2" w:rsidP="00B02EA2">
      <w:pPr>
        <w:spacing w:after="0" w:line="240" w:lineRule="auto"/>
      </w:pPr>
      <w:r w:rsidRPr="009D4CD4">
        <w:t>Quinze ruches sont installées.</w:t>
      </w:r>
      <w:r w:rsidR="004D3FB7" w:rsidRPr="009D4CD4">
        <w:t xml:space="preserve"> </w:t>
      </w:r>
      <w:r w:rsidR="00B7002D" w:rsidRPr="009D4CD4">
        <w:t xml:space="preserve">La production de miel a été remise </w:t>
      </w:r>
      <w:r w:rsidR="005174D6" w:rsidRPr="009D4CD4">
        <w:t xml:space="preserve">en 2020 </w:t>
      </w:r>
      <w:r w:rsidR="00B7002D" w:rsidRPr="009D4CD4">
        <w:t xml:space="preserve">aux Restos du Cœur. </w:t>
      </w:r>
    </w:p>
    <w:p w14:paraId="5CABE187" w14:textId="7091A75F" w:rsidR="008E320E" w:rsidRPr="009D4CD4" w:rsidRDefault="005174D6" w:rsidP="00994931">
      <w:pPr>
        <w:spacing w:after="0" w:line="240" w:lineRule="auto"/>
        <w:rPr>
          <w:rFonts w:asciiTheme="minorHAnsi" w:hAnsiTheme="minorHAnsi" w:cstheme="minorHAnsi"/>
        </w:rPr>
      </w:pPr>
      <w:r w:rsidRPr="009D4CD4">
        <w:t xml:space="preserve">En 2021, </w:t>
      </w:r>
      <w:r w:rsidR="004D3FB7" w:rsidRPr="009D4CD4">
        <w:t>une station</w:t>
      </w:r>
      <w:r w:rsidR="00B02EA2" w:rsidRPr="009D4CD4">
        <w:t xml:space="preserve"> </w:t>
      </w:r>
      <w:r w:rsidRPr="009D4CD4">
        <w:t xml:space="preserve">de </w:t>
      </w:r>
      <w:r w:rsidR="00B02EA2" w:rsidRPr="009D4CD4">
        <w:t>phyto-épuration</w:t>
      </w:r>
      <w:r w:rsidR="004D3FB7" w:rsidRPr="009D4CD4">
        <w:t xml:space="preserve"> </w:t>
      </w:r>
      <w:r w:rsidRPr="009D4CD4">
        <w:t>a été mise en service en remplacement de l’ancien dispositif devenu obsolète</w:t>
      </w:r>
      <w:r w:rsidR="00B7002D" w:rsidRPr="009D4CD4">
        <w:t>.</w:t>
      </w:r>
    </w:p>
    <w:p w14:paraId="6743A1E9" w14:textId="2865EFC7" w:rsidR="005C4C31" w:rsidRPr="009D4CD4" w:rsidRDefault="00833DCC" w:rsidP="005174D6">
      <w:pPr>
        <w:pStyle w:val="Titre4"/>
      </w:pPr>
      <w:bookmarkStart w:id="180" w:name="_Toc96698064"/>
      <w:r>
        <w:t>Le projet « Z</w:t>
      </w:r>
      <w:r w:rsidR="005174D6" w:rsidRPr="009D4CD4">
        <w:t>éro plastique à usage unique »</w:t>
      </w:r>
      <w:bookmarkEnd w:id="180"/>
    </w:p>
    <w:p w14:paraId="5CC9A6C1" w14:textId="16395726" w:rsidR="005174D6" w:rsidRPr="009D4CD4" w:rsidRDefault="00056B26" w:rsidP="00B72A61">
      <w:pPr>
        <w:spacing w:after="0" w:line="240" w:lineRule="auto"/>
        <w:jc w:val="left"/>
      </w:pPr>
      <w:r w:rsidRPr="009D4CD4">
        <w:t xml:space="preserve">Ce projet </w:t>
      </w:r>
      <w:r w:rsidR="005174D6" w:rsidRPr="009D4CD4">
        <w:t>mentionné au paragraphe « </w:t>
      </w:r>
      <w:r w:rsidRPr="009D4CD4">
        <w:t xml:space="preserve">Tendre vers la suppression du plastique à usage unique » participe à la protection de la biodiversité en ce qu’il vise </w:t>
      </w:r>
      <w:r w:rsidR="006C2858" w:rsidRPr="009D4CD4">
        <w:t>à supprimer le relargage des matières plastiques dans l’environnement et diminuer ainsi l’impact sur la faune</w:t>
      </w:r>
      <w:r w:rsidR="001D6EFA" w:rsidRPr="009D4CD4">
        <w:t>, notamment</w:t>
      </w:r>
      <w:r w:rsidR="006C2858" w:rsidRPr="009D4CD4">
        <w:t xml:space="preserve"> marine, mais aussi sur les chaînes alimentaires.</w:t>
      </w:r>
    </w:p>
    <w:p w14:paraId="57942C59" w14:textId="07A8B640" w:rsidR="005174D6" w:rsidRPr="009D4CD4" w:rsidRDefault="005174D6" w:rsidP="005174D6">
      <w:pPr>
        <w:pStyle w:val="Titre4"/>
      </w:pPr>
      <w:bookmarkStart w:id="181" w:name="_Toc96698065"/>
      <w:r w:rsidRPr="009D4CD4">
        <w:t xml:space="preserve">Les projets </w:t>
      </w:r>
      <w:r w:rsidR="000B5BE3" w:rsidRPr="009D4CD4">
        <w:t>concourant à la plantation d’arbres</w:t>
      </w:r>
      <w:bookmarkEnd w:id="181"/>
    </w:p>
    <w:p w14:paraId="0E8E10CD" w14:textId="625F72BB" w:rsidR="005174D6" w:rsidRPr="009D4CD4" w:rsidRDefault="000B5BE3" w:rsidP="00B72A61">
      <w:pPr>
        <w:spacing w:after="0" w:line="240" w:lineRule="auto"/>
        <w:jc w:val="left"/>
      </w:pPr>
      <w:r w:rsidRPr="009D4CD4">
        <w:t>Les projets L</w:t>
      </w:r>
      <w:r w:rsidR="006C2858" w:rsidRPr="009D4CD4">
        <w:t xml:space="preserve">ivelihoods (voir </w:t>
      </w:r>
      <w:r w:rsidRPr="009D4CD4">
        <w:t>paragraphe Contribuer à la réduction globale des émissions de gaz à effet de serre) et les actions de plantation d’arbres (cf paragraphe Favoriser la plantation d’arbres) constitue</w:t>
      </w:r>
      <w:r w:rsidR="006C2858" w:rsidRPr="009D4CD4">
        <w:t>nt</w:t>
      </w:r>
      <w:r w:rsidRPr="009D4CD4">
        <w:t xml:space="preserve"> </w:t>
      </w:r>
      <w:r w:rsidR="006C2858" w:rsidRPr="009D4CD4">
        <w:t xml:space="preserve">des initiatives </w:t>
      </w:r>
      <w:r w:rsidRPr="009D4CD4">
        <w:t>du CANMP en faveur de</w:t>
      </w:r>
      <w:r w:rsidR="006C2858" w:rsidRPr="009D4CD4">
        <w:t xml:space="preserve">s systèmes forestiers, réservoir de </w:t>
      </w:r>
      <w:r w:rsidRPr="009D4CD4">
        <w:t>biodiversité</w:t>
      </w:r>
      <w:r w:rsidR="006C2858" w:rsidRPr="009D4CD4">
        <w:t>.</w:t>
      </w:r>
    </w:p>
    <w:p w14:paraId="426AD1ED" w14:textId="77777777" w:rsidR="000B5BE3" w:rsidRPr="009D4CD4" w:rsidRDefault="000B5BE3" w:rsidP="00B72A61">
      <w:pPr>
        <w:spacing w:after="0" w:line="240" w:lineRule="auto"/>
        <w:jc w:val="left"/>
      </w:pPr>
    </w:p>
    <w:p w14:paraId="260448FC" w14:textId="77777777" w:rsidR="005174D6" w:rsidRPr="009D4CD4" w:rsidRDefault="005174D6" w:rsidP="00B72A61">
      <w:pPr>
        <w:spacing w:after="0" w:line="240" w:lineRule="auto"/>
        <w:jc w:val="left"/>
      </w:pPr>
    </w:p>
    <w:p w14:paraId="6031E886" w14:textId="45346AEA" w:rsidR="00A46D85" w:rsidRPr="00A46D85" w:rsidRDefault="00B72A61" w:rsidP="00A46D85">
      <w:pPr>
        <w:pStyle w:val="Titre2"/>
      </w:pPr>
      <w:bookmarkStart w:id="182" w:name="_Toc32416050"/>
      <w:bookmarkStart w:id="183" w:name="_Toc59444726"/>
      <w:bookmarkStart w:id="184" w:name="_Toc96698066"/>
      <w:r w:rsidRPr="009D4CD4">
        <w:t xml:space="preserve">Renforcer la gouvernance </w:t>
      </w:r>
      <w:bookmarkEnd w:id="182"/>
      <w:bookmarkEnd w:id="183"/>
      <w:r w:rsidR="00AF608C">
        <w:t>mutualiste</w:t>
      </w:r>
      <w:bookmarkEnd w:id="184"/>
      <w:r w:rsidR="00AF608C">
        <w:t xml:space="preserve"> </w:t>
      </w:r>
    </w:p>
    <w:p w14:paraId="5B4F5DE9" w14:textId="77777777" w:rsidR="00B72A61" w:rsidRPr="00D259D6" w:rsidRDefault="00B72A61" w:rsidP="00D259D6">
      <w:pPr>
        <w:spacing w:after="0" w:line="240" w:lineRule="auto"/>
        <w:ind w:right="-1"/>
        <w:jc w:val="left"/>
        <w:rPr>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992"/>
        <w:gridCol w:w="993"/>
        <w:gridCol w:w="1023"/>
      </w:tblGrid>
      <w:tr w:rsidR="00DD0EDB" w:rsidRPr="009D4CD4" w14:paraId="471F2A97" w14:textId="77777777" w:rsidTr="00523615">
        <w:trPr>
          <w:trHeight w:hRule="exact" w:val="284"/>
          <w:jc w:val="center"/>
        </w:trPr>
        <w:tc>
          <w:tcPr>
            <w:tcW w:w="7054" w:type="dxa"/>
            <w:tcBorders>
              <w:top w:val="nil"/>
              <w:left w:val="nil"/>
              <w:bottom w:val="single" w:sz="4" w:space="0" w:color="auto"/>
              <w:right w:val="single" w:sz="4" w:space="0" w:color="auto"/>
            </w:tcBorders>
            <w:shd w:val="clear" w:color="auto" w:fill="auto"/>
          </w:tcPr>
          <w:p w14:paraId="0ED289F7" w14:textId="1E172D68" w:rsidR="00DD0EDB" w:rsidRPr="009D4CD4" w:rsidRDefault="00DD0EDB" w:rsidP="00DD0EDB">
            <w:pPr>
              <w:spacing w:after="0" w:line="240" w:lineRule="auto"/>
              <w:ind w:right="140"/>
              <w:jc w:val="left"/>
              <w:rPr>
                <w:rFonts w:eastAsia="Times New Roman" w:cs="Arial"/>
                <w:sz w:val="20"/>
                <w:szCs w:val="20"/>
              </w:rPr>
            </w:pPr>
            <w:r w:rsidRPr="009D4CD4">
              <w:rPr>
                <w:rFonts w:eastAsia="Times New Roman" w:cs="Arial"/>
                <w:b/>
                <w:i/>
                <w:sz w:val="20"/>
                <w:szCs w:val="20"/>
              </w:rPr>
              <w:t>Les chiffres – clé</w:t>
            </w:r>
          </w:p>
        </w:tc>
        <w:tc>
          <w:tcPr>
            <w:tcW w:w="992" w:type="dxa"/>
            <w:tcBorders>
              <w:left w:val="single" w:sz="4" w:space="0" w:color="auto"/>
            </w:tcBorders>
            <w:shd w:val="clear" w:color="auto" w:fill="auto"/>
          </w:tcPr>
          <w:p w14:paraId="3E0385CC" w14:textId="154CBD3F" w:rsidR="00DD0EDB" w:rsidRPr="009D4CD4" w:rsidRDefault="00DD0EDB" w:rsidP="00DD0EDB">
            <w:pPr>
              <w:spacing w:after="0" w:line="240" w:lineRule="auto"/>
              <w:ind w:right="140"/>
              <w:jc w:val="left"/>
              <w:rPr>
                <w:rFonts w:eastAsia="Times New Roman" w:cs="Arial"/>
                <w:b/>
                <w:sz w:val="20"/>
                <w:szCs w:val="20"/>
              </w:rPr>
            </w:pPr>
            <w:r w:rsidRPr="009D4CD4">
              <w:rPr>
                <w:rFonts w:eastAsia="Times New Roman" w:cs="Arial"/>
                <w:b/>
                <w:sz w:val="20"/>
                <w:szCs w:val="20"/>
              </w:rPr>
              <w:t>2021</w:t>
            </w:r>
          </w:p>
        </w:tc>
        <w:tc>
          <w:tcPr>
            <w:tcW w:w="993" w:type="dxa"/>
            <w:shd w:val="clear" w:color="auto" w:fill="auto"/>
          </w:tcPr>
          <w:p w14:paraId="2830BE60" w14:textId="7005C04C" w:rsidR="00DD0EDB" w:rsidRPr="009D4CD4" w:rsidRDefault="00DD0EDB" w:rsidP="00DD0EDB">
            <w:pPr>
              <w:spacing w:after="0" w:line="240" w:lineRule="auto"/>
              <w:ind w:right="140"/>
              <w:jc w:val="left"/>
              <w:rPr>
                <w:rFonts w:eastAsia="Times New Roman" w:cs="Arial"/>
                <w:b/>
                <w:sz w:val="20"/>
                <w:szCs w:val="20"/>
              </w:rPr>
            </w:pPr>
            <w:r w:rsidRPr="009D4CD4">
              <w:rPr>
                <w:rFonts w:eastAsia="Times New Roman" w:cs="Arial"/>
                <w:b/>
                <w:sz w:val="20"/>
                <w:szCs w:val="20"/>
              </w:rPr>
              <w:t>2020</w:t>
            </w:r>
          </w:p>
        </w:tc>
        <w:tc>
          <w:tcPr>
            <w:tcW w:w="1023" w:type="dxa"/>
            <w:shd w:val="clear" w:color="auto" w:fill="auto"/>
          </w:tcPr>
          <w:p w14:paraId="7104257D" w14:textId="01715D2E" w:rsidR="00DD0EDB" w:rsidRPr="009D4CD4" w:rsidRDefault="00DD0EDB" w:rsidP="00DD0EDB">
            <w:pPr>
              <w:spacing w:after="0" w:line="240" w:lineRule="auto"/>
              <w:ind w:right="140"/>
              <w:jc w:val="left"/>
              <w:rPr>
                <w:rFonts w:eastAsia="Times New Roman" w:cs="Arial"/>
                <w:b/>
                <w:sz w:val="20"/>
                <w:szCs w:val="20"/>
              </w:rPr>
            </w:pPr>
            <w:r w:rsidRPr="009D4CD4">
              <w:rPr>
                <w:rFonts w:eastAsia="Times New Roman" w:cs="Arial"/>
                <w:b/>
                <w:sz w:val="20"/>
                <w:szCs w:val="20"/>
              </w:rPr>
              <w:t>2019</w:t>
            </w:r>
          </w:p>
        </w:tc>
      </w:tr>
      <w:tr w:rsidR="00DD0EDB" w:rsidRPr="009D4CD4" w14:paraId="26E87FE1" w14:textId="77777777" w:rsidTr="00523615">
        <w:trPr>
          <w:trHeight w:hRule="exact" w:val="284"/>
          <w:jc w:val="center"/>
        </w:trPr>
        <w:tc>
          <w:tcPr>
            <w:tcW w:w="7054" w:type="dxa"/>
            <w:tcBorders>
              <w:top w:val="single" w:sz="4" w:space="0" w:color="auto"/>
            </w:tcBorders>
            <w:shd w:val="clear" w:color="auto" w:fill="auto"/>
          </w:tcPr>
          <w:p w14:paraId="11B1B834" w14:textId="12DA8906" w:rsidR="00DD0EDB" w:rsidRPr="009D4CD4" w:rsidRDefault="00DD0EDB" w:rsidP="00C652A5">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Nombre de sociétaires</w:t>
            </w:r>
            <w:r w:rsidR="00C652A5">
              <w:rPr>
                <w:rFonts w:eastAsia="Times New Roman" w:cs="Arial"/>
                <w:sz w:val="20"/>
                <w:szCs w:val="20"/>
                <w:lang w:eastAsia="fr-FR"/>
              </w:rPr>
              <w:t>*</w:t>
            </w:r>
          </w:p>
        </w:tc>
        <w:tc>
          <w:tcPr>
            <w:tcW w:w="992" w:type="dxa"/>
            <w:shd w:val="clear" w:color="auto" w:fill="auto"/>
          </w:tcPr>
          <w:p w14:paraId="69F45218" w14:textId="55653DF9"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295 563</w:t>
            </w:r>
          </w:p>
        </w:tc>
        <w:tc>
          <w:tcPr>
            <w:tcW w:w="993" w:type="dxa"/>
            <w:shd w:val="clear" w:color="auto" w:fill="auto"/>
          </w:tcPr>
          <w:p w14:paraId="5CFE4D31" w14:textId="1116D87C"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290 343</w:t>
            </w:r>
          </w:p>
        </w:tc>
        <w:tc>
          <w:tcPr>
            <w:tcW w:w="1023" w:type="dxa"/>
            <w:shd w:val="clear" w:color="auto" w:fill="auto"/>
          </w:tcPr>
          <w:p w14:paraId="22E42EEA" w14:textId="0A50A975"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289 140</w:t>
            </w:r>
          </w:p>
        </w:tc>
      </w:tr>
      <w:tr w:rsidR="00DD0EDB" w:rsidRPr="009D4CD4" w14:paraId="35933B11" w14:textId="77777777" w:rsidTr="00523615">
        <w:trPr>
          <w:trHeight w:hRule="exact" w:val="284"/>
          <w:jc w:val="center"/>
        </w:trPr>
        <w:tc>
          <w:tcPr>
            <w:tcW w:w="7054" w:type="dxa"/>
            <w:tcBorders>
              <w:top w:val="single" w:sz="4" w:space="0" w:color="auto"/>
            </w:tcBorders>
            <w:shd w:val="clear" w:color="auto" w:fill="auto"/>
          </w:tcPr>
          <w:p w14:paraId="407EAF68" w14:textId="20DBCE80" w:rsidR="00DD0EDB" w:rsidRPr="009D4CD4" w:rsidRDefault="003778C7" w:rsidP="003778C7">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Taux de sociétaires</w:t>
            </w:r>
            <w:r w:rsidR="00DD0EDB" w:rsidRPr="009D4CD4">
              <w:rPr>
                <w:rFonts w:eastAsia="Times New Roman" w:cs="Arial"/>
                <w:sz w:val="20"/>
                <w:szCs w:val="20"/>
                <w:lang w:eastAsia="fr-FR"/>
              </w:rPr>
              <w:t xml:space="preserve"> </w:t>
            </w:r>
            <w:r w:rsidRPr="009D4CD4">
              <w:rPr>
                <w:rFonts w:eastAsia="Times New Roman" w:cs="Arial"/>
                <w:sz w:val="20"/>
                <w:szCs w:val="20"/>
                <w:lang w:eastAsia="fr-FR"/>
              </w:rPr>
              <w:t>parmi les clients particuliers</w:t>
            </w:r>
            <w:r w:rsidR="00DD0EDB" w:rsidRPr="009D4CD4">
              <w:rPr>
                <w:rFonts w:eastAsia="Times New Roman" w:cs="Arial"/>
                <w:sz w:val="20"/>
                <w:szCs w:val="20"/>
                <w:lang w:eastAsia="fr-FR"/>
              </w:rPr>
              <w:t xml:space="preserve"> </w:t>
            </w:r>
          </w:p>
        </w:tc>
        <w:tc>
          <w:tcPr>
            <w:tcW w:w="992" w:type="dxa"/>
            <w:shd w:val="clear" w:color="auto" w:fill="auto"/>
          </w:tcPr>
          <w:p w14:paraId="571C0C5C" w14:textId="301A346E" w:rsidR="00DD0EDB" w:rsidRPr="009D4CD4" w:rsidRDefault="003778C7"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42,3 %</w:t>
            </w:r>
          </w:p>
        </w:tc>
        <w:tc>
          <w:tcPr>
            <w:tcW w:w="993" w:type="dxa"/>
            <w:shd w:val="clear" w:color="auto" w:fill="auto"/>
          </w:tcPr>
          <w:p w14:paraId="6A130E9E" w14:textId="3266C815"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41,3</w:t>
            </w:r>
            <w:r w:rsidR="007D4847">
              <w:rPr>
                <w:rFonts w:eastAsia="Times New Roman" w:cs="Arial"/>
                <w:sz w:val="20"/>
                <w:szCs w:val="20"/>
                <w:lang w:eastAsia="fr-FR"/>
              </w:rPr>
              <w:t xml:space="preserve"> </w:t>
            </w:r>
            <w:r w:rsidRPr="009D4CD4">
              <w:rPr>
                <w:rFonts w:eastAsia="Times New Roman" w:cs="Arial"/>
                <w:sz w:val="20"/>
                <w:szCs w:val="20"/>
                <w:lang w:eastAsia="fr-FR"/>
              </w:rPr>
              <w:t>%</w:t>
            </w:r>
          </w:p>
        </w:tc>
        <w:tc>
          <w:tcPr>
            <w:tcW w:w="1023" w:type="dxa"/>
            <w:shd w:val="clear" w:color="auto" w:fill="auto"/>
          </w:tcPr>
          <w:p w14:paraId="7824C47F" w14:textId="784AA9A5"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41</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r w:rsidR="00DD0EDB" w:rsidRPr="009D4CD4" w14:paraId="4C23A687" w14:textId="77777777" w:rsidTr="00523615">
        <w:trPr>
          <w:trHeight w:hRule="exact" w:val="284"/>
          <w:jc w:val="center"/>
        </w:trPr>
        <w:tc>
          <w:tcPr>
            <w:tcW w:w="7054" w:type="dxa"/>
            <w:tcBorders>
              <w:top w:val="single" w:sz="4" w:space="0" w:color="auto"/>
            </w:tcBorders>
            <w:shd w:val="clear" w:color="auto" w:fill="auto"/>
          </w:tcPr>
          <w:p w14:paraId="6C4DC9A0" w14:textId="77777777" w:rsidR="00DD0EDB" w:rsidRPr="009D4CD4" w:rsidRDefault="00DD0EDB" w:rsidP="00DD0EDB">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Place des femmes dans les Conseils d’administration des Caisses locales</w:t>
            </w:r>
          </w:p>
        </w:tc>
        <w:tc>
          <w:tcPr>
            <w:tcW w:w="992" w:type="dxa"/>
            <w:shd w:val="clear" w:color="auto" w:fill="auto"/>
          </w:tcPr>
          <w:p w14:paraId="7F3CDFC7" w14:textId="56CC8383"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39,5 %</w:t>
            </w:r>
          </w:p>
        </w:tc>
        <w:tc>
          <w:tcPr>
            <w:tcW w:w="993" w:type="dxa"/>
            <w:shd w:val="clear" w:color="auto" w:fill="auto"/>
          </w:tcPr>
          <w:p w14:paraId="5D61E1C8" w14:textId="37099453"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39,2</w:t>
            </w:r>
            <w:r w:rsidR="007D4847">
              <w:rPr>
                <w:rFonts w:eastAsia="Times New Roman" w:cs="Arial"/>
                <w:sz w:val="20"/>
                <w:szCs w:val="20"/>
                <w:lang w:eastAsia="fr-FR"/>
              </w:rPr>
              <w:t xml:space="preserve"> </w:t>
            </w:r>
            <w:r w:rsidRPr="009D4CD4">
              <w:rPr>
                <w:rFonts w:eastAsia="Times New Roman" w:cs="Arial"/>
                <w:sz w:val="20"/>
                <w:szCs w:val="20"/>
                <w:lang w:eastAsia="fr-FR"/>
              </w:rPr>
              <w:t>%</w:t>
            </w:r>
          </w:p>
        </w:tc>
        <w:tc>
          <w:tcPr>
            <w:tcW w:w="1023" w:type="dxa"/>
            <w:shd w:val="clear" w:color="auto" w:fill="auto"/>
          </w:tcPr>
          <w:p w14:paraId="0F1FA5AD" w14:textId="322FF51A"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38,3</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r w:rsidR="00DD0EDB" w:rsidRPr="009D4CD4" w14:paraId="5B786984" w14:textId="77777777" w:rsidTr="00523615">
        <w:trPr>
          <w:trHeight w:hRule="exact" w:val="284"/>
          <w:jc w:val="center"/>
        </w:trPr>
        <w:tc>
          <w:tcPr>
            <w:tcW w:w="7054" w:type="dxa"/>
            <w:tcBorders>
              <w:top w:val="single" w:sz="4" w:space="0" w:color="auto"/>
            </w:tcBorders>
            <w:shd w:val="clear" w:color="auto" w:fill="auto"/>
          </w:tcPr>
          <w:p w14:paraId="0EB86A3A" w14:textId="0C9AC700" w:rsidR="00DD0EDB" w:rsidRPr="009D4CD4" w:rsidRDefault="00DD0EDB" w:rsidP="00DD0EDB">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 xml:space="preserve">Place des femmes au Conseil d’administration de la </w:t>
            </w:r>
            <w:r w:rsidR="00A7717F">
              <w:rPr>
                <w:rFonts w:eastAsia="Times New Roman" w:cs="Arial"/>
                <w:sz w:val="20"/>
                <w:szCs w:val="20"/>
                <w:lang w:eastAsia="fr-FR"/>
              </w:rPr>
              <w:t>Caisse Régionale</w:t>
            </w:r>
          </w:p>
        </w:tc>
        <w:tc>
          <w:tcPr>
            <w:tcW w:w="992" w:type="dxa"/>
            <w:shd w:val="clear" w:color="auto" w:fill="auto"/>
          </w:tcPr>
          <w:p w14:paraId="53CFFD19" w14:textId="17BE8D33" w:rsidR="00DD0EDB" w:rsidRPr="009D4CD4" w:rsidRDefault="006B7464" w:rsidP="006B7464">
            <w:pPr>
              <w:spacing w:after="0" w:line="240" w:lineRule="auto"/>
              <w:jc w:val="left"/>
              <w:rPr>
                <w:rFonts w:eastAsia="Times New Roman" w:cs="Arial"/>
                <w:sz w:val="20"/>
                <w:szCs w:val="20"/>
                <w:lang w:eastAsia="fr-FR"/>
              </w:rPr>
            </w:pPr>
            <w:r w:rsidRPr="009D4CD4">
              <w:rPr>
                <w:rFonts w:eastAsia="Times New Roman" w:cs="Arial"/>
                <w:sz w:val="20"/>
                <w:szCs w:val="20"/>
                <w:lang w:eastAsia="fr-FR"/>
              </w:rPr>
              <w:t>45 %</w:t>
            </w:r>
          </w:p>
        </w:tc>
        <w:tc>
          <w:tcPr>
            <w:tcW w:w="993" w:type="dxa"/>
            <w:shd w:val="clear" w:color="auto" w:fill="auto"/>
          </w:tcPr>
          <w:p w14:paraId="6D2D939A" w14:textId="69DA8D8A"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45</w:t>
            </w:r>
            <w:r w:rsidR="007D4847">
              <w:rPr>
                <w:rFonts w:eastAsia="Times New Roman" w:cs="Arial"/>
                <w:sz w:val="20"/>
                <w:szCs w:val="20"/>
                <w:lang w:eastAsia="fr-FR"/>
              </w:rPr>
              <w:t xml:space="preserve"> </w:t>
            </w:r>
            <w:r w:rsidRPr="009D4CD4">
              <w:rPr>
                <w:rFonts w:eastAsia="Times New Roman" w:cs="Arial"/>
                <w:sz w:val="20"/>
                <w:szCs w:val="20"/>
                <w:lang w:eastAsia="fr-FR"/>
              </w:rPr>
              <w:t>%</w:t>
            </w:r>
          </w:p>
        </w:tc>
        <w:tc>
          <w:tcPr>
            <w:tcW w:w="1023" w:type="dxa"/>
            <w:shd w:val="clear" w:color="auto" w:fill="auto"/>
          </w:tcPr>
          <w:p w14:paraId="08846DE4" w14:textId="75E0613A"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40,0</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r w:rsidR="00DD0EDB" w:rsidRPr="009D4CD4" w14:paraId="5F03996E" w14:textId="77777777" w:rsidTr="00523615">
        <w:trPr>
          <w:trHeight w:hRule="exact" w:val="284"/>
          <w:jc w:val="center"/>
        </w:trPr>
        <w:tc>
          <w:tcPr>
            <w:tcW w:w="7054" w:type="dxa"/>
            <w:tcBorders>
              <w:top w:val="single" w:sz="4" w:space="0" w:color="auto"/>
            </w:tcBorders>
            <w:shd w:val="clear" w:color="auto" w:fill="auto"/>
          </w:tcPr>
          <w:p w14:paraId="3574D4CE" w14:textId="77777777" w:rsidR="00DD0EDB" w:rsidRPr="009D4CD4" w:rsidRDefault="00DD0EDB" w:rsidP="00DD0EDB">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Agriculteurs et retraités de l’agriculture (Caisses locales)</w:t>
            </w:r>
          </w:p>
        </w:tc>
        <w:tc>
          <w:tcPr>
            <w:tcW w:w="992" w:type="dxa"/>
            <w:shd w:val="clear" w:color="auto" w:fill="auto"/>
          </w:tcPr>
          <w:p w14:paraId="5E14B33C" w14:textId="18080AE1"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50,2 %</w:t>
            </w:r>
          </w:p>
        </w:tc>
        <w:tc>
          <w:tcPr>
            <w:tcW w:w="993" w:type="dxa"/>
            <w:shd w:val="clear" w:color="auto" w:fill="auto"/>
          </w:tcPr>
          <w:p w14:paraId="5B2CDAD0" w14:textId="161729A9"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52,6</w:t>
            </w:r>
            <w:r w:rsidR="007D4847">
              <w:rPr>
                <w:rFonts w:eastAsia="Times New Roman" w:cs="Arial"/>
                <w:sz w:val="20"/>
                <w:szCs w:val="20"/>
                <w:lang w:eastAsia="fr-FR"/>
              </w:rPr>
              <w:t xml:space="preserve"> </w:t>
            </w:r>
            <w:r w:rsidRPr="009D4CD4">
              <w:rPr>
                <w:rFonts w:eastAsia="Times New Roman" w:cs="Arial"/>
                <w:sz w:val="20"/>
                <w:szCs w:val="20"/>
                <w:lang w:eastAsia="fr-FR"/>
              </w:rPr>
              <w:t>%</w:t>
            </w:r>
          </w:p>
        </w:tc>
        <w:tc>
          <w:tcPr>
            <w:tcW w:w="1023" w:type="dxa"/>
            <w:shd w:val="clear" w:color="auto" w:fill="auto"/>
          </w:tcPr>
          <w:p w14:paraId="62D34B7B" w14:textId="483AF080"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52,6</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r w:rsidR="00DD0EDB" w:rsidRPr="009D4CD4" w14:paraId="25B34AB4" w14:textId="77777777" w:rsidTr="00523615">
        <w:trPr>
          <w:trHeight w:hRule="exact" w:val="284"/>
          <w:jc w:val="center"/>
        </w:trPr>
        <w:tc>
          <w:tcPr>
            <w:tcW w:w="7054" w:type="dxa"/>
            <w:tcBorders>
              <w:top w:val="single" w:sz="4" w:space="0" w:color="auto"/>
            </w:tcBorders>
            <w:shd w:val="clear" w:color="auto" w:fill="auto"/>
          </w:tcPr>
          <w:p w14:paraId="2821F272" w14:textId="77777777" w:rsidR="00DD0EDB" w:rsidRPr="009D4CD4" w:rsidRDefault="00DD0EDB" w:rsidP="00DD0EDB">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Artisans et commerçants (Caisses locales)</w:t>
            </w:r>
          </w:p>
        </w:tc>
        <w:tc>
          <w:tcPr>
            <w:tcW w:w="992" w:type="dxa"/>
            <w:shd w:val="clear" w:color="auto" w:fill="auto"/>
          </w:tcPr>
          <w:p w14:paraId="395EBEF4" w14:textId="4F5DF24F"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12,5 %</w:t>
            </w:r>
          </w:p>
        </w:tc>
        <w:tc>
          <w:tcPr>
            <w:tcW w:w="993" w:type="dxa"/>
            <w:shd w:val="clear" w:color="auto" w:fill="auto"/>
          </w:tcPr>
          <w:p w14:paraId="02D071AF" w14:textId="18BFE67A"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 xml:space="preserve">12,4 </w:t>
            </w:r>
            <w:r w:rsidR="00DD0EDB" w:rsidRPr="009D4CD4">
              <w:rPr>
                <w:rFonts w:eastAsia="Times New Roman" w:cs="Arial"/>
                <w:sz w:val="20"/>
                <w:szCs w:val="20"/>
                <w:lang w:eastAsia="fr-FR"/>
              </w:rPr>
              <w:t>%</w:t>
            </w:r>
          </w:p>
        </w:tc>
        <w:tc>
          <w:tcPr>
            <w:tcW w:w="1023" w:type="dxa"/>
            <w:shd w:val="clear" w:color="auto" w:fill="auto"/>
          </w:tcPr>
          <w:p w14:paraId="11A5EE4A" w14:textId="0C9F644E"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12,7</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r w:rsidR="00DD0EDB" w:rsidRPr="009D4CD4" w14:paraId="7C1C718B" w14:textId="77777777" w:rsidTr="00523615">
        <w:trPr>
          <w:trHeight w:hRule="exact" w:val="284"/>
          <w:jc w:val="center"/>
        </w:trPr>
        <w:tc>
          <w:tcPr>
            <w:tcW w:w="7054" w:type="dxa"/>
            <w:tcBorders>
              <w:top w:val="single" w:sz="4" w:space="0" w:color="auto"/>
            </w:tcBorders>
            <w:shd w:val="clear" w:color="auto" w:fill="auto"/>
          </w:tcPr>
          <w:p w14:paraId="6A45A03F" w14:textId="77777777" w:rsidR="00DD0EDB" w:rsidRPr="009D4CD4" w:rsidRDefault="00DD0EDB" w:rsidP="00DD0EDB">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Salariés (Caisses locales)</w:t>
            </w:r>
          </w:p>
        </w:tc>
        <w:tc>
          <w:tcPr>
            <w:tcW w:w="992" w:type="dxa"/>
            <w:shd w:val="clear" w:color="auto" w:fill="auto"/>
          </w:tcPr>
          <w:p w14:paraId="0C218E52" w14:textId="18B33354"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21,7 %</w:t>
            </w:r>
          </w:p>
        </w:tc>
        <w:tc>
          <w:tcPr>
            <w:tcW w:w="993" w:type="dxa"/>
            <w:shd w:val="clear" w:color="auto" w:fill="auto"/>
          </w:tcPr>
          <w:p w14:paraId="7E5D95CF" w14:textId="4F4CAB99"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 xml:space="preserve">20,8 </w:t>
            </w:r>
            <w:r w:rsidR="00DD0EDB" w:rsidRPr="009D4CD4">
              <w:rPr>
                <w:rFonts w:eastAsia="Times New Roman" w:cs="Arial"/>
                <w:sz w:val="20"/>
                <w:szCs w:val="20"/>
                <w:lang w:eastAsia="fr-FR"/>
              </w:rPr>
              <w:t>%</w:t>
            </w:r>
          </w:p>
        </w:tc>
        <w:tc>
          <w:tcPr>
            <w:tcW w:w="1023" w:type="dxa"/>
            <w:shd w:val="clear" w:color="auto" w:fill="auto"/>
          </w:tcPr>
          <w:p w14:paraId="674924FA" w14:textId="2200EA18"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18,9</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r w:rsidR="00DD0EDB" w:rsidRPr="009D4CD4" w14:paraId="1CBCD5C7" w14:textId="77777777" w:rsidTr="00523615">
        <w:trPr>
          <w:trHeight w:hRule="exact" w:val="284"/>
          <w:jc w:val="center"/>
        </w:trPr>
        <w:tc>
          <w:tcPr>
            <w:tcW w:w="7054" w:type="dxa"/>
            <w:tcBorders>
              <w:top w:val="single" w:sz="4" w:space="0" w:color="auto"/>
            </w:tcBorders>
            <w:shd w:val="clear" w:color="auto" w:fill="auto"/>
          </w:tcPr>
          <w:p w14:paraId="6A3CE2D2" w14:textId="77777777" w:rsidR="00DD0EDB" w:rsidRPr="009D4CD4" w:rsidRDefault="00DD0EDB" w:rsidP="00DD0EDB">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Chefs d’entreprise et professions libérales (Caisses locales)</w:t>
            </w:r>
          </w:p>
        </w:tc>
        <w:tc>
          <w:tcPr>
            <w:tcW w:w="992" w:type="dxa"/>
            <w:shd w:val="clear" w:color="auto" w:fill="auto"/>
          </w:tcPr>
          <w:p w14:paraId="3CD67FE9" w14:textId="2A56120B"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14,2 %</w:t>
            </w:r>
          </w:p>
        </w:tc>
        <w:tc>
          <w:tcPr>
            <w:tcW w:w="993" w:type="dxa"/>
            <w:shd w:val="clear" w:color="auto" w:fill="auto"/>
          </w:tcPr>
          <w:p w14:paraId="0BF5DD86" w14:textId="6989BE8C"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 xml:space="preserve">13,3 </w:t>
            </w:r>
            <w:r w:rsidR="00DD0EDB" w:rsidRPr="009D4CD4">
              <w:rPr>
                <w:rFonts w:eastAsia="Times New Roman" w:cs="Arial"/>
                <w:sz w:val="20"/>
                <w:szCs w:val="20"/>
                <w:lang w:eastAsia="fr-FR"/>
              </w:rPr>
              <w:t>%</w:t>
            </w:r>
          </w:p>
        </w:tc>
        <w:tc>
          <w:tcPr>
            <w:tcW w:w="1023" w:type="dxa"/>
            <w:shd w:val="clear" w:color="auto" w:fill="auto"/>
          </w:tcPr>
          <w:p w14:paraId="724002EB" w14:textId="3A87D475"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13,0</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r w:rsidR="00DD0EDB" w:rsidRPr="009D4CD4" w14:paraId="526697CE" w14:textId="77777777" w:rsidTr="00523615">
        <w:trPr>
          <w:trHeight w:hRule="exact" w:val="284"/>
          <w:jc w:val="center"/>
        </w:trPr>
        <w:tc>
          <w:tcPr>
            <w:tcW w:w="7054" w:type="dxa"/>
            <w:tcBorders>
              <w:top w:val="single" w:sz="4" w:space="0" w:color="auto"/>
            </w:tcBorders>
            <w:shd w:val="clear" w:color="auto" w:fill="auto"/>
          </w:tcPr>
          <w:p w14:paraId="1361F60F" w14:textId="568BCC58" w:rsidR="00DD0EDB" w:rsidRPr="009D4CD4" w:rsidRDefault="00DD0EDB" w:rsidP="00DD0EDB">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Taux de présence aux réunions des Conseil</w:t>
            </w:r>
            <w:r w:rsidR="00002CF4">
              <w:rPr>
                <w:rFonts w:eastAsia="Times New Roman" w:cs="Arial"/>
                <w:sz w:val="20"/>
                <w:szCs w:val="20"/>
                <w:lang w:eastAsia="fr-FR"/>
              </w:rPr>
              <w:t>s</w:t>
            </w:r>
            <w:r w:rsidRPr="009D4CD4">
              <w:rPr>
                <w:rFonts w:eastAsia="Times New Roman" w:cs="Arial"/>
                <w:sz w:val="20"/>
                <w:szCs w:val="20"/>
                <w:lang w:eastAsia="fr-FR"/>
              </w:rPr>
              <w:t xml:space="preserve"> d’administration des Caisses locales</w:t>
            </w:r>
          </w:p>
        </w:tc>
        <w:tc>
          <w:tcPr>
            <w:tcW w:w="992" w:type="dxa"/>
            <w:shd w:val="clear" w:color="auto" w:fill="auto"/>
          </w:tcPr>
          <w:p w14:paraId="30294ADB" w14:textId="6772F3CB"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69,9 %</w:t>
            </w:r>
          </w:p>
        </w:tc>
        <w:tc>
          <w:tcPr>
            <w:tcW w:w="993" w:type="dxa"/>
            <w:shd w:val="clear" w:color="auto" w:fill="auto"/>
          </w:tcPr>
          <w:p w14:paraId="3B29903F" w14:textId="080B0D4B"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69,8</w:t>
            </w:r>
            <w:r w:rsidR="007D4847">
              <w:rPr>
                <w:rFonts w:eastAsia="Times New Roman" w:cs="Arial"/>
                <w:sz w:val="20"/>
                <w:szCs w:val="20"/>
                <w:lang w:eastAsia="fr-FR"/>
              </w:rPr>
              <w:t xml:space="preserve"> </w:t>
            </w:r>
            <w:r w:rsidRPr="009D4CD4">
              <w:rPr>
                <w:rFonts w:eastAsia="Times New Roman" w:cs="Arial"/>
                <w:sz w:val="20"/>
                <w:szCs w:val="20"/>
                <w:lang w:eastAsia="fr-FR"/>
              </w:rPr>
              <w:t>%</w:t>
            </w:r>
          </w:p>
        </w:tc>
        <w:tc>
          <w:tcPr>
            <w:tcW w:w="1023" w:type="dxa"/>
            <w:shd w:val="clear" w:color="auto" w:fill="auto"/>
          </w:tcPr>
          <w:p w14:paraId="448F8ED0" w14:textId="3F7746BA"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73,2</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r w:rsidR="00DD0EDB" w:rsidRPr="009D4CD4" w14:paraId="344EEBDA" w14:textId="77777777" w:rsidTr="00523615">
        <w:trPr>
          <w:trHeight w:hRule="exact" w:val="284"/>
          <w:jc w:val="center"/>
        </w:trPr>
        <w:tc>
          <w:tcPr>
            <w:tcW w:w="7054" w:type="dxa"/>
            <w:tcBorders>
              <w:top w:val="single" w:sz="4" w:space="0" w:color="auto"/>
            </w:tcBorders>
            <w:shd w:val="clear" w:color="auto" w:fill="auto"/>
          </w:tcPr>
          <w:p w14:paraId="44DA964C" w14:textId="17CE3848" w:rsidR="00DD0EDB" w:rsidRPr="009D4CD4" w:rsidRDefault="00DD0EDB" w:rsidP="00DD0EDB">
            <w:pPr>
              <w:spacing w:after="0" w:line="240" w:lineRule="auto"/>
              <w:ind w:right="140"/>
              <w:jc w:val="left"/>
              <w:rPr>
                <w:rFonts w:eastAsia="Times New Roman" w:cs="Arial"/>
                <w:sz w:val="20"/>
                <w:szCs w:val="20"/>
                <w:lang w:eastAsia="fr-FR"/>
              </w:rPr>
            </w:pPr>
            <w:r w:rsidRPr="009D4CD4">
              <w:rPr>
                <w:rFonts w:eastAsia="Times New Roman" w:cs="Arial"/>
                <w:sz w:val="20"/>
                <w:szCs w:val="20"/>
                <w:lang w:eastAsia="fr-FR"/>
              </w:rPr>
              <w:t xml:space="preserve">Taux de présence aux réunions du Conseil d’administration de la </w:t>
            </w:r>
            <w:r w:rsidR="00A7717F">
              <w:rPr>
                <w:rFonts w:eastAsia="Times New Roman" w:cs="Arial"/>
                <w:sz w:val="20"/>
                <w:szCs w:val="20"/>
                <w:lang w:eastAsia="fr-FR"/>
              </w:rPr>
              <w:t>Caisse Régionale</w:t>
            </w:r>
          </w:p>
        </w:tc>
        <w:tc>
          <w:tcPr>
            <w:tcW w:w="992" w:type="dxa"/>
            <w:shd w:val="clear" w:color="auto" w:fill="auto"/>
          </w:tcPr>
          <w:p w14:paraId="10C4C0FF" w14:textId="262687FD" w:rsidR="00DD0EDB" w:rsidRPr="009D4CD4" w:rsidRDefault="00802413"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96,9 %</w:t>
            </w:r>
          </w:p>
        </w:tc>
        <w:tc>
          <w:tcPr>
            <w:tcW w:w="993" w:type="dxa"/>
            <w:shd w:val="clear" w:color="auto" w:fill="auto"/>
          </w:tcPr>
          <w:p w14:paraId="672CB2E1" w14:textId="73A88B25"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99,0</w:t>
            </w:r>
            <w:r w:rsidR="007D4847">
              <w:rPr>
                <w:rFonts w:eastAsia="Times New Roman" w:cs="Arial"/>
                <w:sz w:val="20"/>
                <w:szCs w:val="20"/>
                <w:lang w:eastAsia="fr-FR"/>
              </w:rPr>
              <w:t xml:space="preserve"> </w:t>
            </w:r>
            <w:r w:rsidRPr="009D4CD4">
              <w:rPr>
                <w:rFonts w:eastAsia="Times New Roman" w:cs="Arial"/>
                <w:sz w:val="20"/>
                <w:szCs w:val="20"/>
                <w:lang w:eastAsia="fr-FR"/>
              </w:rPr>
              <w:t>%</w:t>
            </w:r>
          </w:p>
        </w:tc>
        <w:tc>
          <w:tcPr>
            <w:tcW w:w="1023" w:type="dxa"/>
            <w:shd w:val="clear" w:color="auto" w:fill="auto"/>
          </w:tcPr>
          <w:p w14:paraId="38D73D14" w14:textId="0BF100AF" w:rsidR="00DD0EDB" w:rsidRPr="009D4CD4" w:rsidRDefault="00DD0EDB" w:rsidP="00DD0EDB">
            <w:pPr>
              <w:spacing w:after="0" w:line="240" w:lineRule="auto"/>
              <w:jc w:val="left"/>
              <w:rPr>
                <w:rFonts w:eastAsia="Times New Roman" w:cs="Arial"/>
                <w:sz w:val="20"/>
                <w:szCs w:val="20"/>
                <w:lang w:eastAsia="fr-FR"/>
              </w:rPr>
            </w:pPr>
            <w:r w:rsidRPr="009D4CD4">
              <w:rPr>
                <w:rFonts w:eastAsia="Times New Roman" w:cs="Arial"/>
                <w:sz w:val="20"/>
                <w:szCs w:val="20"/>
                <w:lang w:eastAsia="fr-FR"/>
              </w:rPr>
              <w:t>99,6</w:t>
            </w:r>
            <w:r w:rsidR="007D4847">
              <w:rPr>
                <w:rFonts w:eastAsia="Times New Roman" w:cs="Arial"/>
                <w:sz w:val="20"/>
                <w:szCs w:val="20"/>
                <w:lang w:eastAsia="fr-FR"/>
              </w:rPr>
              <w:t xml:space="preserve"> </w:t>
            </w:r>
            <w:r w:rsidRPr="009D4CD4">
              <w:rPr>
                <w:rFonts w:eastAsia="Times New Roman" w:cs="Arial"/>
                <w:sz w:val="20"/>
                <w:szCs w:val="20"/>
                <w:lang w:eastAsia="fr-FR"/>
              </w:rPr>
              <w:t>%</w:t>
            </w:r>
          </w:p>
        </w:tc>
      </w:tr>
    </w:tbl>
    <w:p w14:paraId="0C9A56E5" w14:textId="0D5664AD" w:rsidR="004A7760" w:rsidRDefault="00C652A5" w:rsidP="00B72A61">
      <w:pPr>
        <w:spacing w:after="0" w:line="240" w:lineRule="auto"/>
        <w:ind w:right="38"/>
        <w:jc w:val="left"/>
        <w:rPr>
          <w:rFonts w:eastAsia="Times New Roman" w:cs="Arial"/>
          <w:sz w:val="20"/>
          <w:szCs w:val="20"/>
          <w:lang w:eastAsia="fr-FR"/>
        </w:rPr>
      </w:pPr>
      <w:r>
        <w:rPr>
          <w:rFonts w:cs="Arial"/>
          <w:color w:val="FF0000"/>
        </w:rPr>
        <w:t>*</w:t>
      </w:r>
      <w:r w:rsidRPr="00C652A5">
        <w:rPr>
          <w:rFonts w:eastAsia="Times New Roman" w:cs="Arial"/>
          <w:sz w:val="20"/>
          <w:szCs w:val="20"/>
          <w:lang w:eastAsia="fr-FR"/>
        </w:rPr>
        <w:t xml:space="preserve"> </w:t>
      </w:r>
      <w:r w:rsidRPr="00C652A5">
        <w:rPr>
          <w:rFonts w:eastAsia="Times New Roman" w:cs="Arial"/>
          <w:sz w:val="16"/>
          <w:szCs w:val="16"/>
          <w:lang w:eastAsia="fr-FR"/>
        </w:rPr>
        <w:t>Personnes ayant un contrat au 31/12, convocables aux Assemblées générales des Caisses locales</w:t>
      </w:r>
    </w:p>
    <w:p w14:paraId="1285AB44" w14:textId="3B6050B4" w:rsidR="00C652A5" w:rsidRDefault="00C652A5" w:rsidP="00B72A61">
      <w:pPr>
        <w:spacing w:after="0" w:line="240" w:lineRule="auto"/>
        <w:ind w:right="38"/>
        <w:jc w:val="left"/>
        <w:rPr>
          <w:rFonts w:cs="Arial"/>
          <w:color w:val="FF0000"/>
        </w:rPr>
      </w:pPr>
    </w:p>
    <w:p w14:paraId="7904DFC8" w14:textId="2D8A7DD6" w:rsidR="00BE2CD4" w:rsidRPr="00BE2CD4" w:rsidRDefault="00BE2CD4" w:rsidP="00BE2CD4">
      <w:pPr>
        <w:spacing w:after="0" w:line="240" w:lineRule="auto"/>
        <w:jc w:val="left"/>
        <w:rPr>
          <w:rFonts w:cs="Arial"/>
        </w:rPr>
      </w:pPr>
      <w:r w:rsidRPr="009D4CD4">
        <w:rPr>
          <w:rFonts w:cs="Arial"/>
        </w:rPr>
        <w:t>La gouvernance du Crédit Agricole Nord Midi-Pyrénées est organisée sur la base du principe coopératif « une personne, une voix », par lequel seule la qualité de sociétaire, et non le montant de capital détenu, détermine le poids d’un vote.</w:t>
      </w:r>
      <w:r>
        <w:rPr>
          <w:rFonts w:cs="Arial"/>
        </w:rPr>
        <w:t xml:space="preserve"> </w:t>
      </w:r>
    </w:p>
    <w:p w14:paraId="40B7DBE4" w14:textId="77777777" w:rsidR="00BE2CD4" w:rsidRPr="009D4CD4" w:rsidRDefault="00BE2CD4" w:rsidP="00B72A61">
      <w:pPr>
        <w:spacing w:after="0" w:line="240" w:lineRule="auto"/>
        <w:ind w:right="38"/>
        <w:jc w:val="left"/>
        <w:rPr>
          <w:rFonts w:cs="Arial"/>
          <w:color w:val="FF0000"/>
        </w:rPr>
      </w:pPr>
    </w:p>
    <w:p w14:paraId="65DF498B" w14:textId="51F9C882" w:rsidR="00B72A61" w:rsidRPr="009D4CD4" w:rsidRDefault="00B72A61" w:rsidP="00B72A61">
      <w:pPr>
        <w:spacing w:after="0" w:line="240" w:lineRule="auto"/>
        <w:ind w:right="38"/>
        <w:jc w:val="left"/>
        <w:rPr>
          <w:rFonts w:cs="Arial"/>
        </w:rPr>
      </w:pPr>
      <w:r w:rsidRPr="009D4CD4">
        <w:rPr>
          <w:rFonts w:cs="Arial"/>
        </w:rPr>
        <w:t xml:space="preserve">Clients détenteurs de parts sociales des Caisses locales, les sociétaires sont à la base du fonctionnement coopératif du Crédit Agricole. Leurs représentants, administrateurs de Caisse locale, sont parties prenantes du système de décision de l’entreprise. </w:t>
      </w:r>
      <w:r w:rsidR="00692ABB">
        <w:rPr>
          <w:rFonts w:cs="Arial"/>
        </w:rPr>
        <w:t>La</w:t>
      </w:r>
      <w:r w:rsidRPr="009D4CD4">
        <w:rPr>
          <w:rFonts w:cs="Arial"/>
        </w:rPr>
        <w:t xml:space="preserve"> </w:t>
      </w:r>
      <w:r w:rsidR="00A7717F">
        <w:rPr>
          <w:rFonts w:cs="Arial"/>
        </w:rPr>
        <w:t>Caisse Régionale</w:t>
      </w:r>
      <w:r w:rsidRPr="009D4CD4">
        <w:rPr>
          <w:rFonts w:cs="Arial"/>
        </w:rPr>
        <w:t xml:space="preserve"> crée les conditions adaptées au bon fonctionnement des Caisses locales, notamment par l’organisation des Assemblées générales, la formation et l’information des élus, la mise à disposition de moyens humains pour assurer le secrétariat des Caisses locales</w:t>
      </w:r>
      <w:r w:rsidR="001A0C07" w:rsidRPr="009D4CD4">
        <w:rPr>
          <w:rFonts w:cs="Arial"/>
        </w:rPr>
        <w:t>,</w:t>
      </w:r>
      <w:r w:rsidRPr="009D4CD4">
        <w:rPr>
          <w:rFonts w:cs="Arial"/>
        </w:rPr>
        <w:t xml:space="preserve"> et financiers pour l’accomplissement des missions d’intervention et d’animation du territoire.</w:t>
      </w:r>
    </w:p>
    <w:p w14:paraId="421551E8" w14:textId="77777777" w:rsidR="00B72A61" w:rsidRPr="009D4CD4" w:rsidRDefault="00B72A61" w:rsidP="00B72A61">
      <w:pPr>
        <w:spacing w:after="0" w:line="240" w:lineRule="auto"/>
        <w:ind w:right="38"/>
        <w:jc w:val="left"/>
        <w:rPr>
          <w:rFonts w:cs="Arial"/>
          <w:u w:val="single"/>
        </w:rPr>
      </w:pPr>
    </w:p>
    <w:p w14:paraId="1AC31CCA" w14:textId="2C259472" w:rsidR="00B72A61" w:rsidRPr="009D4CD4" w:rsidRDefault="00B72A61" w:rsidP="00D259D6">
      <w:pPr>
        <w:spacing w:after="0" w:line="240" w:lineRule="auto"/>
        <w:ind w:right="38"/>
        <w:jc w:val="left"/>
        <w:rPr>
          <w:rFonts w:cs="Arial"/>
        </w:rPr>
      </w:pPr>
      <w:r w:rsidRPr="009D4CD4">
        <w:rPr>
          <w:rFonts w:cs="Arial"/>
        </w:rPr>
        <w:t xml:space="preserve">Réunis en Assemblée générale, les sociétaires désignent tous les ans leurs représentants au Conseil d’administration des soixante-six Caisses locales affiliées à la </w:t>
      </w:r>
      <w:r w:rsidR="00A7717F">
        <w:rPr>
          <w:rFonts w:cs="Arial"/>
        </w:rPr>
        <w:t>Caisse Régionale</w:t>
      </w:r>
      <w:r w:rsidRPr="009D4CD4">
        <w:rPr>
          <w:rFonts w:cs="Arial"/>
        </w:rPr>
        <w:t>. A l’issue de l’Assemblée générale, les administrateurs élisent le président et les vice-présidents de leur Caisse locale. L’évolution des profils au sein des Conseils d’administration montre un mouvement de féminisation et d’ouverture sur des catégories socio - professionnelles jusqu’alors moins représentées.</w:t>
      </w:r>
      <w:r w:rsidR="00AF608C">
        <w:rPr>
          <w:rFonts w:cs="Arial"/>
        </w:rPr>
        <w:t xml:space="preserve"> Ce mouvement est porté par le dispositif de communication sur l’action des Caisses locales, rendant plus visible le rôle des administrateurs.</w:t>
      </w:r>
    </w:p>
    <w:p w14:paraId="4A343F02" w14:textId="77777777" w:rsidR="00B72A61" w:rsidRPr="009D4CD4" w:rsidRDefault="00B72A61" w:rsidP="00B72A61">
      <w:pPr>
        <w:spacing w:after="0" w:line="240" w:lineRule="auto"/>
        <w:ind w:right="-1"/>
        <w:jc w:val="left"/>
        <w:rPr>
          <w:rFonts w:cs="Arial"/>
        </w:rPr>
      </w:pPr>
    </w:p>
    <w:p w14:paraId="51621075" w14:textId="5765164F" w:rsidR="00B72A61" w:rsidRPr="009D4CD4" w:rsidRDefault="00B72A61" w:rsidP="00B72A61">
      <w:pPr>
        <w:spacing w:after="0" w:line="240" w:lineRule="auto"/>
        <w:ind w:right="-1"/>
        <w:jc w:val="left"/>
        <w:rPr>
          <w:rFonts w:cs="Arial"/>
        </w:rPr>
      </w:pPr>
      <w:r w:rsidRPr="009D4CD4">
        <w:rPr>
          <w:rFonts w:cs="Arial"/>
        </w:rPr>
        <w:t xml:space="preserve">Les Conseils d’administration des Caisses locales sont réunis statutairement une fois par trimestre. C’est l’occasion pour les administrateurs de prendre connaissance de l’activité commerciale des agences, d’échanger sur la vie économique et sociale du territoire, d’examiner les projets présentés par les associations et de valider les demandes de souscription et de remboursement de parts sociales. En dehors des réunions du Conseil d’administration, les élus peuvent s’engager dans des missions </w:t>
      </w:r>
      <w:r w:rsidR="006D633D" w:rsidRPr="009D4CD4">
        <w:rPr>
          <w:rFonts w:cs="Arial"/>
        </w:rPr>
        <w:t>mutualistes. A titre d’exemple</w:t>
      </w:r>
      <w:r w:rsidRPr="009D4CD4">
        <w:rPr>
          <w:rFonts w:cs="Arial"/>
        </w:rPr>
        <w:t>, certains d’entre eux ont souhaité devenir accompagnateurs bénévoles dans les Points Passerelle ; d’autres ont choisi de s’investir comme parrains ou marraines de mini-entreprises dans le cadre du programme Entreprendre pour Apprendre.</w:t>
      </w:r>
      <w:r w:rsidR="006D633D" w:rsidRPr="009D4CD4">
        <w:rPr>
          <w:rFonts w:cs="Arial"/>
        </w:rPr>
        <w:t xml:space="preserve"> </w:t>
      </w:r>
    </w:p>
    <w:p w14:paraId="3A1E4573" w14:textId="77777777" w:rsidR="00B72A61" w:rsidRPr="009D4CD4" w:rsidRDefault="00B72A61" w:rsidP="00B72A61">
      <w:pPr>
        <w:spacing w:after="0" w:line="240" w:lineRule="auto"/>
        <w:ind w:right="-1"/>
        <w:jc w:val="left"/>
        <w:rPr>
          <w:rFonts w:cs="Arial"/>
        </w:rPr>
      </w:pPr>
    </w:p>
    <w:p w14:paraId="365B2AAA" w14:textId="1D7422EC" w:rsidR="00B72A61" w:rsidRPr="009D4CD4" w:rsidRDefault="00B72A61" w:rsidP="00B72A61">
      <w:pPr>
        <w:spacing w:after="0" w:line="240" w:lineRule="auto"/>
        <w:ind w:right="-1"/>
        <w:jc w:val="left"/>
        <w:rPr>
          <w:rFonts w:cs="Arial"/>
        </w:rPr>
      </w:pPr>
      <w:r w:rsidRPr="009D4CD4">
        <w:rPr>
          <w:rFonts w:cs="Arial"/>
        </w:rPr>
        <w:t xml:space="preserve">Quatre fois par an, l’Assemblée des Présidents est l’occasion de dialoguer, de prendre connaissance des actualités du Groupe Crédit Agricole et de la </w:t>
      </w:r>
      <w:r w:rsidR="00A7717F">
        <w:rPr>
          <w:rFonts w:cs="Arial"/>
        </w:rPr>
        <w:t>Caisse Régionale</w:t>
      </w:r>
      <w:r w:rsidRPr="009D4CD4">
        <w:rPr>
          <w:rFonts w:cs="Arial"/>
        </w:rPr>
        <w:t xml:space="preserve">, grâce notamment à l’intervention d’experts. Postérieurement, les sujets sont partagés lors des Conseils d’administration des Caisses locales. </w:t>
      </w:r>
    </w:p>
    <w:p w14:paraId="62808616" w14:textId="77777777" w:rsidR="00B72A61" w:rsidRPr="009D4CD4" w:rsidRDefault="00B72A61" w:rsidP="00B72A61">
      <w:pPr>
        <w:spacing w:after="0" w:line="240" w:lineRule="auto"/>
        <w:ind w:right="-1"/>
        <w:jc w:val="left"/>
        <w:rPr>
          <w:rFonts w:cs="Arial"/>
        </w:rPr>
      </w:pPr>
    </w:p>
    <w:p w14:paraId="77A4DB05" w14:textId="46361C3E" w:rsidR="00B72A61" w:rsidRPr="009D4CD4" w:rsidRDefault="00B72A61" w:rsidP="00B72A61">
      <w:pPr>
        <w:spacing w:after="0" w:line="240" w:lineRule="auto"/>
        <w:ind w:right="-1"/>
        <w:jc w:val="left"/>
        <w:rPr>
          <w:rFonts w:cs="Arial"/>
        </w:rPr>
      </w:pPr>
      <w:r w:rsidRPr="009D4CD4">
        <w:rPr>
          <w:rFonts w:cs="Arial"/>
        </w:rPr>
        <w:t xml:space="preserve">Pour assurer leur mission, les administrateurs bénéficient d’un programme de formation proposé par la </w:t>
      </w:r>
      <w:r w:rsidR="00A7717F">
        <w:rPr>
          <w:rFonts w:cs="Arial"/>
        </w:rPr>
        <w:t>Caisse Régionale</w:t>
      </w:r>
      <w:r w:rsidRPr="009D4CD4">
        <w:rPr>
          <w:rFonts w:cs="Arial"/>
        </w:rPr>
        <w:t xml:space="preserve">. Lors de leur prise de fonction, ils sont ainsi réunis au cours d’une journée pour prendre connaissance de l’organisation du Groupe Crédit Agricole et de son histoire, de celle de la </w:t>
      </w:r>
      <w:r w:rsidR="00A7717F">
        <w:rPr>
          <w:rFonts w:cs="Arial"/>
        </w:rPr>
        <w:t>Caisse Régionale</w:t>
      </w:r>
      <w:r w:rsidRPr="009D4CD4">
        <w:rPr>
          <w:rFonts w:cs="Arial"/>
        </w:rPr>
        <w:t xml:space="preserve"> Nord Midi-Pyrénées, du rôle et des missions des administrateurs, du fonctionnement des Caisses locales, des outils d’information qui leur sont accessibles (</w:t>
      </w:r>
      <w:r w:rsidR="001A0C07" w:rsidRPr="009D4CD4">
        <w:rPr>
          <w:rFonts w:cs="Arial"/>
        </w:rPr>
        <w:t xml:space="preserve">ex : </w:t>
      </w:r>
      <w:r w:rsidRPr="009D4CD4">
        <w:rPr>
          <w:rFonts w:cs="Arial"/>
        </w:rPr>
        <w:t>extranet des élus) et enfin des principes déontologiques guidant leur action.</w:t>
      </w:r>
    </w:p>
    <w:p w14:paraId="0A7357A4" w14:textId="77777777" w:rsidR="00B72A61" w:rsidRPr="009D4CD4" w:rsidRDefault="00B72A61" w:rsidP="00B72A61">
      <w:pPr>
        <w:spacing w:after="0" w:line="240" w:lineRule="auto"/>
        <w:ind w:right="-1"/>
        <w:jc w:val="left"/>
        <w:rPr>
          <w:rFonts w:cs="Arial"/>
        </w:rPr>
      </w:pPr>
    </w:p>
    <w:p w14:paraId="05F5D5C5" w14:textId="5A092066" w:rsidR="00B72A61" w:rsidRPr="009D4CD4" w:rsidRDefault="00B72A61" w:rsidP="00B72A61">
      <w:pPr>
        <w:spacing w:after="0" w:line="240" w:lineRule="auto"/>
        <w:ind w:right="-1"/>
        <w:jc w:val="left"/>
        <w:rPr>
          <w:rFonts w:cs="Arial"/>
        </w:rPr>
      </w:pPr>
      <w:r w:rsidRPr="009D4CD4">
        <w:rPr>
          <w:rFonts w:cs="Arial"/>
        </w:rPr>
        <w:t xml:space="preserve">La Commission mutualiste, composée de 9 administrateurs de la </w:t>
      </w:r>
      <w:r w:rsidR="00A7717F">
        <w:rPr>
          <w:rFonts w:cs="Arial"/>
        </w:rPr>
        <w:t>Caisse Régionale</w:t>
      </w:r>
      <w:r w:rsidR="00F7690A">
        <w:rPr>
          <w:rFonts w:cs="Arial"/>
        </w:rPr>
        <w:t>,</w:t>
      </w:r>
      <w:r w:rsidRPr="009D4CD4">
        <w:rPr>
          <w:rFonts w:cs="Arial"/>
        </w:rPr>
        <w:t xml:space="preserve"> est une instance de réflexion sur diverses thématiques, comme par exemple « Jeunes et mutualisme »,</w:t>
      </w:r>
      <w:r w:rsidR="003177DD" w:rsidRPr="009D4CD4">
        <w:rPr>
          <w:rFonts w:cs="Arial"/>
        </w:rPr>
        <w:t xml:space="preserve"> « Format</w:t>
      </w:r>
      <w:r w:rsidRPr="009D4CD4">
        <w:rPr>
          <w:rFonts w:cs="Arial"/>
        </w:rPr>
        <w:t xml:space="preserve"> des rencontres des Caisses locales », « Rôle de l’élu ».</w:t>
      </w:r>
    </w:p>
    <w:p w14:paraId="0D6D8854" w14:textId="147A8B34" w:rsidR="001A0C07" w:rsidRPr="009D4CD4" w:rsidRDefault="00B72A61" w:rsidP="001A0C07">
      <w:pPr>
        <w:spacing w:after="0" w:line="240" w:lineRule="auto"/>
        <w:ind w:right="-1"/>
        <w:jc w:val="left"/>
        <w:rPr>
          <w:rFonts w:cs="Arial"/>
        </w:rPr>
      </w:pPr>
      <w:r w:rsidRPr="009D4CD4">
        <w:rPr>
          <w:rFonts w:cs="Arial"/>
        </w:rPr>
        <w:t>Un portail en ligne a été créé afin de constituer un espace d’échanges et de documentation accessible à tous les administrateurs. Chaque admini</w:t>
      </w:r>
      <w:r w:rsidR="00692ABB">
        <w:rPr>
          <w:rFonts w:cs="Arial"/>
        </w:rPr>
        <w:t>strateur peut créer du contenu</w:t>
      </w:r>
      <w:r w:rsidRPr="009D4CD4">
        <w:rPr>
          <w:rFonts w:cs="Arial"/>
        </w:rPr>
        <w:t xml:space="preserve">, </w:t>
      </w:r>
      <w:r w:rsidR="00692ABB">
        <w:rPr>
          <w:rFonts w:cs="Arial"/>
        </w:rPr>
        <w:t xml:space="preserve">ou </w:t>
      </w:r>
      <w:r w:rsidRPr="009D4CD4">
        <w:rPr>
          <w:rFonts w:cs="Arial"/>
        </w:rPr>
        <w:t>entrer en contact plus facilement avec ses pairs.</w:t>
      </w:r>
      <w:r w:rsidR="001A0C07" w:rsidRPr="009D4CD4">
        <w:rPr>
          <w:rFonts w:cs="Arial"/>
        </w:rPr>
        <w:t xml:space="preserve"> En 2021, des administrateurs délégués au digital ont été désignés dans les Caisses locales. Leur rôle est de faciliter l’appropriation des outils digitaux par leurs collègues, notamment l’utilisation de l’extranet des administrateurs et de la plateforme J’aime mon Territoire.</w:t>
      </w:r>
    </w:p>
    <w:p w14:paraId="79E5FAA3" w14:textId="77777777" w:rsidR="004A7760" w:rsidRPr="009D4CD4" w:rsidRDefault="004A7760" w:rsidP="00B72A61">
      <w:pPr>
        <w:spacing w:after="0" w:line="240" w:lineRule="auto"/>
        <w:ind w:right="-1"/>
        <w:jc w:val="left"/>
        <w:rPr>
          <w:rFonts w:cs="Arial"/>
        </w:rPr>
      </w:pPr>
    </w:p>
    <w:p w14:paraId="228D5069" w14:textId="227F2D52" w:rsidR="008658AE" w:rsidRPr="009D4CD4" w:rsidRDefault="008658AE" w:rsidP="008658AE">
      <w:pPr>
        <w:spacing w:after="0" w:line="240" w:lineRule="auto"/>
      </w:pPr>
      <w:r w:rsidRPr="009D4CD4">
        <w:t xml:space="preserve">Réunis lors de l’Assemblée générale, les sociétaires de la </w:t>
      </w:r>
      <w:r w:rsidR="00A7717F">
        <w:t>Caisse Régionale</w:t>
      </w:r>
      <w:r w:rsidRPr="009D4CD4">
        <w:t xml:space="preserve"> élisent tous les ans les membres du Conseil d’administration.</w:t>
      </w:r>
    </w:p>
    <w:p w14:paraId="22529FB1" w14:textId="3A9495CE" w:rsidR="008658AE" w:rsidRPr="009D4CD4" w:rsidRDefault="008658AE" w:rsidP="008658AE">
      <w:pPr>
        <w:spacing w:after="0" w:line="240" w:lineRule="auto"/>
        <w:rPr>
          <w:rFonts w:ascii="Arial" w:hAnsi="Arial" w:cs="Arial"/>
          <w:sz w:val="20"/>
          <w:szCs w:val="20"/>
          <w:lang w:eastAsia="fr-FR"/>
        </w:rPr>
      </w:pPr>
      <w:r w:rsidRPr="009D4CD4">
        <w:t xml:space="preserve">La mission principale des administrateurs de la </w:t>
      </w:r>
      <w:r w:rsidR="00A7717F">
        <w:t>Caisse Régionale</w:t>
      </w:r>
      <w:r w:rsidRPr="009D4CD4">
        <w:t xml:space="preserve"> est d’opérer les choix stratégiques de l’entreprise, d’examiner annuellement le budget, de valider les politiques dans divers domaines comme celui des crédits, de surveiller et contrôler l’application de</w:t>
      </w:r>
      <w:r w:rsidRPr="009D4CD4">
        <w:rPr>
          <w:rFonts w:ascii="Arial" w:hAnsi="Arial" w:cs="Arial"/>
          <w:sz w:val="20"/>
          <w:szCs w:val="20"/>
          <w:lang w:eastAsia="fr-FR"/>
        </w:rPr>
        <w:t xml:space="preserve"> </w:t>
      </w:r>
      <w:r w:rsidRPr="009D4CD4">
        <w:t>ces politiques</w:t>
      </w:r>
      <w:r w:rsidRPr="009D4CD4">
        <w:rPr>
          <w:rFonts w:ascii="Arial" w:hAnsi="Arial" w:cs="Arial"/>
          <w:sz w:val="20"/>
          <w:szCs w:val="20"/>
          <w:lang w:eastAsia="fr-FR"/>
        </w:rPr>
        <w:t>.</w:t>
      </w:r>
    </w:p>
    <w:p w14:paraId="56C51115" w14:textId="20FE375E" w:rsidR="008658AE" w:rsidRPr="009D4CD4" w:rsidRDefault="008658AE" w:rsidP="008658AE">
      <w:pPr>
        <w:spacing w:after="0" w:line="240" w:lineRule="auto"/>
        <w:rPr>
          <w:rFonts w:cs="Calibri"/>
        </w:rPr>
      </w:pPr>
      <w:r w:rsidRPr="009D4CD4">
        <w:t xml:space="preserve">Le Conseil d’administration élit en son sein un Bureau composé d’un président, de quatre vice-présidents et de trois administrateurs. Chaque département est représenté par 5 administrateurs au Conseil et par 2 administrateurs au Bureau du Conseil. Tous les administrateurs sont associés dans un ou plusieurs comités ou commissions de la </w:t>
      </w:r>
      <w:r w:rsidR="00A7717F">
        <w:t>Caisse Régionale</w:t>
      </w:r>
      <w:r w:rsidRPr="009D4CD4">
        <w:t xml:space="preserve"> (Comité d’audit, Comité de risque, Commission mutualiste, Comité RSE…) afin de préparer les dossiers présentés à la validation du conseil d’Administration.  </w:t>
      </w:r>
    </w:p>
    <w:p w14:paraId="487C6248" w14:textId="77777777" w:rsidR="00B72A61" w:rsidRPr="009D4CD4" w:rsidRDefault="00B72A61" w:rsidP="00B72A61">
      <w:pPr>
        <w:spacing w:after="0" w:line="240" w:lineRule="auto"/>
        <w:ind w:right="-1"/>
        <w:jc w:val="left"/>
        <w:rPr>
          <w:rFonts w:cs="Arial"/>
        </w:rPr>
      </w:pPr>
    </w:p>
    <w:p w14:paraId="51C48862" w14:textId="35988321" w:rsidR="00B72A61" w:rsidRPr="009D4CD4" w:rsidRDefault="00B72A61" w:rsidP="003E0DB0">
      <w:pPr>
        <w:spacing w:after="0" w:line="240" w:lineRule="auto"/>
        <w:ind w:right="-1"/>
        <w:jc w:val="left"/>
      </w:pPr>
      <w:r w:rsidRPr="009D4CD4">
        <w:rPr>
          <w:rFonts w:cs="Arial"/>
        </w:rPr>
        <w:t xml:space="preserve">Pour assurer leurs missions, les administrateurs de la </w:t>
      </w:r>
      <w:r w:rsidR="00A7717F">
        <w:rPr>
          <w:rFonts w:cs="Arial"/>
        </w:rPr>
        <w:t>Caisse Régionale</w:t>
      </w:r>
      <w:r w:rsidRPr="009D4CD4">
        <w:rPr>
          <w:rFonts w:cs="Arial"/>
        </w:rPr>
        <w:t xml:space="preserve"> bénéficient d’un programme de formation visant à parfaire leurs compétences dans tous les domaines relatifs à leur mandat. Des experts de la </w:t>
      </w:r>
      <w:r w:rsidR="00A7717F">
        <w:rPr>
          <w:rFonts w:cs="Arial"/>
        </w:rPr>
        <w:t>Caisse Régionale</w:t>
      </w:r>
      <w:r w:rsidRPr="009D4CD4">
        <w:rPr>
          <w:rFonts w:cs="Arial"/>
        </w:rPr>
        <w:t xml:space="preserve"> ou des intervenants extérieurs animent ces formations. Les administrateurs peuvent également bénéficier d’un programme de perfectionnement proposé au niveau national par l’Institut de Formation du Crédit Agricole. </w:t>
      </w:r>
      <w:r w:rsidR="003E0DB0">
        <w:rPr>
          <w:rFonts w:cs="Arial"/>
        </w:rPr>
        <w:t xml:space="preserve"> En 2021, les principales formations ont porté sur le développement des compétences au service du Conseil d’Administration, sur les évolutions réglementaires récentes et sur les risques.</w:t>
      </w:r>
      <w:r w:rsidR="003E0DB0" w:rsidRPr="009D4CD4">
        <w:t xml:space="preserve"> </w:t>
      </w:r>
    </w:p>
    <w:p w14:paraId="211E13BB" w14:textId="460C18C1" w:rsidR="005C4C31" w:rsidRDefault="005C4C31" w:rsidP="00B72A61">
      <w:pPr>
        <w:spacing w:after="0" w:line="240" w:lineRule="auto"/>
        <w:jc w:val="left"/>
      </w:pPr>
    </w:p>
    <w:p w14:paraId="591E82D2" w14:textId="77777777" w:rsidR="009B0FC2" w:rsidRPr="009D4CD4" w:rsidRDefault="009B0FC2" w:rsidP="00B72A61">
      <w:pPr>
        <w:spacing w:after="0" w:line="240" w:lineRule="auto"/>
        <w:jc w:val="left"/>
      </w:pPr>
    </w:p>
    <w:p w14:paraId="270C7672" w14:textId="7D6C2288" w:rsidR="00314B6E" w:rsidRPr="009D4CD4" w:rsidRDefault="00FA441D" w:rsidP="003B6D4D">
      <w:pPr>
        <w:pStyle w:val="Titre2"/>
      </w:pPr>
      <w:bookmarkStart w:id="185" w:name="_Toc96095175"/>
      <w:bookmarkStart w:id="186" w:name="_Toc96095353"/>
      <w:bookmarkStart w:id="187" w:name="_Toc96095176"/>
      <w:bookmarkStart w:id="188" w:name="_Toc96095354"/>
      <w:bookmarkStart w:id="189" w:name="_Toc96698067"/>
      <w:bookmarkEnd w:id="185"/>
      <w:bookmarkEnd w:id="186"/>
      <w:bookmarkEnd w:id="187"/>
      <w:bookmarkEnd w:id="188"/>
      <w:r w:rsidRPr="009D4CD4">
        <w:t xml:space="preserve">Prendre </w:t>
      </w:r>
      <w:r w:rsidR="00CC3251" w:rsidRPr="009D4CD4">
        <w:t xml:space="preserve">en compte </w:t>
      </w:r>
      <w:r w:rsidR="00314B6E" w:rsidRPr="009D4CD4">
        <w:t>la réglementation européenne</w:t>
      </w:r>
      <w:bookmarkEnd w:id="189"/>
    </w:p>
    <w:p w14:paraId="1F01F0A3" w14:textId="77777777" w:rsidR="00431012" w:rsidRPr="009D4CD4" w:rsidRDefault="00431012" w:rsidP="00431012">
      <w:pPr>
        <w:rPr>
          <w:lang w:eastAsia="fr-FR"/>
        </w:rPr>
      </w:pPr>
    </w:p>
    <w:p w14:paraId="6E99F6FE" w14:textId="46A29175" w:rsidR="002413D1" w:rsidRPr="009D4CD4" w:rsidRDefault="006B412E" w:rsidP="003B6D4D">
      <w:pPr>
        <w:pStyle w:val="Titre3"/>
      </w:pPr>
      <w:r>
        <w:t xml:space="preserve">   </w:t>
      </w:r>
      <w:bookmarkStart w:id="190" w:name="_Toc96698068"/>
      <w:r w:rsidR="007C77BB" w:rsidRPr="009D4CD4">
        <w:t xml:space="preserve">Les </w:t>
      </w:r>
      <w:r w:rsidR="00052133" w:rsidRPr="009D4CD4">
        <w:t xml:space="preserve">actifs durables </w:t>
      </w:r>
      <w:r w:rsidR="002413D1" w:rsidRPr="009D4CD4">
        <w:t>au titre de la Taxonomie (Green Asset Ratio)</w:t>
      </w:r>
      <w:bookmarkEnd w:id="190"/>
    </w:p>
    <w:p w14:paraId="701DC8D4" w14:textId="6CD569D3" w:rsidR="00833DCC" w:rsidRDefault="00833DCC" w:rsidP="007C77BB">
      <w:pPr>
        <w:pStyle w:val="NormalWeb"/>
        <w:spacing w:before="0" w:beforeAutospacing="0" w:after="0" w:afterAutospacing="0"/>
        <w:rPr>
          <w:rFonts w:asciiTheme="minorHAnsi" w:eastAsia="Calibri" w:hAnsiTheme="minorHAnsi" w:cstheme="minorHAnsi"/>
          <w:color w:val="FF0000"/>
          <w:sz w:val="22"/>
          <w:szCs w:val="22"/>
          <w:lang w:eastAsia="en-US"/>
        </w:rPr>
      </w:pPr>
    </w:p>
    <w:p w14:paraId="35459776" w14:textId="7C5E9E73"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noProof/>
          <w:sz w:val="22"/>
          <w:szCs w:val="22"/>
        </w:rPr>
        <mc:AlternateContent>
          <mc:Choice Requires="wps">
            <w:drawing>
              <wp:anchor distT="0" distB="0" distL="114300" distR="114300" simplePos="0" relativeHeight="251662336" behindDoc="0" locked="0" layoutInCell="1" allowOverlap="1" wp14:anchorId="1276ED6A" wp14:editId="7A14A343">
                <wp:simplePos x="0" y="0"/>
                <wp:positionH relativeFrom="column">
                  <wp:posOffset>10478135</wp:posOffset>
                </wp:positionH>
                <wp:positionV relativeFrom="paragraph">
                  <wp:posOffset>-1887220</wp:posOffset>
                </wp:positionV>
                <wp:extent cx="4719955" cy="1000760"/>
                <wp:effectExtent l="0" t="0" r="0" b="0"/>
                <wp:wrapNone/>
                <wp:docPr id="23" name="object 23"/>
                <wp:cNvGraphicFramePr/>
                <a:graphic xmlns:a="http://schemas.openxmlformats.org/drawingml/2006/main">
                  <a:graphicData uri="http://schemas.microsoft.com/office/word/2010/wordprocessingShape">
                    <wps:wsp>
                      <wps:cNvSpPr txBox="1"/>
                      <wps:spPr>
                        <a:xfrm>
                          <a:off x="0" y="0"/>
                          <a:ext cx="4719955" cy="1000760"/>
                        </a:xfrm>
                        <a:prstGeom prst="rect">
                          <a:avLst/>
                        </a:prstGeom>
                      </wps:spPr>
                      <wps:txbx>
                        <w:txbxContent>
                          <w:p w14:paraId="666C2049" w14:textId="77777777" w:rsidR="003004B5" w:rsidRDefault="003004B5" w:rsidP="007C77BB">
                            <w:pPr>
                              <w:pStyle w:val="NormalWeb"/>
                              <w:spacing w:before="42" w:beforeAutospacing="0" w:after="0" w:afterAutospacing="0" w:line="322" w:lineRule="exact"/>
                              <w:ind w:right="14"/>
                            </w:pPr>
                            <w:r>
                              <w:rPr>
                                <w:rFonts w:ascii="Arial" w:hAnsi="Arial" w:cs="Arial"/>
                                <w:color w:val="038EA4"/>
                                <w:kern w:val="24"/>
                                <w:sz w:val="28"/>
                                <w:szCs w:val="28"/>
                              </w:rPr>
                              <w:t xml:space="preserve">Est </w:t>
                            </w:r>
                            <w:r>
                              <w:rPr>
                                <w:rFonts w:ascii="Arial" w:hAnsi="Arial" w:cs="Arial"/>
                                <w:color w:val="038EA4"/>
                                <w:spacing w:val="-1"/>
                                <w:kern w:val="24"/>
                                <w:sz w:val="28"/>
                                <w:szCs w:val="28"/>
                              </w:rPr>
                              <w:t xml:space="preserve">exercée dans </w:t>
                            </w:r>
                            <w:r>
                              <w:rPr>
                                <w:rFonts w:ascii="Arial" w:hAnsi="Arial" w:cs="Arial"/>
                                <w:color w:val="038EA4"/>
                                <w:kern w:val="24"/>
                                <w:sz w:val="28"/>
                                <w:szCs w:val="28"/>
                              </w:rPr>
                              <w:t xml:space="preserve">le </w:t>
                            </w:r>
                            <w:r>
                              <w:rPr>
                                <w:rFonts w:ascii="Arial" w:hAnsi="Arial" w:cs="Arial"/>
                                <w:color w:val="038EA4"/>
                                <w:spacing w:val="-1"/>
                                <w:kern w:val="24"/>
                                <w:sz w:val="28"/>
                                <w:szCs w:val="28"/>
                              </w:rPr>
                              <w:t>respect des principes directeurs de  l’OCDE, l’ONU et l’OIT relatifs aux droits de</w:t>
                            </w:r>
                            <w:r>
                              <w:rPr>
                                <w:rFonts w:ascii="Arial" w:hAnsi="Arial" w:cs="Arial"/>
                                <w:color w:val="038EA4"/>
                                <w:spacing w:val="-6"/>
                                <w:kern w:val="24"/>
                                <w:sz w:val="28"/>
                                <w:szCs w:val="28"/>
                              </w:rPr>
                              <w:t xml:space="preserve"> </w:t>
                            </w:r>
                            <w:r>
                              <w:rPr>
                                <w:rFonts w:ascii="Arial" w:hAnsi="Arial" w:cs="Arial"/>
                                <w:color w:val="038EA4"/>
                                <w:spacing w:val="-1"/>
                                <w:kern w:val="24"/>
                                <w:sz w:val="28"/>
                                <w:szCs w:val="28"/>
                              </w:rPr>
                              <w:t>l’homme</w:t>
                            </w:r>
                          </w:p>
                          <w:p w14:paraId="5D1F8F72" w14:textId="77777777" w:rsidR="003004B5" w:rsidRDefault="003004B5" w:rsidP="007C77BB">
                            <w:pPr>
                              <w:pStyle w:val="NormalWeb"/>
                              <w:spacing w:before="217" w:beforeAutospacing="0" w:after="0" w:afterAutospacing="0" w:line="326" w:lineRule="exact"/>
                              <w:ind w:left="14"/>
                            </w:pPr>
                            <w:r>
                              <w:rPr>
                                <w:rFonts w:ascii="Arial" w:hAnsi="Arial" w:cs="Arial"/>
                                <w:color w:val="038EA4"/>
                                <w:kern w:val="24"/>
                                <w:sz w:val="28"/>
                                <w:szCs w:val="28"/>
                              </w:rPr>
                              <w:t>Est</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conforme</w:t>
                            </w:r>
                            <w:r>
                              <w:rPr>
                                <w:rFonts w:ascii="Arial" w:hAnsi="Arial" w:cs="Arial"/>
                                <w:color w:val="038EA4"/>
                                <w:spacing w:val="40"/>
                                <w:kern w:val="24"/>
                                <w:sz w:val="28"/>
                                <w:szCs w:val="28"/>
                              </w:rPr>
                              <w:t xml:space="preserve"> </w:t>
                            </w:r>
                            <w:r>
                              <w:rPr>
                                <w:rFonts w:ascii="Arial" w:hAnsi="Arial" w:cs="Arial"/>
                                <w:color w:val="038EA4"/>
                                <w:spacing w:val="-1"/>
                                <w:kern w:val="24"/>
                                <w:sz w:val="28"/>
                                <w:szCs w:val="28"/>
                              </w:rPr>
                              <w:t>aux</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critères</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d’examen</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technique</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(fixant</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des</w:t>
                            </w:r>
                          </w:p>
                          <w:p w14:paraId="1ECEFD14" w14:textId="77777777" w:rsidR="003004B5" w:rsidRDefault="003004B5" w:rsidP="007C77BB">
                            <w:pPr>
                              <w:pStyle w:val="NormalWeb"/>
                              <w:spacing w:before="0" w:beforeAutospacing="0" w:after="0" w:afterAutospacing="0" w:line="326" w:lineRule="exact"/>
                              <w:ind w:left="14"/>
                            </w:pPr>
                            <w:r>
                              <w:rPr>
                                <w:rFonts w:ascii="Arial" w:hAnsi="Arial" w:cs="Arial"/>
                                <w:b/>
                                <w:bCs/>
                                <w:color w:val="038EA4"/>
                                <w:spacing w:val="-1"/>
                                <w:kern w:val="24"/>
                                <w:sz w:val="28"/>
                                <w:szCs w:val="28"/>
                              </w:rPr>
                              <w:t>seuils de performance</w:t>
                            </w:r>
                            <w:r>
                              <w:rPr>
                                <w:rFonts w:ascii="Arial" w:hAnsi="Arial" w:cs="Arial"/>
                                <w:b/>
                                <w:bCs/>
                                <w:color w:val="038EA4"/>
                                <w:spacing w:val="-2"/>
                                <w:kern w:val="24"/>
                                <w:sz w:val="28"/>
                                <w:szCs w:val="28"/>
                              </w:rPr>
                              <w:t xml:space="preserve"> environnementale</w:t>
                            </w:r>
                            <w:r>
                              <w:rPr>
                                <w:rFonts w:ascii="Arial" w:hAnsi="Arial" w:cs="Arial"/>
                                <w:color w:val="038EA4"/>
                                <w:spacing w:val="-2"/>
                                <w:kern w:val="24"/>
                                <w:sz w:val="28"/>
                                <w:szCs w:val="28"/>
                              </w:rPr>
                              <w:t>)</w:t>
                            </w:r>
                          </w:p>
                        </w:txbxContent>
                      </wps:txbx>
                      <wps:bodyPr vert="horz" wrap="square" lIns="0" tIns="26670" rIns="0" bIns="0" rtlCol="0">
                        <a:spAutoFit/>
                      </wps:bodyPr>
                    </wps:wsp>
                  </a:graphicData>
                </a:graphic>
              </wp:anchor>
            </w:drawing>
          </mc:Choice>
          <mc:Fallback>
            <w:pict>
              <v:shapetype w14:anchorId="1276ED6A" id="_x0000_t202" coordsize="21600,21600" o:spt="202" path="m,l,21600r21600,l21600,xe">
                <v:stroke joinstyle="miter"/>
                <v:path gradientshapeok="t" o:connecttype="rect"/>
              </v:shapetype>
              <v:shape id="object 23" o:spid="_x0000_s1026" type="#_x0000_t202" style="position:absolute;margin-left:825.05pt;margin-top:-148.6pt;width:371.65pt;height:78.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" filled="f" stroked="f">
                <v:textbox style="mso-fit-shape-to-text:t" inset="0,2.1pt,0,0">
                  <w:txbxContent>
                    <w:p w14:paraId="666C2049" w14:textId="77777777" w:rsidR="003004B5" w:rsidRDefault="003004B5" w:rsidP="007C77BB">
                      <w:pPr>
                        <w:pStyle w:val="NormalWeb"/>
                        <w:spacing w:before="42" w:beforeAutospacing="0" w:after="0" w:afterAutospacing="0" w:line="322" w:lineRule="exact"/>
                        <w:ind w:right="14"/>
                      </w:pPr>
                      <w:r>
                        <w:rPr>
                          <w:rFonts w:ascii="Arial" w:hAnsi="Arial" w:cs="Arial"/>
                          <w:color w:val="038EA4"/>
                          <w:kern w:val="24"/>
                          <w:sz w:val="28"/>
                          <w:szCs w:val="28"/>
                        </w:rPr>
                        <w:t xml:space="preserve">Est </w:t>
                      </w:r>
                      <w:r>
                        <w:rPr>
                          <w:rFonts w:ascii="Arial" w:hAnsi="Arial" w:cs="Arial"/>
                          <w:color w:val="038EA4"/>
                          <w:spacing w:val="-1"/>
                          <w:kern w:val="24"/>
                          <w:sz w:val="28"/>
                          <w:szCs w:val="28"/>
                        </w:rPr>
                        <w:t xml:space="preserve">exercée dans </w:t>
                      </w:r>
                      <w:r>
                        <w:rPr>
                          <w:rFonts w:ascii="Arial" w:hAnsi="Arial" w:cs="Arial"/>
                          <w:color w:val="038EA4"/>
                          <w:kern w:val="24"/>
                          <w:sz w:val="28"/>
                          <w:szCs w:val="28"/>
                        </w:rPr>
                        <w:t xml:space="preserve">le </w:t>
                      </w:r>
                      <w:r>
                        <w:rPr>
                          <w:rFonts w:ascii="Arial" w:hAnsi="Arial" w:cs="Arial"/>
                          <w:color w:val="038EA4"/>
                          <w:spacing w:val="-1"/>
                          <w:kern w:val="24"/>
                          <w:sz w:val="28"/>
                          <w:szCs w:val="28"/>
                        </w:rPr>
                        <w:t>respect des principes directeurs de  l’OCDE, l’ONU et l’OIT relatifs aux droits de</w:t>
                      </w:r>
                      <w:r>
                        <w:rPr>
                          <w:rFonts w:ascii="Arial" w:hAnsi="Arial" w:cs="Arial"/>
                          <w:color w:val="038EA4"/>
                          <w:spacing w:val="-6"/>
                          <w:kern w:val="24"/>
                          <w:sz w:val="28"/>
                          <w:szCs w:val="28"/>
                        </w:rPr>
                        <w:t xml:space="preserve"> </w:t>
                      </w:r>
                      <w:r>
                        <w:rPr>
                          <w:rFonts w:ascii="Arial" w:hAnsi="Arial" w:cs="Arial"/>
                          <w:color w:val="038EA4"/>
                          <w:spacing w:val="-1"/>
                          <w:kern w:val="24"/>
                          <w:sz w:val="28"/>
                          <w:szCs w:val="28"/>
                        </w:rPr>
                        <w:t>l’homme</w:t>
                      </w:r>
                    </w:p>
                    <w:p w14:paraId="5D1F8F72" w14:textId="77777777" w:rsidR="003004B5" w:rsidRDefault="003004B5" w:rsidP="007C77BB">
                      <w:pPr>
                        <w:pStyle w:val="NormalWeb"/>
                        <w:spacing w:before="217" w:beforeAutospacing="0" w:after="0" w:afterAutospacing="0" w:line="326" w:lineRule="exact"/>
                        <w:ind w:left="14"/>
                      </w:pPr>
                      <w:r>
                        <w:rPr>
                          <w:rFonts w:ascii="Arial" w:hAnsi="Arial" w:cs="Arial"/>
                          <w:color w:val="038EA4"/>
                          <w:kern w:val="24"/>
                          <w:sz w:val="28"/>
                          <w:szCs w:val="28"/>
                        </w:rPr>
                        <w:t>Est</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conforme</w:t>
                      </w:r>
                      <w:r>
                        <w:rPr>
                          <w:rFonts w:ascii="Arial" w:hAnsi="Arial" w:cs="Arial"/>
                          <w:color w:val="038EA4"/>
                          <w:spacing w:val="40"/>
                          <w:kern w:val="24"/>
                          <w:sz w:val="28"/>
                          <w:szCs w:val="28"/>
                        </w:rPr>
                        <w:t xml:space="preserve"> </w:t>
                      </w:r>
                      <w:r>
                        <w:rPr>
                          <w:rFonts w:ascii="Arial" w:hAnsi="Arial" w:cs="Arial"/>
                          <w:color w:val="038EA4"/>
                          <w:spacing w:val="-1"/>
                          <w:kern w:val="24"/>
                          <w:sz w:val="28"/>
                          <w:szCs w:val="28"/>
                        </w:rPr>
                        <w:t>aux</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critères</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d’examen</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technique</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(fixant</w:t>
                      </w:r>
                      <w:r>
                        <w:rPr>
                          <w:rFonts w:ascii="Arial" w:hAnsi="Arial" w:cs="Arial"/>
                          <w:color w:val="038EA4"/>
                          <w:spacing w:val="41"/>
                          <w:kern w:val="24"/>
                          <w:sz w:val="28"/>
                          <w:szCs w:val="28"/>
                        </w:rPr>
                        <w:t xml:space="preserve"> </w:t>
                      </w:r>
                      <w:r>
                        <w:rPr>
                          <w:rFonts w:ascii="Arial" w:hAnsi="Arial" w:cs="Arial"/>
                          <w:color w:val="038EA4"/>
                          <w:spacing w:val="-1"/>
                          <w:kern w:val="24"/>
                          <w:sz w:val="28"/>
                          <w:szCs w:val="28"/>
                        </w:rPr>
                        <w:t>des</w:t>
                      </w:r>
                    </w:p>
                    <w:p w14:paraId="1ECEFD14" w14:textId="77777777" w:rsidR="003004B5" w:rsidRDefault="003004B5" w:rsidP="007C77BB">
                      <w:pPr>
                        <w:pStyle w:val="NormalWeb"/>
                        <w:spacing w:before="0" w:beforeAutospacing="0" w:after="0" w:afterAutospacing="0" w:line="326" w:lineRule="exact"/>
                        <w:ind w:left="14"/>
                      </w:pPr>
                      <w:r>
                        <w:rPr>
                          <w:rFonts w:ascii="Arial" w:hAnsi="Arial" w:cs="Arial"/>
                          <w:b/>
                          <w:bCs/>
                          <w:color w:val="038EA4"/>
                          <w:spacing w:val="-1"/>
                          <w:kern w:val="24"/>
                          <w:sz w:val="28"/>
                          <w:szCs w:val="28"/>
                        </w:rPr>
                        <w:t>seuils de performance</w:t>
                      </w:r>
                      <w:r>
                        <w:rPr>
                          <w:rFonts w:ascii="Arial" w:hAnsi="Arial" w:cs="Arial"/>
                          <w:b/>
                          <w:bCs/>
                          <w:color w:val="038EA4"/>
                          <w:spacing w:val="-2"/>
                          <w:kern w:val="24"/>
                          <w:sz w:val="28"/>
                          <w:szCs w:val="28"/>
                        </w:rPr>
                        <w:t xml:space="preserve"> environnementale</w:t>
                      </w:r>
                      <w:r>
                        <w:rPr>
                          <w:rFonts w:ascii="Arial" w:hAnsi="Arial" w:cs="Arial"/>
                          <w:color w:val="038EA4"/>
                          <w:spacing w:val="-2"/>
                          <w:kern w:val="24"/>
                          <w:sz w:val="28"/>
                          <w:szCs w:val="28"/>
                        </w:rPr>
                        <w:t>)</w:t>
                      </w:r>
                    </w:p>
                  </w:txbxContent>
                </v:textbox>
              </v:shape>
            </w:pict>
          </mc:Fallback>
        </mc:AlternateContent>
      </w:r>
      <w:r w:rsidRPr="00A52D99">
        <w:rPr>
          <w:rFonts w:asciiTheme="minorHAnsi" w:eastAsia="Calibri" w:hAnsiTheme="minorHAnsi" w:cstheme="minorHAnsi"/>
          <w:noProof/>
          <w:sz w:val="22"/>
          <w:szCs w:val="22"/>
        </w:rPr>
        <mc:AlternateContent>
          <mc:Choice Requires="wps">
            <w:drawing>
              <wp:anchor distT="0" distB="0" distL="114300" distR="114300" simplePos="0" relativeHeight="251660288" behindDoc="0" locked="0" layoutInCell="1" allowOverlap="1" wp14:anchorId="63EF80A9" wp14:editId="43831613">
                <wp:simplePos x="0" y="0"/>
                <wp:positionH relativeFrom="column">
                  <wp:posOffset>-244475</wp:posOffset>
                </wp:positionH>
                <wp:positionV relativeFrom="paragraph">
                  <wp:posOffset>-6906260</wp:posOffset>
                </wp:positionV>
                <wp:extent cx="768985" cy="269240"/>
                <wp:effectExtent l="0" t="0" r="0" b="0"/>
                <wp:wrapNone/>
                <wp:docPr id="223" name="object 7"/>
                <wp:cNvGraphicFramePr/>
                <a:graphic xmlns:a="http://schemas.openxmlformats.org/drawingml/2006/main">
                  <a:graphicData uri="http://schemas.microsoft.com/office/word/2010/wordprocessingShape">
                    <wps:wsp>
                      <wps:cNvSpPr txBox="1"/>
                      <wps:spPr>
                        <a:xfrm>
                          <a:off x="0" y="0"/>
                          <a:ext cx="768985" cy="269240"/>
                        </a:xfrm>
                        <a:prstGeom prst="rect">
                          <a:avLst/>
                        </a:prstGeom>
                      </wps:spPr>
                      <wps:txbx>
                        <w:txbxContent>
                          <w:p w14:paraId="0D4543C5" w14:textId="77777777" w:rsidR="003004B5" w:rsidRDefault="003004B5" w:rsidP="007C77BB">
                            <w:pPr>
                              <w:pStyle w:val="NormalWeb"/>
                              <w:spacing w:before="20" w:beforeAutospacing="0" w:after="0" w:afterAutospacing="0"/>
                            </w:pPr>
                            <w:r>
                              <w:rPr>
                                <w:rFonts w:ascii="Arial" w:hAnsi="Arial" w:cs="Arial"/>
                                <w:color w:val="FFFFFF"/>
                                <w:spacing w:val="-1"/>
                                <w:kern w:val="24"/>
                                <w:sz w:val="32"/>
                                <w:szCs w:val="32"/>
                              </w:rPr>
                              <w:t>Activités</w:t>
                            </w:r>
                          </w:p>
                        </w:txbxContent>
                      </wps:txbx>
                      <wps:bodyPr vert="horz" wrap="square" lIns="0" tIns="12700" rIns="0" bIns="0" rtlCol="0">
                        <a:spAutoFit/>
                      </wps:bodyPr>
                    </wps:wsp>
                  </a:graphicData>
                </a:graphic>
              </wp:anchor>
            </w:drawing>
          </mc:Choice>
          <mc:Fallback>
            <w:pict>
              <v:shape w14:anchorId="63EF80A9" id="object 7" o:spid="_x0000_s1027" type="#_x0000_t202" style="position:absolute;margin-left:-19.25pt;margin-top:-543.8pt;width:60.55pt;height:21.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" filled="f" stroked="f">
                <v:textbox style="mso-fit-shape-to-text:t" inset="0,1pt,0,0">
                  <w:txbxContent>
                    <w:p w14:paraId="0D4543C5" w14:textId="77777777" w:rsidR="003004B5" w:rsidRDefault="003004B5" w:rsidP="007C77BB">
                      <w:pPr>
                        <w:pStyle w:val="NormalWeb"/>
                        <w:spacing w:before="20" w:beforeAutospacing="0" w:after="0" w:afterAutospacing="0"/>
                      </w:pPr>
                      <w:r>
                        <w:rPr>
                          <w:rFonts w:ascii="Arial" w:hAnsi="Arial" w:cs="Arial"/>
                          <w:color w:val="FFFFFF"/>
                          <w:spacing w:val="-1"/>
                          <w:kern w:val="24"/>
                          <w:sz w:val="32"/>
                          <w:szCs w:val="32"/>
                        </w:rPr>
                        <w:t>Activités</w:t>
                      </w:r>
                    </w:p>
                  </w:txbxContent>
                </v:textbox>
              </v:shape>
            </w:pict>
          </mc:Fallback>
        </mc:AlternateContent>
      </w:r>
      <w:r w:rsidRPr="00A52D99">
        <w:rPr>
          <w:rFonts w:asciiTheme="minorHAnsi" w:eastAsia="Calibri" w:hAnsiTheme="minorHAnsi" w:cstheme="minorHAnsi"/>
          <w:sz w:val="22"/>
          <w:szCs w:val="22"/>
          <w:lang w:eastAsia="en-US"/>
        </w:rPr>
        <w:t>Le règlement européen Taxonomie 2020/852 du 18 juin 2020 instaure un cadre définissant les investissements « durables », c’est-à-dire ceux dans des activités économiques qui contribuent substantiellement à un objectif environnemental, tout en ne causant pas de préjudice significatif à l’un des autres objectifs environnementaux tels qu’énoncés dans ledit règlement et en respectant certaines garanties sociales minimales.</w:t>
      </w:r>
      <w:r w:rsidR="002413D1" w:rsidRPr="00A52D99">
        <w:rPr>
          <w:rStyle w:val="Appelnotedebasdep"/>
          <w:rFonts w:asciiTheme="minorHAnsi" w:eastAsia="Calibri" w:hAnsiTheme="minorHAnsi" w:cstheme="minorHAnsi"/>
          <w:sz w:val="22"/>
          <w:szCs w:val="22"/>
          <w:lang w:eastAsia="en-US"/>
        </w:rPr>
        <w:footnoteReference w:id="7"/>
      </w:r>
    </w:p>
    <w:p w14:paraId="2DE419F5" w14:textId="77777777" w:rsidR="0056066B" w:rsidRPr="00A52D99" w:rsidRDefault="0056066B" w:rsidP="000B1EA8">
      <w:pPr>
        <w:pStyle w:val="NormalWeb"/>
        <w:spacing w:before="0" w:beforeAutospacing="0" w:after="0" w:afterAutospacing="0"/>
        <w:rPr>
          <w:rFonts w:asciiTheme="minorHAnsi" w:eastAsia="Calibri" w:hAnsiTheme="minorHAnsi" w:cstheme="minorHAnsi"/>
          <w:sz w:val="22"/>
          <w:szCs w:val="22"/>
          <w:lang w:eastAsia="en-US"/>
        </w:rPr>
      </w:pPr>
    </w:p>
    <w:p w14:paraId="49D05ADD" w14:textId="77777777"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 xml:space="preserve">Aux fins de ce règlement, constituent des objectifs environnementaux : </w:t>
      </w:r>
    </w:p>
    <w:p w14:paraId="593AB7AF" w14:textId="4DB028F2"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&gt;L’atténuation du changement climatique</w:t>
      </w:r>
    </w:p>
    <w:p w14:paraId="3CA5A7E4" w14:textId="3161B2CA"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&gt;L’adaptation au changement climatique</w:t>
      </w:r>
    </w:p>
    <w:p w14:paraId="3A269E36" w14:textId="77AAC67F"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&gt;L’utilisation durable et la protection des ressources aquatiques et marines</w:t>
      </w:r>
    </w:p>
    <w:p w14:paraId="769042EC" w14:textId="05222C0C"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&gt;La transition vers une économie circulaire</w:t>
      </w:r>
    </w:p>
    <w:p w14:paraId="1764589D" w14:textId="0789E0CB"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&gt;La prévention et la réduction de la pollution</w:t>
      </w:r>
    </w:p>
    <w:p w14:paraId="7FA842B1" w14:textId="266D0407"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&gt;La protection et la restauration de la biodiversité et des écosystèmes</w:t>
      </w:r>
      <w:r w:rsidR="002413D1" w:rsidRPr="00A52D99">
        <w:rPr>
          <w:rFonts w:asciiTheme="minorHAnsi" w:eastAsia="Calibri" w:hAnsiTheme="minorHAnsi" w:cstheme="minorHAnsi"/>
          <w:sz w:val="22"/>
          <w:szCs w:val="22"/>
          <w:lang w:eastAsia="en-US"/>
        </w:rPr>
        <w:t>.</w:t>
      </w:r>
    </w:p>
    <w:p w14:paraId="740AB5F6" w14:textId="77777777" w:rsidR="000B1EA8" w:rsidRPr="00A52D99" w:rsidRDefault="000B1EA8" w:rsidP="000B1EA8">
      <w:pPr>
        <w:spacing w:after="0" w:line="240" w:lineRule="auto"/>
        <w:rPr>
          <w:rFonts w:cs="Arial"/>
        </w:rPr>
      </w:pPr>
      <w:r w:rsidRPr="00A52D99">
        <w:rPr>
          <w:rFonts w:cs="Arial"/>
        </w:rPr>
        <w:t xml:space="preserve">L’acte délégué sur l’article 8 du règlement Taxonomie, </w:t>
      </w:r>
      <w:r w:rsidRPr="00A52D99">
        <w:rPr>
          <w:rFonts w:cs="Arial"/>
          <w:color w:val="000000"/>
        </w:rPr>
        <w:t xml:space="preserve">publié le 10 décembre 2021 au Journal Officiel, </w:t>
      </w:r>
      <w:r w:rsidRPr="00A52D99">
        <w:rPr>
          <w:rFonts w:cs="Arial"/>
        </w:rPr>
        <w:t xml:space="preserve">définit le contenu et les modalités de publication sur les investissements durables pour les entreprises assujetties. </w:t>
      </w:r>
    </w:p>
    <w:p w14:paraId="59F3A563" w14:textId="77777777" w:rsidR="000B1EA8" w:rsidRPr="00A52D99" w:rsidRDefault="000B1EA8" w:rsidP="000B1EA8">
      <w:pPr>
        <w:spacing w:after="0" w:line="240" w:lineRule="auto"/>
        <w:rPr>
          <w:rFonts w:cs="Arial"/>
        </w:rPr>
      </w:pPr>
      <w:r w:rsidRPr="00A52D99">
        <w:rPr>
          <w:rFonts w:cs="Arial"/>
        </w:rPr>
        <w:t xml:space="preserve">L’acte délégué « Climat », publié le 9 décembre 2021 </w:t>
      </w:r>
      <w:r w:rsidRPr="00A52D99">
        <w:rPr>
          <w:rFonts w:cs="Arial"/>
          <w:color w:val="000000"/>
        </w:rPr>
        <w:t>au Journal Officiel</w:t>
      </w:r>
      <w:r w:rsidRPr="00A52D99">
        <w:rPr>
          <w:rFonts w:cs="Arial"/>
        </w:rPr>
        <w:t>, précise les critères techniques d’analyse pour l’examen des activités durables eu égard aux deux premiers objectifs environnementaux.</w:t>
      </w:r>
    </w:p>
    <w:p w14:paraId="731CAD17" w14:textId="77777777" w:rsidR="000B1EA8" w:rsidRPr="00A52D99" w:rsidRDefault="000B1EA8" w:rsidP="000B1EA8">
      <w:pPr>
        <w:spacing w:after="0" w:line="240" w:lineRule="auto"/>
        <w:rPr>
          <w:rFonts w:asciiTheme="minorHAnsi" w:hAnsiTheme="minorHAnsi" w:cstheme="minorHAnsi"/>
        </w:rPr>
      </w:pPr>
      <w:r w:rsidRPr="00A52D99">
        <w:rPr>
          <w:rFonts w:cs="Arial"/>
          <w:color w:val="000000"/>
        </w:rPr>
        <w:t>Selon les dispositions de l’acte délégué sur l’article 8 du règlement Taxonomie, deux échéances de publications s’appliquent aux établissements bancaires :</w:t>
      </w:r>
    </w:p>
    <w:p w14:paraId="2E293B4D" w14:textId="77777777" w:rsidR="000B1EA8" w:rsidRPr="00A52D99" w:rsidRDefault="000B1EA8" w:rsidP="000B1EA8">
      <w:pPr>
        <w:pStyle w:val="Paragraphedeliste"/>
        <w:numPr>
          <w:ilvl w:val="0"/>
          <w:numId w:val="42"/>
        </w:numPr>
        <w:ind w:left="336"/>
        <w:jc w:val="both"/>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Une première obligation de reporting sur la base des données au 31.12.2021 sur (i) la part des activités dites « éligibles » et « non éligibles », c’est-à-dire des activités listées dans l’acte délégué comme pouvant répondre à au moins un des deux objectifs environnementaux ou non et (ii) la part des actifs exclus.</w:t>
      </w:r>
    </w:p>
    <w:p w14:paraId="7ED4BAD5" w14:textId="77777777" w:rsidR="000B1EA8" w:rsidRPr="00A52D99" w:rsidRDefault="000B1EA8" w:rsidP="000B1EA8">
      <w:pPr>
        <w:pStyle w:val="Paragraphedeliste"/>
        <w:numPr>
          <w:ilvl w:val="0"/>
          <w:numId w:val="42"/>
        </w:numPr>
        <w:ind w:left="336"/>
        <w:jc w:val="both"/>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Une seconde échéance, à partir de 2024 (sur la base des données au 31.12.2023), où le reporting sera complété par les informations sur la proportion des actifs « alignés » (publication du ratio d’actifs verts notamment). L’analyse d’alignement sera menée sur la base des informations publiées par les entreprises non-financières assujetties (publication de leur chiffre d’affaire et capex alignés à partir de 2023) et les entreprises financières (publication de leur ratio d’actifs verts à partir de 2024) ainsi que sur les critères techniques du règlement sur le périmètre de la clientèle de détail et des collectivités et pour les financements dédiés.</w:t>
      </w:r>
    </w:p>
    <w:p w14:paraId="3F4051B1" w14:textId="77777777" w:rsidR="002413D1" w:rsidRPr="00A52D99" w:rsidRDefault="002413D1" w:rsidP="000B1EA8">
      <w:pPr>
        <w:pStyle w:val="NormalWeb"/>
        <w:spacing w:before="0" w:beforeAutospacing="0" w:after="0" w:afterAutospacing="0"/>
        <w:rPr>
          <w:rFonts w:asciiTheme="minorHAnsi" w:eastAsia="Calibri" w:hAnsiTheme="minorHAnsi" w:cstheme="minorHAnsi"/>
          <w:sz w:val="22"/>
          <w:szCs w:val="22"/>
          <w:lang w:eastAsia="en-US"/>
        </w:rPr>
      </w:pPr>
    </w:p>
    <w:p w14:paraId="468644CA" w14:textId="77777777" w:rsidR="00582B1E" w:rsidRPr="00A52D99" w:rsidRDefault="00582B1E" w:rsidP="000B1EA8">
      <w:pPr>
        <w:spacing w:after="0" w:line="240" w:lineRule="auto"/>
        <w:rPr>
          <w:rFonts w:cs="Arial"/>
          <w:color w:val="000000"/>
        </w:rPr>
      </w:pPr>
      <w:r w:rsidRPr="00A52D99">
        <w:rPr>
          <w:rFonts w:cs="Arial"/>
          <w:color w:val="000000"/>
        </w:rPr>
        <w:t xml:space="preserve">Pour le reporting 2021, [le Crédit Agricole] publie la part d’actifs éligibles, correspondant aux assiettes d’actifs sur la base desquelles sera menée l’analyse des actifs alignés (actifs durables) à partir de 2024. </w:t>
      </w:r>
    </w:p>
    <w:p w14:paraId="344E5F24" w14:textId="77777777"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p>
    <w:p w14:paraId="6344DA36" w14:textId="247CA053" w:rsidR="00052133" w:rsidRPr="00A52D99" w:rsidRDefault="00052133"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Les activités éligibles sont définies et décrites par l’acte délégué « Climat ». Elles deviennent des activités alignées (et donc durables) si elles répondent aux critères suivants :</w:t>
      </w:r>
    </w:p>
    <w:p w14:paraId="637444A6" w14:textId="0DDA6BF1" w:rsidR="00052133" w:rsidRPr="00A52D99" w:rsidRDefault="00052133"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&gt;Contribuent substantiellement à un ou plusieurs des objectifs environnementaux</w:t>
      </w:r>
    </w:p>
    <w:p w14:paraId="7E7A77E2" w14:textId="5858D0F2" w:rsidR="00052133" w:rsidRPr="00A52D99" w:rsidRDefault="00052133"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&gt;Ne causent pas de préjudice important à l’un des autres objectifs environnementaux</w:t>
      </w:r>
    </w:p>
    <w:p w14:paraId="3B56024D" w14:textId="358A0E5C" w:rsidR="00052133" w:rsidRPr="00A52D99" w:rsidRDefault="00052133"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&gt;Respectent certaines garanties sociales minimales</w:t>
      </w:r>
    </w:p>
    <w:p w14:paraId="6DA31EB5" w14:textId="3FBDC936" w:rsidR="00052133" w:rsidRPr="00A52D99" w:rsidRDefault="00052133" w:rsidP="000B1EA8">
      <w:pPr>
        <w:pStyle w:val="NormalWeb"/>
        <w:spacing w:before="0" w:beforeAutospacing="0" w:after="0" w:afterAutospacing="0"/>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&gt;Sont conformes aux critères d’examen technique (fixant des seuils de performance environnementale)</w:t>
      </w:r>
      <w:r w:rsidR="007C77BB" w:rsidRPr="00A52D99">
        <w:rPr>
          <w:rFonts w:asciiTheme="minorHAnsi" w:eastAsia="Calibri" w:hAnsiTheme="minorHAnsi" w:cstheme="minorHAnsi"/>
          <w:sz w:val="22"/>
          <w:szCs w:val="22"/>
          <w:lang w:eastAsia="en-US"/>
        </w:rPr>
        <w:t>.</w:t>
      </w:r>
    </w:p>
    <w:p w14:paraId="6EDCF2DB" w14:textId="77777777" w:rsidR="007C77BB" w:rsidRPr="00A52D99" w:rsidRDefault="007C77BB" w:rsidP="000B1EA8">
      <w:pPr>
        <w:pStyle w:val="NormalWeb"/>
        <w:spacing w:before="0" w:beforeAutospacing="0" w:after="0" w:afterAutospacing="0"/>
        <w:rPr>
          <w:rFonts w:asciiTheme="minorHAnsi" w:eastAsia="Calibri" w:hAnsiTheme="minorHAnsi" w:cstheme="minorHAnsi"/>
          <w:sz w:val="22"/>
          <w:szCs w:val="22"/>
          <w:lang w:eastAsia="en-US"/>
        </w:rPr>
      </w:pPr>
    </w:p>
    <w:p w14:paraId="0FDAE31E" w14:textId="77777777" w:rsidR="00582B1E" w:rsidRPr="00A52D99" w:rsidRDefault="00582B1E" w:rsidP="000B1EA8">
      <w:pPr>
        <w:spacing w:after="0" w:line="240" w:lineRule="auto"/>
        <w:rPr>
          <w:rFonts w:asciiTheme="minorHAnsi" w:hAnsiTheme="minorHAnsi" w:cstheme="minorHAnsi"/>
        </w:rPr>
      </w:pPr>
      <w:r w:rsidRPr="00A52D99">
        <w:rPr>
          <w:rFonts w:asciiTheme="minorHAnsi" w:hAnsiTheme="minorHAnsi" w:cstheme="minorHAnsi"/>
        </w:rPr>
        <w:t xml:space="preserve">Pour ce premier reporting, les actifs suivants sont considérés comme éligibles à la taxonomie :  </w:t>
      </w:r>
    </w:p>
    <w:p w14:paraId="5B47AC4C" w14:textId="77777777" w:rsidR="00582B1E" w:rsidRPr="00A52D99" w:rsidRDefault="00582B1E" w:rsidP="000B1EA8">
      <w:pPr>
        <w:pStyle w:val="Paragraphedeliste"/>
        <w:numPr>
          <w:ilvl w:val="0"/>
          <w:numId w:val="43"/>
        </w:numPr>
        <w:ind w:left="364"/>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Crédits immobiliers, prêts à la rénovation et financement des véhicules à moteurs pour les ménages ;</w:t>
      </w:r>
    </w:p>
    <w:p w14:paraId="67A9B480" w14:textId="77777777" w:rsidR="00582B1E" w:rsidRPr="00A52D99" w:rsidRDefault="00582B1E" w:rsidP="000B1EA8">
      <w:pPr>
        <w:pStyle w:val="Paragraphedeliste"/>
        <w:numPr>
          <w:ilvl w:val="0"/>
          <w:numId w:val="43"/>
        </w:numPr>
        <w:ind w:left="364"/>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Financement des logements et autres financements spécialisés pour les collectivités locales ;</w:t>
      </w:r>
    </w:p>
    <w:p w14:paraId="747E8AFB" w14:textId="77777777" w:rsidR="00582B1E" w:rsidRPr="00A52D99" w:rsidRDefault="00582B1E" w:rsidP="000B1EA8">
      <w:pPr>
        <w:pStyle w:val="Paragraphedeliste"/>
        <w:numPr>
          <w:ilvl w:val="0"/>
          <w:numId w:val="43"/>
        </w:numPr>
        <w:ind w:left="364"/>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Sûretés immobilières commerciales et résidentielles saisies et détenues en vue de la vente.</w:t>
      </w:r>
    </w:p>
    <w:p w14:paraId="35A6C262" w14:textId="77777777" w:rsidR="00582B1E" w:rsidRPr="00A52D99" w:rsidRDefault="00582B1E" w:rsidP="000B1EA8">
      <w:pPr>
        <w:spacing w:after="0" w:line="240" w:lineRule="auto"/>
        <w:rPr>
          <w:rFonts w:asciiTheme="minorHAnsi" w:hAnsiTheme="minorHAnsi" w:cstheme="minorHAnsi"/>
        </w:rPr>
      </w:pPr>
    </w:p>
    <w:p w14:paraId="597C058A" w14:textId="5688FE22" w:rsidR="00582B1E" w:rsidRPr="00A52D99" w:rsidRDefault="00582B1E" w:rsidP="000B1EA8">
      <w:pPr>
        <w:spacing w:after="0" w:line="240" w:lineRule="auto"/>
        <w:rPr>
          <w:rFonts w:asciiTheme="minorHAnsi" w:hAnsiTheme="minorHAnsi" w:cstheme="minorHAnsi"/>
        </w:rPr>
      </w:pPr>
      <w:r w:rsidRPr="00A52D99">
        <w:rPr>
          <w:rFonts w:asciiTheme="minorHAnsi" w:hAnsiTheme="minorHAnsi" w:cstheme="minorHAnsi"/>
        </w:rPr>
        <w:t>Par ailleurs, le CANMP a estimé les actifs éligibles envers des entreprises financières et non financières soumises à la NFRD sur la base des codes NACE retenus par la taxonomie et la zone géographique. Ces estimations ne se fondant pas sur des données publiées par les contreparties, elles ne sont pas considérées dans la part d’actifs éligibles. Le CANMP publie néanmoins la part de ces actifs éligibles de façon volontaire.</w:t>
      </w:r>
    </w:p>
    <w:p w14:paraId="05ED541B" w14:textId="77777777" w:rsidR="00582B1E" w:rsidRPr="00A52D99" w:rsidRDefault="00582B1E" w:rsidP="000B1EA8">
      <w:pPr>
        <w:spacing w:after="0" w:line="240" w:lineRule="auto"/>
        <w:rPr>
          <w:rFonts w:asciiTheme="minorHAnsi" w:hAnsiTheme="minorHAnsi" w:cstheme="minorHAnsi"/>
        </w:rPr>
      </w:pPr>
      <w:r w:rsidRPr="00A52D99">
        <w:rPr>
          <w:rFonts w:asciiTheme="minorHAnsi" w:hAnsiTheme="minorHAnsi" w:cstheme="minorHAnsi"/>
        </w:rPr>
        <w:t>Le montant d’actifs éligibles est rapporté aux actifs couverts qui correspond aux éléments ci-dessus, auxquels s’ajoutent :</w:t>
      </w:r>
    </w:p>
    <w:p w14:paraId="7CC04288" w14:textId="77777777" w:rsidR="00582B1E" w:rsidRPr="00A52D99" w:rsidRDefault="00582B1E" w:rsidP="000B1EA8">
      <w:pPr>
        <w:pStyle w:val="Paragraphedeliste"/>
        <w:numPr>
          <w:ilvl w:val="0"/>
          <w:numId w:val="43"/>
        </w:numPr>
        <w:ind w:left="350"/>
        <w:jc w:val="both"/>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Les expositions sur les entreprises non soumises à la NFRD (entreprises financières et non financières en-dehors de l’UE, petites et moyennes entreprises de l’UE en-dessous des seuils d’assujettissement) ;</w:t>
      </w:r>
    </w:p>
    <w:p w14:paraId="76C55A7B" w14:textId="77777777" w:rsidR="00582B1E" w:rsidRPr="00A52D99" w:rsidRDefault="00582B1E" w:rsidP="000B1EA8">
      <w:pPr>
        <w:pStyle w:val="Paragraphedeliste"/>
        <w:numPr>
          <w:ilvl w:val="0"/>
          <w:numId w:val="43"/>
        </w:numPr>
        <w:ind w:left="350"/>
        <w:jc w:val="both"/>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Les dérivés, les prêts interbancaires à vue, la trésorerie et équivalent trésorerie et autres actifs ;</w:t>
      </w:r>
    </w:p>
    <w:p w14:paraId="0C2D2349" w14:textId="77777777" w:rsidR="00582B1E" w:rsidRPr="00A52D99" w:rsidRDefault="00582B1E" w:rsidP="000B1EA8">
      <w:pPr>
        <w:pStyle w:val="Paragraphedeliste"/>
        <w:numPr>
          <w:ilvl w:val="0"/>
          <w:numId w:val="43"/>
        </w:numPr>
        <w:ind w:left="350"/>
        <w:jc w:val="both"/>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Les autres expositions sur les contreparties financières et non financières soumises à la NFRD et la clientèle de détail non-éligibles à la taxonomie.</w:t>
      </w:r>
    </w:p>
    <w:p w14:paraId="3AAF7213" w14:textId="5869C66B" w:rsidR="00582B1E" w:rsidRPr="00A52D99" w:rsidRDefault="00582B1E" w:rsidP="000B1EA8">
      <w:pPr>
        <w:spacing w:after="0" w:line="240" w:lineRule="auto"/>
        <w:rPr>
          <w:rFonts w:asciiTheme="minorHAnsi" w:hAnsiTheme="minorHAnsi" w:cstheme="minorHAnsi"/>
        </w:rPr>
      </w:pPr>
      <w:r w:rsidRPr="00A52D99">
        <w:rPr>
          <w:rFonts w:asciiTheme="minorHAnsi" w:hAnsiTheme="minorHAnsi" w:cstheme="minorHAnsi"/>
        </w:rPr>
        <w:t xml:space="preserve">En complément, le CANMP publie la part, dans le total d’actifs, des montants d’actifs exclus du calcul (au numérateur et au dénominateur) : </w:t>
      </w:r>
    </w:p>
    <w:p w14:paraId="77B81279" w14:textId="77777777" w:rsidR="00582B1E" w:rsidRPr="00A52D99" w:rsidRDefault="00582B1E" w:rsidP="000B1EA8">
      <w:pPr>
        <w:pStyle w:val="Paragraphedeliste"/>
        <w:numPr>
          <w:ilvl w:val="0"/>
          <w:numId w:val="44"/>
        </w:numPr>
        <w:ind w:left="364"/>
        <w:jc w:val="both"/>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Les expositions envers des administrations centrales, banques centrales, émetteurs supranationaux ;</w:t>
      </w:r>
    </w:p>
    <w:p w14:paraId="6BA9A869" w14:textId="77777777" w:rsidR="00582B1E" w:rsidRPr="00A52D99" w:rsidRDefault="00582B1E" w:rsidP="000B1EA8">
      <w:pPr>
        <w:pStyle w:val="Paragraphedeliste"/>
        <w:numPr>
          <w:ilvl w:val="0"/>
          <w:numId w:val="45"/>
        </w:numPr>
        <w:ind w:left="364"/>
        <w:jc w:val="both"/>
        <w:rPr>
          <w:rFonts w:asciiTheme="minorHAnsi" w:eastAsia="Calibri" w:hAnsiTheme="minorHAnsi" w:cstheme="minorHAnsi"/>
          <w:sz w:val="22"/>
          <w:szCs w:val="22"/>
          <w:lang w:eastAsia="en-US"/>
        </w:rPr>
      </w:pPr>
      <w:r w:rsidRPr="00A52D99">
        <w:rPr>
          <w:rFonts w:asciiTheme="minorHAnsi" w:eastAsia="Calibri" w:hAnsiTheme="minorHAnsi" w:cstheme="minorHAnsi"/>
          <w:sz w:val="22"/>
          <w:szCs w:val="22"/>
          <w:lang w:eastAsia="en-US"/>
        </w:rPr>
        <w:t xml:space="preserve">Le portefeuille de négociation. </w:t>
      </w:r>
    </w:p>
    <w:p w14:paraId="5A23FB9B" w14:textId="77777777" w:rsidR="000B1EA8" w:rsidRPr="00A52D99" w:rsidRDefault="00052133" w:rsidP="000B1EA8">
      <w:pPr>
        <w:spacing w:after="0" w:line="240" w:lineRule="auto"/>
        <w:rPr>
          <w:rFonts w:asciiTheme="minorHAnsi" w:hAnsiTheme="minorHAnsi" w:cstheme="minorHAnsi"/>
        </w:rPr>
      </w:pPr>
      <w:r w:rsidRPr="00A52D99">
        <w:rPr>
          <w:rFonts w:asciiTheme="minorHAnsi" w:hAnsiTheme="minorHAnsi" w:cstheme="minorHAnsi"/>
        </w:rPr>
        <w:t> </w:t>
      </w:r>
    </w:p>
    <w:tbl>
      <w:tblPr>
        <w:tblW w:w="10328"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7636"/>
        <w:gridCol w:w="1387"/>
        <w:gridCol w:w="1305"/>
      </w:tblGrid>
      <w:tr w:rsidR="007C60C0" w:rsidRPr="00A52D99" w14:paraId="72ECD274" w14:textId="18E3C819" w:rsidTr="007C60C0">
        <w:trPr>
          <w:trHeight w:val="240"/>
        </w:trPr>
        <w:tc>
          <w:tcPr>
            <w:tcW w:w="7636" w:type="dxa"/>
            <w:tcBorders>
              <w:top w:val="single" w:sz="8" w:space="0" w:color="A3A3A3"/>
              <w:left w:val="single" w:sz="8" w:space="0" w:color="A3A3A3"/>
              <w:bottom w:val="single" w:sz="8" w:space="0" w:color="A3A3A3"/>
              <w:right w:val="single" w:sz="8" w:space="0" w:color="A3A3A3"/>
            </w:tcBorders>
            <w:shd w:val="clear" w:color="auto" w:fill="FDE9D9" w:themeFill="accent6" w:themeFillTint="33"/>
            <w:tcMar>
              <w:top w:w="40" w:type="dxa"/>
              <w:left w:w="60" w:type="dxa"/>
              <w:bottom w:w="40" w:type="dxa"/>
              <w:right w:w="60" w:type="dxa"/>
            </w:tcMar>
            <w:vAlign w:val="center"/>
            <w:hideMark/>
          </w:tcPr>
          <w:p w14:paraId="31785E0C" w14:textId="77777777" w:rsidR="007C60C0" w:rsidRPr="00A52D99" w:rsidRDefault="007C60C0" w:rsidP="000B1EA8">
            <w:pPr>
              <w:spacing w:after="0" w:line="240" w:lineRule="auto"/>
              <w:rPr>
                <w:rFonts w:asciiTheme="minorHAnsi" w:hAnsiTheme="minorHAnsi" w:cstheme="minorHAnsi"/>
              </w:rPr>
            </w:pPr>
            <w:r w:rsidRPr="00A52D99">
              <w:rPr>
                <w:rFonts w:asciiTheme="minorHAnsi" w:hAnsiTheme="minorHAnsi" w:cstheme="minorHAnsi"/>
              </w:rPr>
              <w:t>Indicateurs intermédiaires sur la part, dans les actifs couverts, d’actifs éligibles et d’actifs non éligibles</w:t>
            </w:r>
          </w:p>
        </w:tc>
        <w:tc>
          <w:tcPr>
            <w:tcW w:w="1387" w:type="dxa"/>
            <w:tcBorders>
              <w:top w:val="single" w:sz="8" w:space="0" w:color="A3A3A3"/>
              <w:left w:val="single" w:sz="8" w:space="0" w:color="A3A3A3"/>
              <w:bottom w:val="single" w:sz="8" w:space="0" w:color="A3A3A3"/>
              <w:right w:val="single" w:sz="8" w:space="0" w:color="A3A3A3"/>
            </w:tcBorders>
            <w:shd w:val="clear" w:color="auto" w:fill="FDE9D9" w:themeFill="accent6" w:themeFillTint="33"/>
            <w:tcMar>
              <w:top w:w="40" w:type="dxa"/>
              <w:left w:w="60" w:type="dxa"/>
              <w:bottom w:w="40" w:type="dxa"/>
              <w:right w:w="60" w:type="dxa"/>
            </w:tcMar>
            <w:vAlign w:val="center"/>
            <w:hideMark/>
          </w:tcPr>
          <w:p w14:paraId="71BCCC0C" w14:textId="7A4C2CE4" w:rsidR="007C60C0" w:rsidRPr="00A52D99" w:rsidRDefault="007C60C0" w:rsidP="000B1EA8">
            <w:pPr>
              <w:spacing w:after="0" w:line="240" w:lineRule="auto"/>
              <w:jc w:val="center"/>
              <w:rPr>
                <w:rFonts w:asciiTheme="minorHAnsi" w:hAnsiTheme="minorHAnsi" w:cstheme="minorHAnsi"/>
              </w:rPr>
            </w:pPr>
            <w:r w:rsidRPr="00A52D99">
              <w:rPr>
                <w:rFonts w:asciiTheme="minorHAnsi" w:hAnsiTheme="minorHAnsi" w:cstheme="minorHAnsi"/>
              </w:rPr>
              <w:t>Ratio réglementaire</w:t>
            </w:r>
          </w:p>
        </w:tc>
        <w:tc>
          <w:tcPr>
            <w:tcW w:w="1305" w:type="dxa"/>
            <w:tcBorders>
              <w:top w:val="single" w:sz="8" w:space="0" w:color="A3A3A3"/>
              <w:left w:val="single" w:sz="8" w:space="0" w:color="A3A3A3"/>
              <w:bottom w:val="single" w:sz="8" w:space="0" w:color="A3A3A3"/>
              <w:right w:val="single" w:sz="8" w:space="0" w:color="A3A3A3"/>
            </w:tcBorders>
            <w:shd w:val="clear" w:color="auto" w:fill="FDE9D9" w:themeFill="accent6" w:themeFillTint="33"/>
          </w:tcPr>
          <w:p w14:paraId="7580165C" w14:textId="28E25CAA" w:rsidR="007C60C0" w:rsidRPr="00A52D99" w:rsidRDefault="007C60C0" w:rsidP="000B1EA8">
            <w:pPr>
              <w:spacing w:after="0" w:line="240" w:lineRule="auto"/>
              <w:jc w:val="center"/>
              <w:rPr>
                <w:rFonts w:asciiTheme="minorHAnsi" w:hAnsiTheme="minorHAnsi" w:cstheme="minorHAnsi"/>
              </w:rPr>
            </w:pPr>
            <w:r w:rsidRPr="00A52D99">
              <w:rPr>
                <w:rFonts w:asciiTheme="minorHAnsi" w:hAnsiTheme="minorHAnsi" w:cstheme="minorHAnsi"/>
              </w:rPr>
              <w:t>Ratios volontaires</w:t>
            </w:r>
          </w:p>
        </w:tc>
      </w:tr>
      <w:tr w:rsidR="007C60C0" w:rsidRPr="00A52D99" w14:paraId="4C40BA78" w14:textId="4DE6B8DD" w:rsidTr="009230B6">
        <w:trPr>
          <w:trHeight w:val="568"/>
        </w:trPr>
        <w:tc>
          <w:tcPr>
            <w:tcW w:w="763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hideMark/>
          </w:tcPr>
          <w:p w14:paraId="0252B424" w14:textId="77777777" w:rsidR="007C60C0" w:rsidRPr="00A52D99" w:rsidRDefault="007C60C0" w:rsidP="007C60C0">
            <w:pPr>
              <w:spacing w:after="0" w:line="240" w:lineRule="auto"/>
              <w:rPr>
                <w:rFonts w:asciiTheme="minorHAnsi" w:hAnsiTheme="minorHAnsi" w:cstheme="minorHAnsi"/>
              </w:rPr>
            </w:pPr>
            <w:r w:rsidRPr="00A52D99">
              <w:rPr>
                <w:rFonts w:asciiTheme="minorHAnsi" w:hAnsiTheme="minorHAnsi" w:cstheme="minorHAnsi"/>
              </w:rPr>
              <w:t>Part des expositions sur des activités éligibles à la taxonomie dans les actifs couverts</w:t>
            </w:r>
          </w:p>
        </w:tc>
        <w:tc>
          <w:tcPr>
            <w:tcW w:w="138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hideMark/>
          </w:tcPr>
          <w:p w14:paraId="39D57044" w14:textId="2FAB4F72" w:rsidR="007C60C0" w:rsidRPr="00A52D99" w:rsidRDefault="007C60C0" w:rsidP="007C60C0">
            <w:pPr>
              <w:spacing w:after="0" w:line="240" w:lineRule="auto"/>
              <w:rPr>
                <w:rFonts w:asciiTheme="minorHAnsi" w:hAnsiTheme="minorHAnsi" w:cstheme="minorHAnsi"/>
              </w:rPr>
            </w:pPr>
            <w:r w:rsidRPr="00A52D99">
              <w:rPr>
                <w:rFonts w:asciiTheme="minorHAnsi" w:hAnsiTheme="minorHAnsi" w:cstheme="minorHAnsi"/>
              </w:rPr>
              <w:t>46 %</w:t>
            </w:r>
          </w:p>
        </w:tc>
        <w:tc>
          <w:tcPr>
            <w:tcW w:w="1305" w:type="dxa"/>
            <w:tcBorders>
              <w:top w:val="single" w:sz="8" w:space="0" w:color="A3A3A3"/>
              <w:left w:val="single" w:sz="8" w:space="0" w:color="A3A3A3"/>
              <w:bottom w:val="single" w:sz="8" w:space="0" w:color="A3A3A3"/>
              <w:right w:val="single" w:sz="8" w:space="0" w:color="A3A3A3"/>
            </w:tcBorders>
            <w:vAlign w:val="center"/>
          </w:tcPr>
          <w:p w14:paraId="274ED06D" w14:textId="6D51992D" w:rsidR="007C60C0" w:rsidRPr="00A52D99" w:rsidRDefault="007C60C0" w:rsidP="007C60C0">
            <w:pPr>
              <w:spacing w:after="0" w:line="240" w:lineRule="auto"/>
              <w:rPr>
                <w:rFonts w:asciiTheme="minorHAnsi" w:hAnsiTheme="minorHAnsi" w:cstheme="minorHAnsi"/>
              </w:rPr>
            </w:pPr>
            <w:r w:rsidRPr="00A52D99">
              <w:rPr>
                <w:rFonts w:asciiTheme="minorHAnsi" w:hAnsiTheme="minorHAnsi" w:cstheme="minorHAnsi"/>
              </w:rPr>
              <w:t>65 %</w:t>
            </w:r>
          </w:p>
        </w:tc>
      </w:tr>
      <w:tr w:rsidR="007C60C0" w:rsidRPr="00A52D99" w14:paraId="64E3248B" w14:textId="159EACC8" w:rsidTr="009230B6">
        <w:trPr>
          <w:trHeight w:val="568"/>
        </w:trPr>
        <w:tc>
          <w:tcPr>
            <w:tcW w:w="7636"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6A3E6F4C" w14:textId="77777777" w:rsidR="007C60C0" w:rsidRPr="00A52D99" w:rsidRDefault="007C60C0" w:rsidP="007C60C0">
            <w:pPr>
              <w:spacing w:after="0" w:line="240" w:lineRule="auto"/>
              <w:rPr>
                <w:rFonts w:asciiTheme="minorHAnsi" w:hAnsiTheme="minorHAnsi" w:cstheme="minorHAnsi"/>
              </w:rPr>
            </w:pPr>
            <w:r w:rsidRPr="00A52D99">
              <w:rPr>
                <w:rFonts w:asciiTheme="minorHAnsi" w:hAnsiTheme="minorHAnsi" w:cstheme="minorHAnsi"/>
              </w:rPr>
              <w:t>Part des expositions sur des activités non-éligibles à la taxonomie dans les actifs couverts (expositions avec la clientèle de détail et autres expositions avec les contreparties financières et non financières soumises à la NFRD non-éligibles à la taxonomie).</w:t>
            </w:r>
          </w:p>
        </w:tc>
        <w:tc>
          <w:tcPr>
            <w:tcW w:w="138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7840B16A" w14:textId="347FFC6F" w:rsidR="007C60C0" w:rsidRPr="00A52D99" w:rsidRDefault="007C60C0" w:rsidP="007C60C0">
            <w:pPr>
              <w:spacing w:after="0" w:line="240" w:lineRule="auto"/>
              <w:rPr>
                <w:rFonts w:asciiTheme="minorHAnsi" w:hAnsiTheme="minorHAnsi" w:cstheme="minorHAnsi"/>
              </w:rPr>
            </w:pPr>
            <w:r w:rsidRPr="00A52D99">
              <w:rPr>
                <w:rFonts w:asciiTheme="minorHAnsi" w:hAnsiTheme="minorHAnsi" w:cstheme="minorHAnsi"/>
              </w:rPr>
              <w:t xml:space="preserve"> 25 %</w:t>
            </w:r>
          </w:p>
        </w:tc>
        <w:tc>
          <w:tcPr>
            <w:tcW w:w="1305" w:type="dxa"/>
            <w:tcBorders>
              <w:top w:val="single" w:sz="8" w:space="0" w:color="A3A3A3"/>
              <w:left w:val="single" w:sz="8" w:space="0" w:color="A3A3A3"/>
              <w:bottom w:val="single" w:sz="8" w:space="0" w:color="A3A3A3"/>
              <w:right w:val="single" w:sz="8" w:space="0" w:color="A3A3A3"/>
            </w:tcBorders>
            <w:vAlign w:val="center"/>
          </w:tcPr>
          <w:p w14:paraId="03573D91" w14:textId="18C32A6B" w:rsidR="007C60C0" w:rsidRPr="00A52D99" w:rsidRDefault="007C60C0" w:rsidP="007C60C0">
            <w:pPr>
              <w:spacing w:after="0" w:line="240" w:lineRule="auto"/>
              <w:rPr>
                <w:rFonts w:asciiTheme="minorHAnsi" w:hAnsiTheme="minorHAnsi" w:cstheme="minorHAnsi"/>
              </w:rPr>
            </w:pPr>
            <w:r w:rsidRPr="00A52D99">
              <w:rPr>
                <w:rFonts w:asciiTheme="minorHAnsi" w:hAnsiTheme="minorHAnsi" w:cstheme="minorHAnsi"/>
              </w:rPr>
              <w:t>7 %</w:t>
            </w:r>
          </w:p>
        </w:tc>
      </w:tr>
    </w:tbl>
    <w:p w14:paraId="78FDDE35" w14:textId="77777777" w:rsidR="000B1EA8" w:rsidRPr="00A52D99" w:rsidRDefault="000B1EA8" w:rsidP="000B1EA8">
      <w:pPr>
        <w:spacing w:after="0" w:line="240" w:lineRule="auto"/>
        <w:rPr>
          <w:rFonts w:asciiTheme="minorHAnsi" w:hAnsiTheme="minorHAnsi" w:cstheme="minorHAnsi"/>
        </w:rPr>
      </w:pPr>
    </w:p>
    <w:tbl>
      <w:tblPr>
        <w:tblW w:w="9456"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8069"/>
        <w:gridCol w:w="1387"/>
      </w:tblGrid>
      <w:tr w:rsidR="000B1EA8" w:rsidRPr="00A52D99" w14:paraId="72C18273" w14:textId="77777777" w:rsidTr="000B1EA8">
        <w:trPr>
          <w:trHeight w:val="508"/>
        </w:trPr>
        <w:tc>
          <w:tcPr>
            <w:tcW w:w="8092" w:type="dxa"/>
            <w:tcBorders>
              <w:top w:val="single" w:sz="8" w:space="0" w:color="A3A3A3"/>
              <w:left w:val="single" w:sz="8" w:space="0" w:color="A3A3A3"/>
              <w:bottom w:val="single" w:sz="8" w:space="0" w:color="A3A3A3"/>
              <w:right w:val="single" w:sz="8" w:space="0" w:color="A3A3A3"/>
            </w:tcBorders>
            <w:shd w:val="clear" w:color="auto" w:fill="FDE9D9" w:themeFill="accent6" w:themeFillTint="33"/>
            <w:tcMar>
              <w:top w:w="40" w:type="dxa"/>
              <w:left w:w="60" w:type="dxa"/>
              <w:bottom w:w="40" w:type="dxa"/>
              <w:right w:w="60" w:type="dxa"/>
            </w:tcMar>
            <w:vAlign w:val="center"/>
          </w:tcPr>
          <w:p w14:paraId="3E427ECE"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Ratios sur la part, dans le total d’actifs, des actifs exclus au numérateur des indicateurs intermédiaires</w:t>
            </w:r>
          </w:p>
        </w:tc>
        <w:tc>
          <w:tcPr>
            <w:tcW w:w="1364" w:type="dxa"/>
            <w:tcBorders>
              <w:top w:val="single" w:sz="8" w:space="0" w:color="A3A3A3"/>
              <w:left w:val="single" w:sz="8" w:space="0" w:color="A3A3A3"/>
              <w:bottom w:val="single" w:sz="8" w:space="0" w:color="A3A3A3"/>
              <w:right w:val="single" w:sz="8" w:space="0" w:color="A3A3A3"/>
            </w:tcBorders>
            <w:shd w:val="clear" w:color="auto" w:fill="FDE9D9" w:themeFill="accent6" w:themeFillTint="33"/>
            <w:tcMar>
              <w:top w:w="40" w:type="dxa"/>
              <w:left w:w="60" w:type="dxa"/>
              <w:bottom w:w="40" w:type="dxa"/>
              <w:right w:w="60" w:type="dxa"/>
            </w:tcMar>
            <w:vAlign w:val="center"/>
          </w:tcPr>
          <w:p w14:paraId="18077FE0" w14:textId="61DF819B" w:rsidR="000B1EA8" w:rsidRPr="00A52D99" w:rsidRDefault="007C60C0" w:rsidP="000B1EA8">
            <w:pPr>
              <w:spacing w:after="0" w:line="240" w:lineRule="auto"/>
              <w:jc w:val="center"/>
              <w:rPr>
                <w:rFonts w:asciiTheme="minorHAnsi" w:hAnsiTheme="minorHAnsi" w:cstheme="minorHAnsi"/>
              </w:rPr>
            </w:pPr>
            <w:r w:rsidRPr="00A52D99">
              <w:rPr>
                <w:rFonts w:asciiTheme="minorHAnsi" w:hAnsiTheme="minorHAnsi" w:cstheme="minorHAnsi"/>
              </w:rPr>
              <w:t>Ratio réglementaire</w:t>
            </w:r>
          </w:p>
        </w:tc>
      </w:tr>
      <w:tr w:rsidR="000B1EA8" w:rsidRPr="00A52D99" w14:paraId="109AAAB7" w14:textId="77777777" w:rsidTr="009230B6">
        <w:trPr>
          <w:trHeight w:val="19"/>
        </w:trPr>
        <w:tc>
          <w:tcPr>
            <w:tcW w:w="809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04B659F6"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Part de produits dérivés (portefeuille bancaire) dans le total d’actifs</w:t>
            </w:r>
          </w:p>
        </w:tc>
        <w:tc>
          <w:tcPr>
            <w:tcW w:w="136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62A5E04C" w14:textId="39554578" w:rsidR="000B1EA8" w:rsidRPr="00A52D99" w:rsidRDefault="007C60C0" w:rsidP="000B1EA8">
            <w:pPr>
              <w:spacing w:after="0" w:line="240" w:lineRule="auto"/>
              <w:rPr>
                <w:rFonts w:asciiTheme="minorHAnsi" w:hAnsiTheme="minorHAnsi" w:cstheme="minorHAnsi"/>
              </w:rPr>
            </w:pPr>
            <w:r w:rsidRPr="00A52D99">
              <w:rPr>
                <w:rFonts w:asciiTheme="minorHAnsi" w:hAnsiTheme="minorHAnsi" w:cstheme="minorHAnsi"/>
              </w:rPr>
              <w:t xml:space="preserve">0 </w:t>
            </w:r>
            <w:r w:rsidR="000B1EA8" w:rsidRPr="00A52D99">
              <w:rPr>
                <w:rFonts w:asciiTheme="minorHAnsi" w:hAnsiTheme="minorHAnsi" w:cstheme="minorHAnsi"/>
              </w:rPr>
              <w:t>%</w:t>
            </w:r>
          </w:p>
        </w:tc>
      </w:tr>
      <w:tr w:rsidR="000B1EA8" w:rsidRPr="00A52D99" w14:paraId="65C09ABC" w14:textId="77777777" w:rsidTr="009230B6">
        <w:trPr>
          <w:trHeight w:val="19"/>
        </w:trPr>
        <w:tc>
          <w:tcPr>
            <w:tcW w:w="809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1893DF90"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Part des prêts interbancaires à vue dans le total d’actifs</w:t>
            </w:r>
          </w:p>
        </w:tc>
        <w:tc>
          <w:tcPr>
            <w:tcW w:w="136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7BF449D0" w14:textId="3786C0A7" w:rsidR="000B1EA8" w:rsidRPr="00A52D99" w:rsidRDefault="007C60C0" w:rsidP="000B1EA8">
            <w:pPr>
              <w:spacing w:after="0" w:line="240" w:lineRule="auto"/>
              <w:rPr>
                <w:rFonts w:asciiTheme="minorHAnsi" w:hAnsiTheme="minorHAnsi" w:cstheme="minorHAnsi"/>
              </w:rPr>
            </w:pPr>
            <w:r w:rsidRPr="00A52D99">
              <w:rPr>
                <w:rFonts w:asciiTheme="minorHAnsi" w:hAnsiTheme="minorHAnsi" w:cstheme="minorHAnsi"/>
              </w:rPr>
              <w:t xml:space="preserve">0 </w:t>
            </w:r>
            <w:r w:rsidR="000B1EA8" w:rsidRPr="00A52D99">
              <w:rPr>
                <w:rFonts w:asciiTheme="minorHAnsi" w:hAnsiTheme="minorHAnsi" w:cstheme="minorHAnsi"/>
              </w:rPr>
              <w:t>%</w:t>
            </w:r>
          </w:p>
        </w:tc>
      </w:tr>
      <w:tr w:rsidR="000B1EA8" w:rsidRPr="00A52D99" w14:paraId="63381DB4" w14:textId="77777777" w:rsidTr="009230B6">
        <w:trPr>
          <w:trHeight w:val="19"/>
        </w:trPr>
        <w:tc>
          <w:tcPr>
            <w:tcW w:w="809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28FD06F9"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Part de trésorerie et équivalent trésorerie dans le total d’actifs</w:t>
            </w:r>
          </w:p>
        </w:tc>
        <w:tc>
          <w:tcPr>
            <w:tcW w:w="136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0E014EC9" w14:textId="48ECF17A" w:rsidR="000B1EA8" w:rsidRPr="00A52D99" w:rsidRDefault="007C60C0" w:rsidP="000B1EA8">
            <w:pPr>
              <w:spacing w:after="0" w:line="240" w:lineRule="auto"/>
              <w:rPr>
                <w:rFonts w:asciiTheme="minorHAnsi" w:hAnsiTheme="minorHAnsi" w:cstheme="minorHAnsi"/>
              </w:rPr>
            </w:pPr>
            <w:r w:rsidRPr="00A52D99">
              <w:rPr>
                <w:rFonts w:asciiTheme="minorHAnsi" w:hAnsiTheme="minorHAnsi" w:cstheme="minorHAnsi"/>
              </w:rPr>
              <w:t xml:space="preserve">9 </w:t>
            </w:r>
            <w:r w:rsidR="000B1EA8" w:rsidRPr="00A52D99">
              <w:rPr>
                <w:rFonts w:asciiTheme="minorHAnsi" w:hAnsiTheme="minorHAnsi" w:cstheme="minorHAnsi"/>
              </w:rPr>
              <w:t>%</w:t>
            </w:r>
          </w:p>
        </w:tc>
      </w:tr>
      <w:tr w:rsidR="000B1EA8" w:rsidRPr="00A52D99" w14:paraId="1FA920F6" w14:textId="77777777" w:rsidTr="009230B6">
        <w:trPr>
          <w:trHeight w:val="19"/>
        </w:trPr>
        <w:tc>
          <w:tcPr>
            <w:tcW w:w="809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7AD8746E"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Part d’autres actifs</w:t>
            </w:r>
            <w:r w:rsidRPr="00A52D99">
              <w:rPr>
                <w:rFonts w:asciiTheme="minorHAnsi" w:hAnsiTheme="minorHAnsi" w:cstheme="minorHAnsi"/>
              </w:rPr>
              <w:footnoteReference w:id="8"/>
            </w:r>
            <w:r w:rsidRPr="00A52D99">
              <w:rPr>
                <w:rFonts w:asciiTheme="minorHAnsi" w:hAnsiTheme="minorHAnsi" w:cstheme="minorHAnsi"/>
              </w:rPr>
              <w:t xml:space="preserve"> dans le total d’actifs</w:t>
            </w:r>
          </w:p>
        </w:tc>
        <w:tc>
          <w:tcPr>
            <w:tcW w:w="136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5CF78B55" w14:textId="7AC86451" w:rsidR="000B1EA8" w:rsidRPr="00A52D99" w:rsidRDefault="007C60C0" w:rsidP="000B1EA8">
            <w:pPr>
              <w:spacing w:after="0" w:line="240" w:lineRule="auto"/>
              <w:rPr>
                <w:rFonts w:asciiTheme="minorHAnsi" w:hAnsiTheme="minorHAnsi" w:cstheme="minorHAnsi"/>
              </w:rPr>
            </w:pPr>
            <w:r w:rsidRPr="00A52D99">
              <w:rPr>
                <w:rFonts w:asciiTheme="minorHAnsi" w:hAnsiTheme="minorHAnsi" w:cstheme="minorHAnsi"/>
              </w:rPr>
              <w:t xml:space="preserve">0 </w:t>
            </w:r>
            <w:r w:rsidR="000B1EA8" w:rsidRPr="00A52D99">
              <w:rPr>
                <w:rFonts w:asciiTheme="minorHAnsi" w:hAnsiTheme="minorHAnsi" w:cstheme="minorHAnsi"/>
              </w:rPr>
              <w:t>%</w:t>
            </w:r>
          </w:p>
        </w:tc>
      </w:tr>
      <w:tr w:rsidR="000B1EA8" w:rsidRPr="00A52D99" w14:paraId="02D1669D" w14:textId="77777777" w:rsidTr="009230B6">
        <w:trPr>
          <w:trHeight w:val="329"/>
        </w:trPr>
        <w:tc>
          <w:tcPr>
            <w:tcW w:w="809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3662321E"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Part d’expositions sur des entreprises qui ne sont pas tenues de publier des informations non financières dans le total d’actifs</w:t>
            </w:r>
          </w:p>
        </w:tc>
        <w:tc>
          <w:tcPr>
            <w:tcW w:w="136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70297DF0" w14:textId="75ADB504" w:rsidR="000B1EA8" w:rsidRPr="00A52D99" w:rsidRDefault="007C60C0" w:rsidP="000B1EA8">
            <w:pPr>
              <w:spacing w:after="0" w:line="240" w:lineRule="auto"/>
              <w:rPr>
                <w:rFonts w:asciiTheme="minorHAnsi" w:hAnsiTheme="minorHAnsi" w:cstheme="minorHAnsi"/>
              </w:rPr>
            </w:pPr>
            <w:r w:rsidRPr="00A52D99">
              <w:rPr>
                <w:rFonts w:asciiTheme="minorHAnsi" w:hAnsiTheme="minorHAnsi" w:cstheme="minorHAnsi"/>
              </w:rPr>
              <w:t xml:space="preserve">19 </w:t>
            </w:r>
            <w:r w:rsidR="000B1EA8" w:rsidRPr="00A52D99">
              <w:rPr>
                <w:rFonts w:asciiTheme="minorHAnsi" w:hAnsiTheme="minorHAnsi" w:cstheme="minorHAnsi"/>
              </w:rPr>
              <w:t>%</w:t>
            </w:r>
          </w:p>
        </w:tc>
      </w:tr>
    </w:tbl>
    <w:p w14:paraId="79BD28AA" w14:textId="77777777" w:rsidR="000B1EA8" w:rsidRPr="00A52D99" w:rsidRDefault="000B1EA8" w:rsidP="000B1EA8">
      <w:pPr>
        <w:spacing w:after="0" w:line="240" w:lineRule="auto"/>
        <w:rPr>
          <w:rFonts w:asciiTheme="minorHAnsi" w:hAnsiTheme="minorHAnsi" w:cstheme="minorHAnsi"/>
        </w:rPr>
      </w:pPr>
    </w:p>
    <w:tbl>
      <w:tblPr>
        <w:tblW w:w="9444"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8057"/>
        <w:gridCol w:w="1387"/>
      </w:tblGrid>
      <w:tr w:rsidR="000B1EA8" w:rsidRPr="00A52D99" w14:paraId="2702888F" w14:textId="77777777" w:rsidTr="009230B6">
        <w:trPr>
          <w:trHeight w:val="361"/>
        </w:trPr>
        <w:tc>
          <w:tcPr>
            <w:tcW w:w="8082" w:type="dxa"/>
            <w:tcBorders>
              <w:top w:val="single" w:sz="8" w:space="0" w:color="A3A3A3"/>
              <w:left w:val="single" w:sz="8" w:space="0" w:color="A3A3A3"/>
              <w:bottom w:val="single" w:sz="8" w:space="0" w:color="A3A3A3"/>
              <w:right w:val="single" w:sz="8" w:space="0" w:color="A3A3A3"/>
            </w:tcBorders>
            <w:shd w:val="clear" w:color="auto" w:fill="FDE9D9" w:themeFill="accent6" w:themeFillTint="33"/>
            <w:tcMar>
              <w:top w:w="40" w:type="dxa"/>
              <w:left w:w="60" w:type="dxa"/>
              <w:bottom w:w="40" w:type="dxa"/>
              <w:right w:w="60" w:type="dxa"/>
            </w:tcMar>
            <w:vAlign w:val="center"/>
          </w:tcPr>
          <w:p w14:paraId="68CDFDFD"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Ratios sur la part, dans le total d’actifs, des actifs exclus au numérateur et au dénominateur des indicateurs intermédiaires</w:t>
            </w:r>
          </w:p>
        </w:tc>
        <w:tc>
          <w:tcPr>
            <w:tcW w:w="1362" w:type="dxa"/>
            <w:tcBorders>
              <w:top w:val="single" w:sz="8" w:space="0" w:color="A3A3A3"/>
              <w:left w:val="single" w:sz="8" w:space="0" w:color="A3A3A3"/>
              <w:bottom w:val="single" w:sz="8" w:space="0" w:color="A3A3A3"/>
              <w:right w:val="single" w:sz="8" w:space="0" w:color="A3A3A3"/>
            </w:tcBorders>
            <w:shd w:val="clear" w:color="auto" w:fill="FDE9D9" w:themeFill="accent6" w:themeFillTint="33"/>
            <w:tcMar>
              <w:top w:w="40" w:type="dxa"/>
              <w:left w:w="60" w:type="dxa"/>
              <w:bottom w:w="40" w:type="dxa"/>
              <w:right w:w="60" w:type="dxa"/>
            </w:tcMar>
            <w:vAlign w:val="center"/>
          </w:tcPr>
          <w:p w14:paraId="4195B30B" w14:textId="10788EA1" w:rsidR="000B1EA8" w:rsidRPr="00A52D99" w:rsidRDefault="007C60C0" w:rsidP="000B1EA8">
            <w:pPr>
              <w:spacing w:after="0" w:line="240" w:lineRule="auto"/>
              <w:jc w:val="center"/>
              <w:rPr>
                <w:rFonts w:asciiTheme="minorHAnsi" w:hAnsiTheme="minorHAnsi" w:cstheme="minorHAnsi"/>
              </w:rPr>
            </w:pPr>
            <w:r w:rsidRPr="00A52D99">
              <w:rPr>
                <w:rFonts w:asciiTheme="minorHAnsi" w:hAnsiTheme="minorHAnsi" w:cstheme="minorHAnsi"/>
              </w:rPr>
              <w:t>Ratio réglementaire</w:t>
            </w:r>
          </w:p>
        </w:tc>
      </w:tr>
      <w:tr w:rsidR="000B1EA8" w:rsidRPr="00A52D99" w14:paraId="08CE4272" w14:textId="77777777" w:rsidTr="009230B6">
        <w:trPr>
          <w:trHeight w:val="19"/>
        </w:trPr>
        <w:tc>
          <w:tcPr>
            <w:tcW w:w="808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273DAE71"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Part d’expositions envers des administrations centrales, banques centrales, émetteurs supranationaux dans le total d’actifs</w:t>
            </w:r>
          </w:p>
        </w:tc>
        <w:tc>
          <w:tcPr>
            <w:tcW w:w="136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0459EC63" w14:textId="7BEB430E" w:rsidR="000B1EA8" w:rsidRPr="00A52D99" w:rsidRDefault="007C60C0" w:rsidP="000B1EA8">
            <w:pPr>
              <w:spacing w:after="0" w:line="240" w:lineRule="auto"/>
              <w:rPr>
                <w:rFonts w:asciiTheme="minorHAnsi" w:hAnsiTheme="minorHAnsi" w:cstheme="minorHAnsi"/>
              </w:rPr>
            </w:pPr>
            <w:r w:rsidRPr="00A52D99">
              <w:rPr>
                <w:rFonts w:asciiTheme="minorHAnsi" w:hAnsiTheme="minorHAnsi" w:cstheme="minorHAnsi"/>
              </w:rPr>
              <w:t xml:space="preserve"> 1 </w:t>
            </w:r>
            <w:r w:rsidR="000B1EA8" w:rsidRPr="00A52D99">
              <w:rPr>
                <w:rFonts w:asciiTheme="minorHAnsi" w:hAnsiTheme="minorHAnsi" w:cstheme="minorHAnsi"/>
              </w:rPr>
              <w:t>%</w:t>
            </w:r>
          </w:p>
        </w:tc>
      </w:tr>
      <w:tr w:rsidR="000B1EA8" w:rsidRPr="00A52D99" w14:paraId="2CAB56C6" w14:textId="77777777" w:rsidTr="009230B6">
        <w:trPr>
          <w:trHeight w:val="19"/>
        </w:trPr>
        <w:tc>
          <w:tcPr>
            <w:tcW w:w="808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6BD7D6E5" w14:textId="77777777" w:rsidR="000B1EA8" w:rsidRPr="00A52D99" w:rsidRDefault="000B1EA8" w:rsidP="000B1EA8">
            <w:pPr>
              <w:spacing w:after="0" w:line="240" w:lineRule="auto"/>
              <w:rPr>
                <w:rFonts w:asciiTheme="minorHAnsi" w:hAnsiTheme="minorHAnsi" w:cstheme="minorHAnsi"/>
              </w:rPr>
            </w:pPr>
            <w:r w:rsidRPr="00A52D99">
              <w:rPr>
                <w:rFonts w:asciiTheme="minorHAnsi" w:hAnsiTheme="minorHAnsi" w:cstheme="minorHAnsi"/>
              </w:rPr>
              <w:t>Part du portefeuille de négociation dans le total d’actifs</w:t>
            </w:r>
          </w:p>
        </w:tc>
        <w:tc>
          <w:tcPr>
            <w:tcW w:w="1362"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vAlign w:val="center"/>
          </w:tcPr>
          <w:p w14:paraId="525BF3F8" w14:textId="27AD967A" w:rsidR="000B1EA8" w:rsidRPr="00A52D99" w:rsidRDefault="007C60C0" w:rsidP="000B1EA8">
            <w:pPr>
              <w:spacing w:after="0" w:line="240" w:lineRule="auto"/>
              <w:rPr>
                <w:rFonts w:asciiTheme="minorHAnsi" w:hAnsiTheme="minorHAnsi" w:cstheme="minorHAnsi"/>
              </w:rPr>
            </w:pPr>
            <w:r w:rsidRPr="00A52D99">
              <w:rPr>
                <w:rFonts w:asciiTheme="minorHAnsi" w:hAnsiTheme="minorHAnsi" w:cstheme="minorHAnsi"/>
              </w:rPr>
              <w:t xml:space="preserve">0 </w:t>
            </w:r>
            <w:r w:rsidR="000B1EA8" w:rsidRPr="00A52D99">
              <w:rPr>
                <w:rFonts w:asciiTheme="minorHAnsi" w:hAnsiTheme="minorHAnsi" w:cstheme="minorHAnsi"/>
              </w:rPr>
              <w:t>%</w:t>
            </w:r>
          </w:p>
        </w:tc>
      </w:tr>
    </w:tbl>
    <w:p w14:paraId="57F7911F" w14:textId="77777777" w:rsidR="000B1EA8" w:rsidRPr="00A52D99" w:rsidRDefault="000B1EA8" w:rsidP="000B1EA8">
      <w:pPr>
        <w:spacing w:after="0" w:line="240" w:lineRule="auto"/>
        <w:rPr>
          <w:rFonts w:asciiTheme="minorHAnsi" w:hAnsiTheme="minorHAnsi" w:cstheme="minorHAnsi"/>
        </w:rPr>
      </w:pPr>
    </w:p>
    <w:p w14:paraId="25632997" w14:textId="77777777" w:rsidR="002413D1" w:rsidRPr="009D4CD4" w:rsidRDefault="002413D1" w:rsidP="00314B6E">
      <w:pPr>
        <w:pStyle w:val="NormalWeb"/>
        <w:spacing w:before="0" w:beforeAutospacing="0" w:after="0" w:afterAutospacing="0"/>
        <w:rPr>
          <w:rFonts w:asciiTheme="minorHAnsi" w:eastAsia="Calibri" w:hAnsiTheme="minorHAnsi" w:cstheme="minorHAnsi"/>
          <w:sz w:val="22"/>
          <w:szCs w:val="22"/>
          <w:lang w:eastAsia="en-US"/>
        </w:rPr>
      </w:pPr>
    </w:p>
    <w:p w14:paraId="657EFC7E" w14:textId="26E7C5D6" w:rsidR="00314B6E" w:rsidRPr="009D4CD4" w:rsidRDefault="006B412E" w:rsidP="003B6D4D">
      <w:pPr>
        <w:pStyle w:val="Titre3"/>
      </w:pPr>
      <w:bookmarkStart w:id="191" w:name="_Toc90557471"/>
      <w:r>
        <w:t xml:space="preserve">   </w:t>
      </w:r>
      <w:bookmarkStart w:id="192" w:name="_Toc96698069"/>
      <w:r w:rsidR="00892E68" w:rsidRPr="009D4CD4">
        <w:t xml:space="preserve">La réglementation </w:t>
      </w:r>
      <w:r w:rsidR="00314B6E" w:rsidRPr="009D4CD4">
        <w:t>SFRD (politique relative aux risques en matière de durabilité)</w:t>
      </w:r>
      <w:bookmarkEnd w:id="191"/>
      <w:bookmarkEnd w:id="192"/>
    </w:p>
    <w:p w14:paraId="046CEA50" w14:textId="77777777" w:rsidR="007753E3" w:rsidRPr="009D4CD4" w:rsidRDefault="007753E3" w:rsidP="00314B6E">
      <w:pPr>
        <w:pStyle w:val="NormalWeb"/>
        <w:spacing w:before="0" w:beforeAutospacing="0" w:after="0" w:afterAutospacing="0"/>
        <w:rPr>
          <w:rFonts w:asciiTheme="minorHAnsi" w:eastAsia="Calibri" w:hAnsiTheme="minorHAnsi" w:cstheme="minorHAnsi"/>
          <w:color w:val="FF0000"/>
          <w:sz w:val="22"/>
          <w:szCs w:val="22"/>
          <w:lang w:eastAsia="en-US"/>
        </w:rPr>
      </w:pPr>
    </w:p>
    <w:p w14:paraId="78E37E67" w14:textId="56D05E18"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Le règlement SFRD ou « Disclosure » établit pour les acteurs des marchés financiers (producteurs d’OPCVM, FIA, assurance vie, de produits de retraite ou service de gestion de portefeuille) et les conseillers financiers</w:t>
      </w:r>
      <w:r w:rsidR="00FA441D" w:rsidRPr="009D4CD4">
        <w:rPr>
          <w:rFonts w:asciiTheme="minorHAnsi" w:eastAsia="Calibri" w:hAnsiTheme="minorHAnsi" w:cstheme="minorHAnsi"/>
          <w:sz w:val="22"/>
          <w:szCs w:val="22"/>
          <w:lang w:eastAsia="en-US"/>
        </w:rPr>
        <w:t>,</w:t>
      </w:r>
      <w:r w:rsidRPr="009D4CD4">
        <w:rPr>
          <w:rFonts w:asciiTheme="minorHAnsi" w:eastAsia="Calibri" w:hAnsiTheme="minorHAnsi" w:cstheme="minorHAnsi"/>
          <w:sz w:val="22"/>
          <w:szCs w:val="22"/>
          <w:lang w:eastAsia="en-US"/>
        </w:rPr>
        <w:t xml:space="preserve"> des règles harmonisées de transparence sur : </w:t>
      </w:r>
    </w:p>
    <w:p w14:paraId="0ACB26CA" w14:textId="4D0817A3"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&gt; L’intégration des risques de durabilité et la prise en compte des incidences négatives sur la durabilité dans les processus ;</w:t>
      </w:r>
    </w:p>
    <w:p w14:paraId="29BB5100" w14:textId="6D1E98E4"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 xml:space="preserve">&gt; La fourniture d’informations en matière de durabilité en ce qui concerne les produits financiers. </w:t>
      </w:r>
    </w:p>
    <w:p w14:paraId="121F3409"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p>
    <w:p w14:paraId="5D34D488"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En réponse à la réglementation SFRD, le Groupe Crédit Agricole a défini une politique décrivant l’intégration des risques de durabilité (= matérialité financière) et des incidentes négatives sur la durabilité (= matérialité environnementale) dans le conseil en investissement et en assurances.</w:t>
      </w:r>
    </w:p>
    <w:p w14:paraId="4ECA3C8C"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p>
    <w:p w14:paraId="3F81AA37"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 xml:space="preserve">L’intégration de la durabilité dans le conseil financier : </w:t>
      </w:r>
    </w:p>
    <w:p w14:paraId="6C6BD446"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p>
    <w:p w14:paraId="7FBB6887" w14:textId="31AB275A"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 xml:space="preserve">&gt;Au niveau de la conception de ces produits, elle passe par la généralisation de la prise en compte de l’approche ESG dans tous les processus d’investissement en complément de l’analyse financière classique, ou encore par une politique de vote et d’engagement actionnarial intégrant les aspects ESG et par la fourniture aux conseillers financiers et aux clients d’informations sur la nature ESG des produits. </w:t>
      </w:r>
    </w:p>
    <w:p w14:paraId="53A600D9"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p>
    <w:p w14:paraId="227B5DC6" w14:textId="55DD0023"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&gt;Au niveau de la distribution de ces produits, elle touche aux processus, outils et compétences propres au métier de conseil financier. En particulier, l’intégration de la durabilité implique de développer l’expertise ESG des conseillers financiers afin qu’ils puissent évaluer les préférences des clients en matière de durabilité, recommander les produits adaptés, mais aussi aider les clients dans leur compréhension des risques et opportunités liés à l’ESG dans la construction de leur portefeuille.</w:t>
      </w:r>
    </w:p>
    <w:p w14:paraId="71C93FB5"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p>
    <w:p w14:paraId="509DE73B"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La principale société de gestion et la filiale d'Assurances du Groupe Crédit Agricole se sont engagées à généraliser l'approche ESG dans leurs activités</w:t>
      </w:r>
    </w:p>
    <w:p w14:paraId="54BCB29A"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p>
    <w:p w14:paraId="661C948F" w14:textId="02579FE0"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 xml:space="preserve">&gt;Amundi, principale société de gestion du Groupe, a fait, de l’investissement responsable, l’un de ses piliers fondateurs dès sa création en 2010. Pionnier dans ce domaine, le Groupe fut l’un des signataires fondateurs des Principes d’Investissement Responsable (PRI) en 2006. Amundi s’est engagée à disposer d’une notation ESG sur 100% des encours des fonds ouverts sous gestion active et à appliquer les critères ESG à l’ensemble des décisions de vote en 2021. Des informations plus détaillées, y compris la Politique d ’Investissement Responsable et la méthodologie de notation d’Amundi, sont disponibles sur le site </w:t>
      </w:r>
      <w:hyperlink r:id="rId19" w:history="1">
        <w:r w:rsidRPr="009D4CD4">
          <w:rPr>
            <w:rFonts w:asciiTheme="minorHAnsi" w:eastAsia="Calibri" w:hAnsiTheme="minorHAnsi" w:cstheme="minorHAnsi"/>
            <w:sz w:val="22"/>
            <w:szCs w:val="22"/>
            <w:lang w:eastAsia="en-US"/>
          </w:rPr>
          <w:t>www.amundi.fr</w:t>
        </w:r>
      </w:hyperlink>
      <w:r w:rsidRPr="009D4CD4">
        <w:rPr>
          <w:rFonts w:asciiTheme="minorHAnsi" w:eastAsia="Calibri" w:hAnsiTheme="minorHAnsi" w:cstheme="minorHAnsi"/>
          <w:sz w:val="22"/>
          <w:szCs w:val="22"/>
          <w:lang w:eastAsia="en-US"/>
        </w:rPr>
        <w:t>.</w:t>
      </w:r>
    </w:p>
    <w:p w14:paraId="717C3140" w14:textId="7777777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p>
    <w:p w14:paraId="447A5564" w14:textId="17BBDF64"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 xml:space="preserve">&gt;Crédit Agricole Assurances, filiale d’Assurances du Groupe, s’est, quant à elle, engagée à la généralisation des critères ESG sur les nouveaux investissements. Cela concerne les actifs en représentation des fonds euros, les fonds propres et les actifs en représentation des contrats en unités de compte. Des informations plus détaillées, y compris la politique ESG-Climat de Crédit Agricole Assurances S.A., sont disponibles sur le site </w:t>
      </w:r>
      <w:hyperlink r:id="rId20" w:history="1">
        <w:r w:rsidR="003A1EC2" w:rsidRPr="009D4CD4">
          <w:rPr>
            <w:rStyle w:val="Lienhypertexte"/>
            <w:rFonts w:asciiTheme="minorHAnsi" w:eastAsia="Calibri" w:hAnsiTheme="minorHAnsi" w:cstheme="minorHAnsi"/>
            <w:sz w:val="22"/>
            <w:szCs w:val="22"/>
            <w:lang w:eastAsia="en-US"/>
          </w:rPr>
          <w:t>www.ca-assurances.com</w:t>
        </w:r>
      </w:hyperlink>
      <w:r w:rsidRPr="009D4CD4">
        <w:rPr>
          <w:rFonts w:asciiTheme="minorHAnsi" w:eastAsia="Calibri" w:hAnsiTheme="minorHAnsi" w:cstheme="minorHAnsi"/>
          <w:sz w:val="22"/>
          <w:szCs w:val="22"/>
          <w:lang w:eastAsia="en-US"/>
        </w:rPr>
        <w:t>.</w:t>
      </w:r>
    </w:p>
    <w:p w14:paraId="047ECD8F" w14:textId="77777777" w:rsidR="003A1EC2" w:rsidRPr="009D4CD4" w:rsidRDefault="003A1EC2" w:rsidP="00314B6E">
      <w:pPr>
        <w:pStyle w:val="NormalWeb"/>
        <w:spacing w:before="0" w:beforeAutospacing="0" w:after="0" w:afterAutospacing="0"/>
        <w:rPr>
          <w:rFonts w:asciiTheme="minorHAnsi" w:eastAsia="Calibri" w:hAnsiTheme="minorHAnsi" w:cstheme="minorHAnsi"/>
          <w:sz w:val="22"/>
          <w:szCs w:val="22"/>
          <w:lang w:eastAsia="en-US"/>
        </w:rPr>
      </w:pPr>
    </w:p>
    <w:p w14:paraId="175FABAC" w14:textId="73106957"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 xml:space="preserve">Le </w:t>
      </w:r>
      <w:r w:rsidR="003A1EC2" w:rsidRPr="009D4CD4">
        <w:rPr>
          <w:rFonts w:asciiTheme="minorHAnsi" w:eastAsia="Calibri" w:hAnsiTheme="minorHAnsi" w:cstheme="minorHAnsi"/>
          <w:sz w:val="22"/>
          <w:szCs w:val="22"/>
          <w:lang w:eastAsia="en-US"/>
        </w:rPr>
        <w:t>Groupe Crédit Agricole</w:t>
      </w:r>
      <w:r w:rsidRPr="009D4CD4">
        <w:rPr>
          <w:rFonts w:asciiTheme="minorHAnsi" w:eastAsia="Calibri" w:hAnsiTheme="minorHAnsi" w:cstheme="minorHAnsi"/>
          <w:sz w:val="22"/>
          <w:szCs w:val="22"/>
          <w:lang w:eastAsia="en-US"/>
        </w:rPr>
        <w:t xml:space="preserve"> a initié une démarche d’intégration de la durabilité dans l’activité des conseillers financiers afin de contribuer à la réallocation de l’épargne vers des activités durables. Convaincu que la prise en compte des facteurs ESG a un impact positif sur la performance financière, le </w:t>
      </w:r>
      <w:r w:rsidR="003A1EC2" w:rsidRPr="009D4CD4">
        <w:rPr>
          <w:rFonts w:asciiTheme="minorHAnsi" w:eastAsia="Calibri" w:hAnsiTheme="minorHAnsi" w:cstheme="minorHAnsi"/>
          <w:sz w:val="22"/>
          <w:szCs w:val="22"/>
          <w:lang w:eastAsia="en-US"/>
        </w:rPr>
        <w:t xml:space="preserve">Groupe Crédit Agricole </w:t>
      </w:r>
      <w:r w:rsidRPr="009D4CD4">
        <w:rPr>
          <w:rFonts w:asciiTheme="minorHAnsi" w:eastAsia="Calibri" w:hAnsiTheme="minorHAnsi" w:cstheme="minorHAnsi"/>
          <w:sz w:val="22"/>
          <w:szCs w:val="22"/>
          <w:lang w:eastAsia="en-US"/>
        </w:rPr>
        <w:t xml:space="preserve">distribue des produits financiers présentant des caractéristiques environnementales ou sociales, ou visant des objectifs de durabilité.  </w:t>
      </w:r>
    </w:p>
    <w:p w14:paraId="417A84A3" w14:textId="67609663" w:rsidR="00314B6E" w:rsidRPr="009D4CD4" w:rsidRDefault="00314B6E" w:rsidP="00314B6E">
      <w:pPr>
        <w:pStyle w:val="NormalWeb"/>
        <w:spacing w:before="0" w:beforeAutospacing="0" w:after="0" w:afterAutospacing="0"/>
        <w:rPr>
          <w:rFonts w:asciiTheme="minorHAnsi" w:eastAsia="Calibri" w:hAnsiTheme="minorHAnsi" w:cstheme="minorHAnsi"/>
          <w:sz w:val="22"/>
          <w:szCs w:val="22"/>
          <w:lang w:eastAsia="en-US"/>
        </w:rPr>
      </w:pPr>
      <w:r w:rsidRPr="009D4CD4">
        <w:rPr>
          <w:rFonts w:asciiTheme="minorHAnsi" w:eastAsia="Calibri" w:hAnsiTheme="minorHAnsi" w:cstheme="minorHAnsi"/>
          <w:sz w:val="22"/>
          <w:szCs w:val="22"/>
          <w:lang w:eastAsia="en-US"/>
        </w:rPr>
        <w:t>Les conseillers financiers disposent des informations requises pour proposer ces produits au</w:t>
      </w:r>
      <w:r w:rsidR="006B412E">
        <w:rPr>
          <w:rFonts w:asciiTheme="minorHAnsi" w:eastAsia="Calibri" w:hAnsiTheme="minorHAnsi" w:cstheme="minorHAnsi"/>
          <w:sz w:val="22"/>
          <w:szCs w:val="22"/>
          <w:lang w:eastAsia="en-US"/>
        </w:rPr>
        <w:t>x</w:t>
      </w:r>
      <w:r w:rsidRPr="009D4CD4">
        <w:rPr>
          <w:rFonts w:asciiTheme="minorHAnsi" w:eastAsia="Calibri" w:hAnsiTheme="minorHAnsi" w:cstheme="minorHAnsi"/>
          <w:sz w:val="22"/>
          <w:szCs w:val="22"/>
          <w:lang w:eastAsia="en-US"/>
        </w:rPr>
        <w:t xml:space="preserve"> client</w:t>
      </w:r>
      <w:r w:rsidR="006B412E">
        <w:rPr>
          <w:rFonts w:asciiTheme="minorHAnsi" w:eastAsia="Calibri" w:hAnsiTheme="minorHAnsi" w:cstheme="minorHAnsi"/>
          <w:sz w:val="22"/>
          <w:szCs w:val="22"/>
          <w:lang w:eastAsia="en-US"/>
        </w:rPr>
        <w:t>s</w:t>
      </w:r>
      <w:r w:rsidRPr="009D4CD4">
        <w:rPr>
          <w:rFonts w:asciiTheme="minorHAnsi" w:eastAsia="Calibri" w:hAnsiTheme="minorHAnsi" w:cstheme="minorHAnsi"/>
          <w:sz w:val="22"/>
          <w:szCs w:val="22"/>
          <w:lang w:eastAsia="en-US"/>
        </w:rPr>
        <w:t xml:space="preserve"> au travers de documentations et supports pédagogique</w:t>
      </w:r>
      <w:r w:rsidR="006B412E">
        <w:rPr>
          <w:rFonts w:asciiTheme="minorHAnsi" w:eastAsia="Calibri" w:hAnsiTheme="minorHAnsi" w:cstheme="minorHAnsi"/>
          <w:sz w:val="22"/>
          <w:szCs w:val="22"/>
          <w:lang w:eastAsia="en-US"/>
        </w:rPr>
        <w:t>s adaptés et de sensibilisation réalisée</w:t>
      </w:r>
      <w:r w:rsidRPr="009D4CD4">
        <w:rPr>
          <w:rFonts w:asciiTheme="minorHAnsi" w:eastAsia="Calibri" w:hAnsiTheme="minorHAnsi" w:cstheme="minorHAnsi"/>
          <w:sz w:val="22"/>
          <w:szCs w:val="22"/>
          <w:lang w:eastAsia="en-US"/>
        </w:rPr>
        <w:t xml:space="preserve"> au moment du lan</w:t>
      </w:r>
      <w:r w:rsidR="003A1EC2" w:rsidRPr="009D4CD4">
        <w:rPr>
          <w:rFonts w:asciiTheme="minorHAnsi" w:eastAsia="Calibri" w:hAnsiTheme="minorHAnsi" w:cstheme="minorHAnsi"/>
          <w:sz w:val="22"/>
          <w:szCs w:val="22"/>
          <w:lang w:eastAsia="en-US"/>
        </w:rPr>
        <w:t>cement de ces nouveaux produits</w:t>
      </w:r>
      <w:r w:rsidRPr="009D4CD4">
        <w:rPr>
          <w:rFonts w:asciiTheme="minorHAnsi" w:eastAsia="Calibri" w:hAnsiTheme="minorHAnsi" w:cstheme="minorHAnsi"/>
          <w:sz w:val="22"/>
          <w:szCs w:val="22"/>
          <w:lang w:eastAsia="en-US"/>
        </w:rPr>
        <w:t>.</w:t>
      </w:r>
    </w:p>
    <w:p w14:paraId="774D792A" w14:textId="579AD044" w:rsidR="00AF5382" w:rsidRPr="009D4CD4" w:rsidRDefault="00AF5382">
      <w:pPr>
        <w:spacing w:after="0" w:line="240" w:lineRule="auto"/>
        <w:jc w:val="left"/>
      </w:pPr>
      <w:r w:rsidRPr="009D4CD4">
        <w:br w:type="page"/>
      </w:r>
    </w:p>
    <w:p w14:paraId="722E263C" w14:textId="5AE866E7" w:rsidR="00B72A61" w:rsidRPr="009D4CD4" w:rsidRDefault="00B72A61" w:rsidP="00AC7865">
      <w:pPr>
        <w:pStyle w:val="Titre1"/>
      </w:pPr>
      <w:bookmarkStart w:id="193" w:name="_Toc32416053"/>
      <w:bookmarkStart w:id="194" w:name="_Toc59444729"/>
      <w:bookmarkStart w:id="195" w:name="_Toc96698070"/>
      <w:r w:rsidRPr="009D4CD4">
        <w:t>Annexe : note méthodologique</w:t>
      </w:r>
      <w:bookmarkEnd w:id="193"/>
      <w:bookmarkEnd w:id="194"/>
      <w:bookmarkEnd w:id="195"/>
    </w:p>
    <w:p w14:paraId="6F7DADE0" w14:textId="77777777" w:rsidR="00B72A61" w:rsidRPr="009D4CD4" w:rsidRDefault="00B72A61" w:rsidP="00B72A61">
      <w:pPr>
        <w:spacing w:after="0" w:line="240" w:lineRule="auto"/>
        <w:jc w:val="left"/>
        <w:rPr>
          <w:rFonts w:cs="Arial"/>
          <w:bCs/>
          <w:u w:val="single"/>
        </w:rPr>
      </w:pPr>
    </w:p>
    <w:p w14:paraId="48A650C6" w14:textId="77777777" w:rsidR="00357554" w:rsidRPr="009D4CD4" w:rsidRDefault="00357554" w:rsidP="00357554">
      <w:pPr>
        <w:spacing w:after="0" w:line="240" w:lineRule="auto"/>
        <w:jc w:val="left"/>
        <w:rPr>
          <w:rFonts w:cs="Arial"/>
          <w:bCs/>
          <w:u w:val="single"/>
        </w:rPr>
      </w:pPr>
      <w:r w:rsidRPr="009D4CD4">
        <w:rPr>
          <w:rFonts w:cs="Arial"/>
          <w:bCs/>
          <w:u w:val="single"/>
        </w:rPr>
        <w:t>Contenu de la Déclaration de performance extra financière (DPEF)</w:t>
      </w:r>
    </w:p>
    <w:p w14:paraId="2F758FDA" w14:textId="77777777" w:rsidR="00357554" w:rsidRPr="009D4CD4" w:rsidRDefault="00357554" w:rsidP="00357554">
      <w:pPr>
        <w:spacing w:after="0" w:line="240" w:lineRule="auto"/>
        <w:jc w:val="left"/>
        <w:rPr>
          <w:rFonts w:cs="Arial"/>
        </w:rPr>
      </w:pPr>
      <w:r w:rsidRPr="009D4CD4">
        <w:t>La DPEF résulte des dispositions du d</w:t>
      </w:r>
      <w:r w:rsidRPr="009D4CD4">
        <w:rPr>
          <w:bCs/>
        </w:rPr>
        <w:t>écret n° 2017-1265 du 9 août 2017 pris pour l'application de l'ordonnance 2017-1180 du 19 juillet 2017 relative à la publication d'informations non financières par certaines grandes entreprises et certains groupes d'entreprises.</w:t>
      </w:r>
    </w:p>
    <w:p w14:paraId="4C1C6274" w14:textId="77777777" w:rsidR="00357554" w:rsidRPr="009D4CD4" w:rsidRDefault="00357554" w:rsidP="00357554">
      <w:pPr>
        <w:spacing w:after="0" w:line="240" w:lineRule="auto"/>
        <w:jc w:val="left"/>
        <w:rPr>
          <w:rFonts w:cs="Arial"/>
        </w:rPr>
      </w:pPr>
      <w:r w:rsidRPr="009D4CD4">
        <w:rPr>
          <w:rFonts w:cs="Arial"/>
        </w:rPr>
        <w:t>Outre le modèle d’affaires de la société, la DPEF présente une description des principaux risques liés à l'activité de la société ou de l'ensemble de sociétés y compris, lorsque cela s'avère pertinent et proportionné, les risques créés par ses relations d'affaires, ses produits ou ses services ; une description des politiques appliquées par la société ou l'ensemble de sociétés incluant, le cas échéant, les procédures de diligence raisonnable mises en œuvre pour prévenir, identifier et atténuer la survenance des risques ; les résultats de ces politiques, incluant des indicateurs clés de performance.</w:t>
      </w:r>
    </w:p>
    <w:p w14:paraId="77F9E82F" w14:textId="77777777" w:rsidR="00357554" w:rsidRPr="009D4CD4" w:rsidRDefault="00357554" w:rsidP="00357554">
      <w:pPr>
        <w:spacing w:after="0" w:line="240" w:lineRule="auto"/>
        <w:jc w:val="left"/>
        <w:rPr>
          <w:rFonts w:cs="Arial"/>
        </w:rPr>
      </w:pPr>
    </w:p>
    <w:p w14:paraId="494D506E" w14:textId="77777777" w:rsidR="00357554" w:rsidRPr="009D4CD4" w:rsidRDefault="00357554" w:rsidP="00357554">
      <w:pPr>
        <w:spacing w:after="0" w:line="240" w:lineRule="auto"/>
        <w:jc w:val="left"/>
        <w:rPr>
          <w:rFonts w:cs="Arial"/>
        </w:rPr>
      </w:pPr>
    </w:p>
    <w:p w14:paraId="36136174" w14:textId="77777777" w:rsidR="00357554" w:rsidRPr="009D4CD4" w:rsidRDefault="00357554" w:rsidP="00357554">
      <w:pPr>
        <w:spacing w:after="0" w:line="240" w:lineRule="auto"/>
        <w:jc w:val="left"/>
        <w:rPr>
          <w:rFonts w:cs="Arial"/>
          <w:bCs/>
          <w:u w:val="single"/>
        </w:rPr>
      </w:pPr>
      <w:bookmarkStart w:id="196" w:name="_Toc48655102"/>
      <w:r w:rsidRPr="009D4CD4">
        <w:rPr>
          <w:rFonts w:cs="Arial"/>
          <w:bCs/>
          <w:u w:val="single"/>
        </w:rPr>
        <w:t>Collecte des données extra financières</w:t>
      </w:r>
      <w:bookmarkEnd w:id="196"/>
    </w:p>
    <w:p w14:paraId="1636D62D" w14:textId="3A8EF874" w:rsidR="00357554" w:rsidRPr="009D4CD4" w:rsidRDefault="00357554" w:rsidP="00F1372E">
      <w:pPr>
        <w:spacing w:after="0" w:line="240" w:lineRule="auto"/>
        <w:jc w:val="left"/>
        <w:rPr>
          <w:rFonts w:cs="Arial"/>
        </w:rPr>
      </w:pPr>
      <w:r w:rsidRPr="009D4CD4">
        <w:rPr>
          <w:rFonts w:cs="Arial"/>
        </w:rPr>
        <w:t xml:space="preserve">Les données extra financières sont établies sur </w:t>
      </w:r>
      <w:r w:rsidR="00AF7D2C" w:rsidRPr="009D4CD4">
        <w:rPr>
          <w:rFonts w:cs="Arial"/>
        </w:rPr>
        <w:t xml:space="preserve">une base intégrant : 1/ la </w:t>
      </w:r>
      <w:r w:rsidR="00A7717F">
        <w:rPr>
          <w:rFonts w:cs="Arial"/>
        </w:rPr>
        <w:t>Caisse Régionale</w:t>
      </w:r>
      <w:r w:rsidR="00AF7D2C" w:rsidRPr="009D4CD4">
        <w:rPr>
          <w:rFonts w:cs="Arial"/>
        </w:rPr>
        <w:t xml:space="preserve"> 2/ les Caisses locales affiliées à la </w:t>
      </w:r>
      <w:r w:rsidR="00A7717F">
        <w:rPr>
          <w:rFonts w:cs="Arial"/>
        </w:rPr>
        <w:t>Caisse Régionale</w:t>
      </w:r>
      <w:r w:rsidR="00AF7D2C" w:rsidRPr="009D4CD4">
        <w:rPr>
          <w:rFonts w:cs="Arial"/>
        </w:rPr>
        <w:t xml:space="preserve">, 3/ </w:t>
      </w:r>
      <w:r w:rsidR="0056066B" w:rsidRPr="009D4CD4">
        <w:rPr>
          <w:rFonts w:cs="Arial"/>
        </w:rPr>
        <w:t>les</w:t>
      </w:r>
      <w:r w:rsidRPr="009D4CD4">
        <w:t xml:space="preserve"> </w:t>
      </w:r>
      <w:r w:rsidR="001215C6" w:rsidRPr="009D4CD4">
        <w:t>filiales</w:t>
      </w:r>
      <w:r w:rsidRPr="009D4CD4">
        <w:t xml:space="preserve"> Edokial</w:t>
      </w:r>
      <w:r w:rsidR="001215C6" w:rsidRPr="009D4CD4">
        <w:t xml:space="preserve"> et Inforsud Technologies</w:t>
      </w:r>
      <w:r w:rsidRPr="009D4CD4">
        <w:t xml:space="preserve">. </w:t>
      </w:r>
      <w:r w:rsidR="001215C6" w:rsidRPr="009D4CD4">
        <w:rPr>
          <w:rFonts w:cs="Arial"/>
        </w:rPr>
        <w:t xml:space="preserve">Les autres filiales de la </w:t>
      </w:r>
      <w:r w:rsidR="00A7717F">
        <w:rPr>
          <w:rFonts w:cs="Arial"/>
        </w:rPr>
        <w:t>Caisse Régionale</w:t>
      </w:r>
      <w:r w:rsidR="0056066B" w:rsidRPr="009D4CD4">
        <w:rPr>
          <w:rFonts w:cs="Arial"/>
        </w:rPr>
        <w:t xml:space="preserve"> </w:t>
      </w:r>
      <w:r w:rsidRPr="009D4CD4">
        <w:rPr>
          <w:rFonts w:cs="Arial"/>
        </w:rPr>
        <w:t>ne sont pas intégrées au périmètre de reporting RSE en raison du caractère non significatif de leur activité sur les indicateurs RSE.</w:t>
      </w:r>
      <w:r w:rsidRPr="009D4CD4">
        <w:rPr>
          <w:rFonts w:cs="Arial"/>
        </w:rPr>
        <w:br/>
        <w:t>Les données extra financières collectées porte</w:t>
      </w:r>
      <w:r w:rsidRPr="009D4CD4">
        <w:rPr>
          <w:rFonts w:cs="Arial"/>
          <w:bCs/>
        </w:rPr>
        <w:t>nt</w:t>
      </w:r>
      <w:r w:rsidRPr="009D4CD4">
        <w:rPr>
          <w:rFonts w:cs="Arial"/>
        </w:rPr>
        <w:t xml:space="preserve"> sur l’année civile complète, soit du 1</w:t>
      </w:r>
      <w:r w:rsidRPr="009D4CD4">
        <w:rPr>
          <w:rFonts w:cs="Arial"/>
          <w:vertAlign w:val="superscript"/>
        </w:rPr>
        <w:t>er</w:t>
      </w:r>
      <w:r w:rsidRPr="009D4CD4">
        <w:rPr>
          <w:rFonts w:cs="Arial"/>
        </w:rPr>
        <w:t xml:space="preserve"> janvier au 31 décembre. Par exception, les données peuvent toutefois porter sur une période de 12 mois ne commençant pas au 1er janvier.</w:t>
      </w:r>
      <w:r w:rsidRPr="009D4CD4">
        <w:rPr>
          <w:rFonts w:cs="Arial"/>
        </w:rPr>
        <w:br/>
      </w:r>
    </w:p>
    <w:p w14:paraId="50C334D8" w14:textId="77777777" w:rsidR="00B72A61" w:rsidRPr="009D4CD4" w:rsidRDefault="00B72A61" w:rsidP="00357554">
      <w:pPr>
        <w:spacing w:after="0" w:line="240" w:lineRule="auto"/>
        <w:jc w:val="left"/>
        <w:rPr>
          <w:rFonts w:cs="Arial"/>
        </w:rPr>
      </w:pPr>
    </w:p>
    <w:p w14:paraId="6BCF1AA8" w14:textId="3729FB83" w:rsidR="00B72A61" w:rsidRPr="009D4CD4" w:rsidRDefault="00B72A61" w:rsidP="00B72A61">
      <w:pPr>
        <w:spacing w:after="0" w:line="240" w:lineRule="auto"/>
        <w:jc w:val="left"/>
        <w:rPr>
          <w:rFonts w:cs="Arial"/>
          <w:u w:val="single"/>
        </w:rPr>
      </w:pPr>
      <w:r w:rsidRPr="009D4CD4">
        <w:rPr>
          <w:rFonts w:cs="Arial"/>
          <w:u w:val="single"/>
        </w:rPr>
        <w:t>Interlocuteurs et rôles</w:t>
      </w:r>
    </w:p>
    <w:p w14:paraId="033E9738" w14:textId="134ABB61" w:rsidR="00357554" w:rsidRPr="009D4CD4" w:rsidRDefault="00357554" w:rsidP="00357554">
      <w:pPr>
        <w:spacing w:after="0" w:line="240" w:lineRule="auto"/>
        <w:rPr>
          <w:rFonts w:cs="Arial"/>
        </w:rPr>
      </w:pPr>
      <w:r w:rsidRPr="009D4CD4">
        <w:rPr>
          <w:rFonts w:cs="Arial"/>
        </w:rPr>
        <w:t xml:space="preserve">Le coordinateur du processus de collecte des données extra-financières est le responsable du Service </w:t>
      </w:r>
      <w:r w:rsidR="0056066B" w:rsidRPr="009D4CD4">
        <w:rPr>
          <w:rFonts w:cs="Arial"/>
        </w:rPr>
        <w:t>Développement Durable</w:t>
      </w:r>
      <w:r w:rsidRPr="009D4CD4">
        <w:rPr>
          <w:rFonts w:cs="Arial"/>
        </w:rPr>
        <w:t xml:space="preserve">. Il est le correspondant du Contrôle de gestion, responsable de l'intégration des données au Rapport de gestion de la </w:t>
      </w:r>
      <w:r w:rsidR="00A7717F">
        <w:rPr>
          <w:rFonts w:cs="Arial"/>
        </w:rPr>
        <w:t>Caisse Régionale</w:t>
      </w:r>
      <w:r w:rsidRPr="009D4CD4">
        <w:rPr>
          <w:rFonts w:cs="Arial"/>
        </w:rPr>
        <w:t>. Il e</w:t>
      </w:r>
      <w:r w:rsidR="0056066B" w:rsidRPr="009D4CD4">
        <w:rPr>
          <w:rFonts w:cs="Arial"/>
        </w:rPr>
        <w:t>st l'interlocuteur auprès de l'O</w:t>
      </w:r>
      <w:r w:rsidRPr="009D4CD4">
        <w:rPr>
          <w:rFonts w:cs="Arial"/>
        </w:rPr>
        <w:t xml:space="preserve">rganisme </w:t>
      </w:r>
      <w:r w:rsidR="00F1372E" w:rsidRPr="009D4CD4">
        <w:rPr>
          <w:rFonts w:cs="Arial"/>
        </w:rPr>
        <w:t xml:space="preserve">tiers indépendant, </w:t>
      </w:r>
      <w:r w:rsidRPr="009D4CD4">
        <w:rPr>
          <w:rFonts w:cs="Arial"/>
        </w:rPr>
        <w:t xml:space="preserve">chargé de la vérification des données. Le coordinateur assure les fonctions de collecte des données auprès des services et </w:t>
      </w:r>
      <w:r w:rsidR="0056066B" w:rsidRPr="009D4CD4">
        <w:rPr>
          <w:rFonts w:cs="Arial"/>
        </w:rPr>
        <w:t xml:space="preserve">des entreprises Edokial et </w:t>
      </w:r>
      <w:r w:rsidR="001215C6" w:rsidRPr="009D4CD4">
        <w:rPr>
          <w:rFonts w:cs="Arial"/>
        </w:rPr>
        <w:t>Inforsud Technologie</w:t>
      </w:r>
      <w:r w:rsidR="0056066B" w:rsidRPr="009D4CD4">
        <w:rPr>
          <w:rFonts w:cs="Arial"/>
        </w:rPr>
        <w:t>s</w:t>
      </w:r>
      <w:r w:rsidRPr="009D4CD4">
        <w:rPr>
          <w:rFonts w:cs="Arial"/>
        </w:rPr>
        <w:t>, du contrôle de cohérence de second niveau, et d'intégration à la DPEF. Il prend en charge la rédaction et la mise en page du rapport.</w:t>
      </w:r>
    </w:p>
    <w:p w14:paraId="005BC915" w14:textId="77777777" w:rsidR="00357554" w:rsidRPr="009D4CD4" w:rsidRDefault="00357554" w:rsidP="00357554">
      <w:pPr>
        <w:spacing w:after="0" w:line="240" w:lineRule="auto"/>
        <w:rPr>
          <w:rFonts w:cs="Arial"/>
        </w:rPr>
      </w:pPr>
      <w:r w:rsidRPr="009D4CD4">
        <w:rPr>
          <w:rFonts w:cs="Arial"/>
        </w:rPr>
        <w:t>Les Responsables de service garantissent la production des données, s’assurent de leur fiabilité, et effectuent les contrôles de cohérence de premier niveau. Les Directeurs sont responsables de la qualité des données RSE relevant de leur domaine de compétence. A ce titre, ils valident la DPEF avant intégration au Rapport de gestion.</w:t>
      </w:r>
    </w:p>
    <w:p w14:paraId="40B3A802" w14:textId="77777777" w:rsidR="00B72A61" w:rsidRPr="009D4CD4" w:rsidRDefault="00B72A61" w:rsidP="00B72A61">
      <w:pPr>
        <w:spacing w:after="0" w:line="240" w:lineRule="auto"/>
        <w:jc w:val="left"/>
        <w:rPr>
          <w:rFonts w:cs="Arial"/>
          <w:u w:val="single"/>
        </w:rPr>
      </w:pPr>
    </w:p>
    <w:p w14:paraId="47412413" w14:textId="77777777" w:rsidR="00357554" w:rsidRPr="009D4CD4" w:rsidRDefault="00357554" w:rsidP="00357554">
      <w:pPr>
        <w:spacing w:after="0" w:line="240" w:lineRule="auto"/>
        <w:jc w:val="left"/>
        <w:rPr>
          <w:rFonts w:cs="Arial"/>
          <w:u w:val="single"/>
        </w:rPr>
      </w:pPr>
      <w:r w:rsidRPr="009D4CD4">
        <w:rPr>
          <w:rFonts w:cs="Arial"/>
          <w:u w:val="single"/>
        </w:rPr>
        <w:t>Vérification et traçabilité des données</w:t>
      </w:r>
    </w:p>
    <w:p w14:paraId="2911D474" w14:textId="4EF42D41" w:rsidR="00357554" w:rsidRPr="009D4CD4" w:rsidRDefault="00357554" w:rsidP="00357554">
      <w:pPr>
        <w:spacing w:after="0" w:line="240" w:lineRule="auto"/>
        <w:jc w:val="left"/>
        <w:rPr>
          <w:rFonts w:cs="Arial"/>
        </w:rPr>
      </w:pPr>
      <w:r w:rsidRPr="009D4CD4">
        <w:rPr>
          <w:rFonts w:cs="Arial"/>
        </w:rPr>
        <w:t>Conformément à l’article L225-102-1 du Code du Commerce, les informations figurant dans la DPEF font l’o</w:t>
      </w:r>
      <w:r w:rsidR="001215C6" w:rsidRPr="009D4CD4">
        <w:rPr>
          <w:rFonts w:cs="Arial"/>
        </w:rPr>
        <w:t>bjet d’une vérification par un O</w:t>
      </w:r>
      <w:r w:rsidRPr="009D4CD4">
        <w:rPr>
          <w:rFonts w:cs="Arial"/>
        </w:rPr>
        <w:t>rganisme tiers indépendant. Selon l’article R225-105-2, le rapport de cet organisme comprend :</w:t>
      </w:r>
      <w:r w:rsidRPr="009D4CD4">
        <w:rPr>
          <w:rFonts w:cs="Arial"/>
        </w:rPr>
        <w:br/>
        <w:t>a) Un avis motivé sur la conformité de la déclaration, ainsi que sur la sincérité des informations fournies; </w:t>
      </w:r>
      <w:r w:rsidRPr="009D4CD4">
        <w:rPr>
          <w:rFonts w:cs="Arial"/>
        </w:rPr>
        <w:br/>
        <w:t>b) Les diligences qu'il a mises en œuvre pour conduire sa mission de vérification. </w:t>
      </w:r>
    </w:p>
    <w:p w14:paraId="2C104108" w14:textId="77777777" w:rsidR="00357554" w:rsidRPr="009D4CD4" w:rsidRDefault="00357554" w:rsidP="00B72A61">
      <w:pPr>
        <w:spacing w:after="0" w:line="240" w:lineRule="auto"/>
        <w:jc w:val="left"/>
        <w:rPr>
          <w:rFonts w:cs="Arial"/>
          <w:u w:val="single"/>
        </w:rPr>
      </w:pPr>
    </w:p>
    <w:p w14:paraId="069B900C" w14:textId="77777777" w:rsidR="00B72A61" w:rsidRPr="009D4CD4" w:rsidRDefault="00B72A61" w:rsidP="00B72A61">
      <w:pPr>
        <w:spacing w:after="0" w:line="240" w:lineRule="auto"/>
        <w:jc w:val="left"/>
        <w:rPr>
          <w:rFonts w:asciiTheme="minorHAnsi" w:hAnsiTheme="minorHAnsi"/>
          <w:u w:val="single"/>
        </w:rPr>
      </w:pPr>
      <w:r w:rsidRPr="009D4CD4">
        <w:rPr>
          <w:rFonts w:asciiTheme="minorHAnsi" w:hAnsiTheme="minorHAnsi"/>
          <w:u w:val="single"/>
        </w:rPr>
        <w:t>Méthodologie d’identification des principaux risques extra – financiers</w:t>
      </w:r>
    </w:p>
    <w:p w14:paraId="18F1E26C" w14:textId="77777777" w:rsidR="00B72A61" w:rsidRPr="009D4CD4" w:rsidRDefault="00B72A61" w:rsidP="00B72A61">
      <w:pPr>
        <w:spacing w:after="0" w:line="240" w:lineRule="auto"/>
        <w:jc w:val="left"/>
        <w:rPr>
          <w:rFonts w:asciiTheme="minorHAnsi" w:hAnsiTheme="minorHAnsi"/>
          <w:u w:val="single"/>
        </w:rPr>
      </w:pPr>
    </w:p>
    <w:p w14:paraId="1287F658" w14:textId="77777777" w:rsidR="00B72A61" w:rsidRPr="009D4CD4" w:rsidRDefault="00B72A61" w:rsidP="00B72A61">
      <w:pPr>
        <w:spacing w:after="0" w:line="240" w:lineRule="auto"/>
        <w:jc w:val="left"/>
        <w:rPr>
          <w:i/>
        </w:rPr>
      </w:pPr>
      <w:r w:rsidRPr="009D4CD4">
        <w:rPr>
          <w:rFonts w:asciiTheme="minorHAnsi" w:hAnsiTheme="minorHAnsi"/>
          <w:i/>
        </w:rPr>
        <w:t>1- Liste des enjeux RSE</w:t>
      </w:r>
      <w:r w:rsidRPr="009D4CD4">
        <w:rPr>
          <w:rFonts w:asciiTheme="minorHAnsi" w:hAnsiTheme="minorHAnsi"/>
          <w:i/>
        </w:rPr>
        <w:br/>
      </w:r>
    </w:p>
    <w:p w14:paraId="05024EC9" w14:textId="7C0DD9E6" w:rsidR="00B72A61" w:rsidRPr="009D4CD4" w:rsidRDefault="00B72A61" w:rsidP="00B72A61">
      <w:pPr>
        <w:spacing w:after="0" w:line="240" w:lineRule="auto"/>
        <w:jc w:val="left"/>
        <w:rPr>
          <w:rFonts w:asciiTheme="minorHAnsi" w:hAnsiTheme="minorHAnsi"/>
        </w:rPr>
      </w:pPr>
      <w:r w:rsidRPr="009D4CD4">
        <w:rPr>
          <w:rFonts w:asciiTheme="minorHAnsi" w:hAnsiTheme="minorHAnsi"/>
        </w:rPr>
        <w:t xml:space="preserve">L’établissement des principaux risques RSE a été conduit dans le cadre d’une réflexion conduite par le Comité de direction </w:t>
      </w:r>
      <w:r w:rsidR="00EF001F" w:rsidRPr="009D4CD4">
        <w:rPr>
          <w:rFonts w:asciiTheme="minorHAnsi" w:hAnsiTheme="minorHAnsi"/>
        </w:rPr>
        <w:t xml:space="preserve">de la </w:t>
      </w:r>
      <w:r w:rsidR="00A7717F">
        <w:rPr>
          <w:rFonts w:asciiTheme="minorHAnsi" w:hAnsiTheme="minorHAnsi"/>
        </w:rPr>
        <w:t>Caisse Régionale</w:t>
      </w:r>
      <w:r w:rsidRPr="009D4CD4">
        <w:rPr>
          <w:rFonts w:asciiTheme="minorHAnsi" w:hAnsiTheme="minorHAnsi"/>
        </w:rPr>
        <w:t xml:space="preserve"> visant à déterminer les principaux enjeux RSE. Le résultat de cette réflexion a conduit la </w:t>
      </w:r>
      <w:r w:rsidR="00A7717F">
        <w:rPr>
          <w:rFonts w:asciiTheme="minorHAnsi" w:hAnsiTheme="minorHAnsi"/>
        </w:rPr>
        <w:t>Caisse Régionale</w:t>
      </w:r>
      <w:r w:rsidRPr="009D4CD4">
        <w:rPr>
          <w:rFonts w:asciiTheme="minorHAnsi" w:hAnsiTheme="minorHAnsi"/>
        </w:rPr>
        <w:t xml:space="preserve"> à partager en interne puis mettre en ligne sur ca-nmp.fr une Charte de 8 engagements RSE assortie d’indicateurs.</w:t>
      </w:r>
    </w:p>
    <w:p w14:paraId="44952D11" w14:textId="77777777" w:rsidR="00B72A61" w:rsidRPr="009D4CD4" w:rsidRDefault="00B72A61" w:rsidP="00B72A61">
      <w:pPr>
        <w:spacing w:after="0" w:line="240" w:lineRule="auto"/>
        <w:jc w:val="left"/>
        <w:rPr>
          <w:rFonts w:asciiTheme="minorHAnsi" w:hAnsiTheme="minorHAnsi"/>
        </w:rPr>
      </w:pPr>
      <w:r w:rsidRPr="009D4CD4">
        <w:rPr>
          <w:rFonts w:asciiTheme="minorHAnsi" w:hAnsiTheme="minorHAnsi"/>
        </w:rPr>
        <w:t xml:space="preserve">Les principaux enjeux RSE ont été déterminés grâce à la méthodologie suivante : </w:t>
      </w:r>
    </w:p>
    <w:p w14:paraId="29EEB9EC" w14:textId="12A8ADC1" w:rsidR="00B72A61" w:rsidRPr="009D4CD4" w:rsidRDefault="00B72A61" w:rsidP="00B72A61">
      <w:pPr>
        <w:spacing w:after="0" w:line="240" w:lineRule="auto"/>
        <w:jc w:val="left"/>
        <w:rPr>
          <w:rFonts w:asciiTheme="minorHAnsi" w:hAnsiTheme="minorHAnsi"/>
        </w:rPr>
      </w:pPr>
      <w:r w:rsidRPr="009D4CD4">
        <w:rPr>
          <w:rFonts w:asciiTheme="minorHAnsi" w:hAnsiTheme="minorHAnsi"/>
        </w:rPr>
        <w:t>- La matrice d’enjeux du CA Nord Midi-Pyrénées s’</w:t>
      </w:r>
      <w:r w:rsidR="00F1372E" w:rsidRPr="009D4CD4">
        <w:rPr>
          <w:rFonts w:asciiTheme="minorHAnsi" w:hAnsiTheme="minorHAnsi"/>
        </w:rPr>
        <w:t xml:space="preserve">est appuyée </w:t>
      </w:r>
      <w:r w:rsidRPr="009D4CD4">
        <w:rPr>
          <w:rFonts w:asciiTheme="minorHAnsi" w:hAnsiTheme="minorHAnsi"/>
        </w:rPr>
        <w:t xml:space="preserve">sur le Baromètre RSE </w:t>
      </w:r>
      <w:r w:rsidR="00F1372E" w:rsidRPr="009D4CD4">
        <w:rPr>
          <w:rFonts w:asciiTheme="minorHAnsi" w:hAnsiTheme="minorHAnsi"/>
        </w:rPr>
        <w:t xml:space="preserve">2016 </w:t>
      </w:r>
      <w:r w:rsidRPr="009D4CD4">
        <w:rPr>
          <w:rFonts w:asciiTheme="minorHAnsi" w:hAnsiTheme="minorHAnsi"/>
        </w:rPr>
        <w:t xml:space="preserve">du Groupe Crédit Agricole, administré par la Direction RSE de CA S.A. Le baromètre est un </w:t>
      </w:r>
      <w:r w:rsidRPr="009D4CD4">
        <w:rPr>
          <w:rFonts w:asciiTheme="minorHAnsi" w:eastAsiaTheme="majorEastAsia" w:hAnsiTheme="minorHAnsi"/>
        </w:rPr>
        <w:t>dispositif quantitati</w:t>
      </w:r>
      <w:r w:rsidRPr="009D4CD4">
        <w:rPr>
          <w:rFonts w:asciiTheme="minorHAnsi" w:hAnsiTheme="minorHAnsi"/>
        </w:rPr>
        <w:t>f</w:t>
      </w:r>
      <w:r w:rsidRPr="009D4CD4">
        <w:rPr>
          <w:rFonts w:asciiTheme="minorHAnsi" w:eastAsiaTheme="majorEastAsia" w:hAnsiTheme="minorHAnsi"/>
        </w:rPr>
        <w:t xml:space="preserve"> auprès du grand public et des collaborateurs, </w:t>
      </w:r>
      <w:r w:rsidRPr="009D4CD4">
        <w:rPr>
          <w:rFonts w:asciiTheme="minorHAnsi" w:hAnsiTheme="minorHAnsi"/>
        </w:rPr>
        <w:t xml:space="preserve">et </w:t>
      </w:r>
      <w:r w:rsidRPr="009D4CD4">
        <w:rPr>
          <w:rFonts w:asciiTheme="minorHAnsi" w:eastAsiaTheme="majorEastAsia" w:hAnsiTheme="minorHAnsi"/>
        </w:rPr>
        <w:t>qualitati</w:t>
      </w:r>
      <w:r w:rsidRPr="009D4CD4">
        <w:rPr>
          <w:rFonts w:asciiTheme="minorHAnsi" w:hAnsiTheme="minorHAnsi"/>
        </w:rPr>
        <w:t>f</w:t>
      </w:r>
      <w:r w:rsidRPr="009D4CD4">
        <w:rPr>
          <w:rFonts w:asciiTheme="minorHAnsi" w:eastAsiaTheme="majorEastAsia" w:hAnsiTheme="minorHAnsi"/>
        </w:rPr>
        <w:t xml:space="preserve"> auprès des leaders d’opinion</w:t>
      </w:r>
      <w:r w:rsidRPr="009D4CD4">
        <w:rPr>
          <w:rFonts w:asciiTheme="minorHAnsi" w:hAnsiTheme="minorHAnsi"/>
        </w:rPr>
        <w:t xml:space="preserve">. Au niveau du grand public, un échantillon de salariés du Groupe et un panel de personnes de 18 ans et plus </w:t>
      </w:r>
      <w:r w:rsidRPr="009D4CD4">
        <w:rPr>
          <w:rFonts w:asciiTheme="minorHAnsi" w:eastAsiaTheme="minorEastAsia" w:hAnsiTheme="minorHAnsi"/>
        </w:rPr>
        <w:t>représentati</w:t>
      </w:r>
      <w:r w:rsidRPr="009D4CD4">
        <w:rPr>
          <w:rFonts w:asciiTheme="minorHAnsi" w:hAnsiTheme="minorHAnsi"/>
        </w:rPr>
        <w:t>ves</w:t>
      </w:r>
      <w:r w:rsidRPr="009D4CD4">
        <w:rPr>
          <w:rFonts w:asciiTheme="minorHAnsi" w:eastAsiaTheme="minorEastAsia" w:hAnsiTheme="minorHAnsi"/>
        </w:rPr>
        <w:t xml:space="preserve"> de la population française</w:t>
      </w:r>
      <w:r w:rsidRPr="009D4CD4">
        <w:rPr>
          <w:rFonts w:asciiTheme="minorHAnsi" w:hAnsiTheme="minorHAnsi"/>
        </w:rPr>
        <w:t xml:space="preserve"> a été consulté par un questionnaire auto-administré en ligne. Des leaders d’opinion ont été consultés par entretien téléphonique. L’importance des enjeux du point de vue des parties prenantes a été croisée avec le point de vue du Groupe C</w:t>
      </w:r>
      <w:r w:rsidR="00357554" w:rsidRPr="009D4CD4">
        <w:rPr>
          <w:rFonts w:asciiTheme="minorHAnsi" w:hAnsiTheme="minorHAnsi"/>
        </w:rPr>
        <w:t>rédit Agricole. Cette analyse a</w:t>
      </w:r>
      <w:r w:rsidRPr="009D4CD4">
        <w:rPr>
          <w:rFonts w:asciiTheme="minorHAnsi" w:hAnsiTheme="minorHAnsi"/>
        </w:rPr>
        <w:t xml:space="preserve"> permis à CA S.A. de déterminer 11 enjeux RSE principaux.</w:t>
      </w:r>
    </w:p>
    <w:p w14:paraId="465F56EB" w14:textId="77777777" w:rsidR="00B72A61" w:rsidRPr="009D4CD4" w:rsidRDefault="00B72A61" w:rsidP="00B72A61">
      <w:pPr>
        <w:spacing w:after="0" w:line="240" w:lineRule="auto"/>
        <w:jc w:val="left"/>
        <w:rPr>
          <w:rFonts w:asciiTheme="minorHAnsi" w:hAnsiTheme="minorHAnsi"/>
        </w:rPr>
      </w:pPr>
      <w:r w:rsidRPr="009D4CD4">
        <w:rPr>
          <w:rFonts w:asciiTheme="minorHAnsi" w:hAnsiTheme="minorHAnsi"/>
        </w:rPr>
        <w:t>- Les enseignements du baromètre RSE du Groupe ont été complétés par les résultats des enquêtes réalisées par mail auprès des clients par le Crédit Agricole Nord Midi-Pyrénées pour estimer l’indice de recommandation client (IRC).  A partir des 11 enjeux issus du baromètre des résultats des enquêtes internes IRC, le Comité de direction RSE a retenu une liste de 8 enjeux RSE.</w:t>
      </w:r>
    </w:p>
    <w:p w14:paraId="52965A73" w14:textId="77777777" w:rsidR="00B72A61" w:rsidRPr="009D4CD4" w:rsidRDefault="00B72A61" w:rsidP="00B72A61">
      <w:pPr>
        <w:spacing w:after="0" w:line="240" w:lineRule="auto"/>
        <w:jc w:val="left"/>
        <w:rPr>
          <w:rFonts w:asciiTheme="minorHAnsi" w:hAnsiTheme="minorHAnsi"/>
          <w:strike/>
        </w:rPr>
      </w:pPr>
    </w:p>
    <w:bookmarkStart w:id="197" w:name="_MON_1605013249"/>
    <w:bookmarkEnd w:id="197"/>
    <w:p w14:paraId="6D18C8E3" w14:textId="7A7B34BC" w:rsidR="00B72A61" w:rsidRPr="009D4CD4" w:rsidRDefault="00944444" w:rsidP="00B72A61">
      <w:pPr>
        <w:jc w:val="left"/>
        <w:rPr>
          <w:rFonts w:asciiTheme="minorHAnsi" w:hAnsiTheme="minorHAnsi"/>
        </w:rPr>
      </w:pPr>
      <w:r w:rsidRPr="009D4CD4">
        <w:rPr>
          <w:rFonts w:asciiTheme="minorHAnsi" w:hAnsiTheme="minorHAnsi"/>
        </w:rPr>
        <w:object w:dxaOrig="10651" w:dyaOrig="5397" w14:anchorId="41241E7C">
          <v:shape id="_x0000_i1026" type="#_x0000_t75" style="width:383.95pt;height:195.1pt" o:ole="">
            <v:imagedata r:id="rId21" o:title=""/>
          </v:shape>
          <o:OLEObject Type="Embed" ProgID="Excel.Sheet.12" ShapeID="_x0000_i1026" DrawAspect="Content" ObjectID="_1707310730" r:id="rId22"/>
        </w:object>
      </w:r>
    </w:p>
    <w:p w14:paraId="6ADFA7DF" w14:textId="77777777" w:rsidR="00B72A61" w:rsidRPr="009D4CD4" w:rsidRDefault="00B72A61" w:rsidP="00B72A61">
      <w:pPr>
        <w:spacing w:after="0" w:line="240" w:lineRule="auto"/>
        <w:jc w:val="left"/>
        <w:rPr>
          <w:rFonts w:asciiTheme="minorHAnsi" w:hAnsiTheme="minorHAnsi"/>
        </w:rPr>
      </w:pPr>
    </w:p>
    <w:p w14:paraId="2137F626" w14:textId="77777777" w:rsidR="00B72A61" w:rsidRPr="009D4CD4" w:rsidRDefault="00B72A61" w:rsidP="00B72A61">
      <w:pPr>
        <w:spacing w:after="0" w:line="240" w:lineRule="auto"/>
        <w:jc w:val="left"/>
        <w:rPr>
          <w:rFonts w:asciiTheme="minorHAnsi" w:hAnsiTheme="minorHAnsi"/>
          <w:i/>
        </w:rPr>
      </w:pPr>
      <w:r w:rsidRPr="009D4CD4">
        <w:rPr>
          <w:rFonts w:asciiTheme="minorHAnsi" w:hAnsiTheme="minorHAnsi"/>
          <w:i/>
        </w:rPr>
        <w:t>2- Principaux risques extra-financiers</w:t>
      </w:r>
    </w:p>
    <w:p w14:paraId="7AEAC513" w14:textId="77777777" w:rsidR="00B72A61" w:rsidRPr="009D4CD4" w:rsidRDefault="00B72A61" w:rsidP="00B72A61">
      <w:pPr>
        <w:spacing w:after="0" w:line="240" w:lineRule="auto"/>
        <w:jc w:val="left"/>
        <w:rPr>
          <w:rFonts w:asciiTheme="minorHAnsi" w:hAnsiTheme="minorHAnsi"/>
        </w:rPr>
      </w:pPr>
    </w:p>
    <w:p w14:paraId="1B976FBA" w14:textId="5FD27CDB" w:rsidR="00B72A61" w:rsidRPr="009D4CD4" w:rsidRDefault="00B72A61" w:rsidP="00B72A61">
      <w:pPr>
        <w:spacing w:after="0" w:line="240" w:lineRule="auto"/>
        <w:jc w:val="left"/>
        <w:rPr>
          <w:rFonts w:asciiTheme="minorHAnsi" w:hAnsiTheme="minorHAnsi"/>
        </w:rPr>
      </w:pPr>
      <w:r w:rsidRPr="009D4CD4">
        <w:rPr>
          <w:rFonts w:asciiTheme="minorHAnsi" w:hAnsiTheme="minorHAnsi"/>
        </w:rPr>
        <w:t xml:space="preserve">Les principaux risques extra-financiers ont été établis au regard des enjeux RSE définis par la </w:t>
      </w:r>
      <w:r w:rsidR="00A7717F">
        <w:rPr>
          <w:rFonts w:asciiTheme="minorHAnsi" w:hAnsiTheme="minorHAnsi"/>
        </w:rPr>
        <w:t>Caisse Régionale</w:t>
      </w:r>
      <w:r w:rsidRPr="009D4CD4">
        <w:rPr>
          <w:rFonts w:asciiTheme="minorHAnsi" w:hAnsiTheme="minorHAnsi"/>
        </w:rPr>
        <w:t>. Ils ont été côtés à dire d’expert en fonction de la probabilité de survenance et de leur gravité potentielle.</w:t>
      </w:r>
    </w:p>
    <w:p w14:paraId="1BA5F5EF" w14:textId="77777777" w:rsidR="00B72A61" w:rsidRPr="009D4CD4" w:rsidRDefault="00B72A61" w:rsidP="00B72A61">
      <w:pPr>
        <w:jc w:val="left"/>
        <w:rPr>
          <w:rFonts w:asciiTheme="minorHAnsi" w:hAnsiTheme="minorHAnsi"/>
        </w:rPr>
      </w:pPr>
    </w:p>
    <w:p w14:paraId="48D8909D" w14:textId="77777777" w:rsidR="00B72A61" w:rsidRPr="009D4CD4" w:rsidRDefault="00B72A61" w:rsidP="00B72A61">
      <w:pPr>
        <w:spacing w:after="0" w:line="240" w:lineRule="auto"/>
        <w:jc w:val="left"/>
        <w:rPr>
          <w:rFonts w:asciiTheme="minorHAnsi" w:hAnsiTheme="minorHAnsi"/>
          <w:u w:val="single"/>
        </w:rPr>
      </w:pPr>
      <w:r w:rsidRPr="009D4CD4">
        <w:rPr>
          <w:rFonts w:asciiTheme="minorHAnsi" w:hAnsiTheme="minorHAnsi"/>
          <w:u w:val="single"/>
        </w:rPr>
        <w:br w:type="page"/>
      </w:r>
    </w:p>
    <w:p w14:paraId="3730B91E" w14:textId="77777777" w:rsidR="00B72A61" w:rsidRPr="009D4CD4" w:rsidRDefault="00B72A61" w:rsidP="00B72A61">
      <w:pPr>
        <w:spacing w:after="0" w:line="240" w:lineRule="auto"/>
        <w:jc w:val="left"/>
        <w:rPr>
          <w:rFonts w:asciiTheme="minorHAnsi" w:hAnsiTheme="minorHAnsi"/>
          <w:u w:val="single"/>
        </w:rPr>
      </w:pPr>
      <w:r w:rsidRPr="009D4CD4">
        <w:rPr>
          <w:rFonts w:asciiTheme="minorHAnsi" w:hAnsiTheme="minorHAnsi"/>
          <w:u w:val="single"/>
        </w:rPr>
        <w:t>Caractérisation et impacts des principaux risques extra-financiers</w:t>
      </w:r>
    </w:p>
    <w:p w14:paraId="633A84D2" w14:textId="77777777" w:rsidR="00B72A61" w:rsidRPr="009D4CD4" w:rsidRDefault="00B72A61" w:rsidP="00B72A61">
      <w:pPr>
        <w:spacing w:after="0" w:line="240" w:lineRule="auto"/>
        <w:jc w:val="left"/>
        <w:rPr>
          <w:rFonts w:asciiTheme="minorHAnsi" w:hAnsiTheme="minorHAnsi"/>
          <w:sz w:val="18"/>
          <w:szCs w:val="18"/>
          <w:u w:val="single"/>
        </w:rPr>
      </w:pPr>
    </w:p>
    <w:bookmarkStart w:id="198" w:name="_MON_1696345441"/>
    <w:bookmarkEnd w:id="198"/>
    <w:p w14:paraId="57064CB8" w14:textId="05B68CB2" w:rsidR="00B72A61" w:rsidRPr="009D4CD4" w:rsidRDefault="00EF001F" w:rsidP="00B72A61">
      <w:pPr>
        <w:jc w:val="left"/>
        <w:rPr>
          <w:rFonts w:asciiTheme="minorHAnsi" w:hAnsiTheme="minorHAnsi"/>
        </w:rPr>
      </w:pPr>
      <w:r w:rsidRPr="009D4CD4">
        <w:rPr>
          <w:rFonts w:asciiTheme="minorHAnsi" w:hAnsiTheme="minorHAnsi"/>
        </w:rPr>
        <w:object w:dxaOrig="16805" w:dyaOrig="18192" w14:anchorId="21B25BDB">
          <v:shape id="_x0000_i1027" type="#_x0000_t75" style="width:505.85pt;height:551.2pt" o:ole="">
            <v:imagedata r:id="rId23" o:title=""/>
          </v:shape>
          <o:OLEObject Type="Embed" ProgID="Excel.Sheet.12" ShapeID="_x0000_i1027" DrawAspect="Content" ObjectID="_1707310731" r:id="rId24"/>
        </w:object>
      </w:r>
    </w:p>
    <w:p w14:paraId="27BA2648" w14:textId="77777777" w:rsidR="00357554" w:rsidRPr="009D4CD4" w:rsidRDefault="00357554">
      <w:pPr>
        <w:spacing w:after="0" w:line="240" w:lineRule="auto"/>
        <w:jc w:val="left"/>
        <w:rPr>
          <w:rFonts w:cs="Arial"/>
          <w:u w:val="single"/>
        </w:rPr>
      </w:pPr>
      <w:r w:rsidRPr="009D4CD4">
        <w:rPr>
          <w:rFonts w:cs="Arial"/>
          <w:u w:val="single"/>
        </w:rPr>
        <w:br w:type="page"/>
      </w:r>
    </w:p>
    <w:p w14:paraId="2B5B602A" w14:textId="77777777" w:rsidR="00B72A61" w:rsidRPr="009D4CD4" w:rsidRDefault="00B72A61" w:rsidP="00B72A61">
      <w:pPr>
        <w:spacing w:after="0" w:line="240" w:lineRule="auto"/>
        <w:jc w:val="left"/>
        <w:rPr>
          <w:rFonts w:cs="Arial"/>
          <w:u w:val="single"/>
        </w:rPr>
      </w:pPr>
      <w:r w:rsidRPr="009D4CD4">
        <w:rPr>
          <w:rFonts w:cs="Arial"/>
          <w:u w:val="single"/>
        </w:rPr>
        <w:t>Informations non traitées dans la DPEF</w:t>
      </w:r>
    </w:p>
    <w:p w14:paraId="6B84F416" w14:textId="77777777" w:rsidR="00B72A61" w:rsidRPr="009D4CD4" w:rsidRDefault="00B72A61" w:rsidP="00B72A61">
      <w:pPr>
        <w:spacing w:after="0" w:line="240" w:lineRule="auto"/>
        <w:jc w:val="left"/>
        <w:rPr>
          <w:rFonts w:cs="Tahoma"/>
        </w:rPr>
      </w:pPr>
    </w:p>
    <w:p w14:paraId="6694DF1C" w14:textId="71670E1D" w:rsidR="00B72A61" w:rsidRPr="009D4CD4" w:rsidRDefault="00B72A61" w:rsidP="00B72A61">
      <w:pPr>
        <w:spacing w:after="0" w:line="240" w:lineRule="auto"/>
        <w:jc w:val="left"/>
        <w:rPr>
          <w:rFonts w:cs="Arial"/>
        </w:rPr>
      </w:pPr>
      <w:r w:rsidRPr="009D4CD4">
        <w:rPr>
          <w:rFonts w:cs="Arial"/>
        </w:rPr>
        <w:t xml:space="preserve">Compte tenu de l’activité de la </w:t>
      </w:r>
      <w:r w:rsidR="00A7717F">
        <w:rPr>
          <w:rFonts w:cs="Arial"/>
        </w:rPr>
        <w:t>Caisse Régionale</w:t>
      </w:r>
      <w:r w:rsidRPr="009D4CD4">
        <w:rPr>
          <w:rFonts w:cs="Arial"/>
        </w:rPr>
        <w:t>, les domaines rela</w:t>
      </w:r>
      <w:r w:rsidR="004D29CE">
        <w:rPr>
          <w:rFonts w:cs="Arial"/>
        </w:rPr>
        <w:t>tifs au gaspillage alimentaire, à l’économie circulaire,</w:t>
      </w:r>
      <w:r w:rsidRPr="009D4CD4">
        <w:rPr>
          <w:rFonts w:cs="Arial"/>
        </w:rPr>
        <w:t xml:space="preserve"> à la lutte c</w:t>
      </w:r>
      <w:r w:rsidR="004D29CE">
        <w:rPr>
          <w:rFonts w:cs="Arial"/>
        </w:rPr>
        <w:t xml:space="preserve">ontre la précarité alimentaire, </w:t>
      </w:r>
      <w:r w:rsidRPr="009D4CD4">
        <w:rPr>
          <w:rFonts w:cs="Arial"/>
        </w:rPr>
        <w:t xml:space="preserve"> au respect du bien-être animal ainsi qu’à l’alimentation responsable, équitable et durable ne sont pas identifiés comme susceptibles de générer des risques extra-financiers.</w:t>
      </w:r>
    </w:p>
    <w:p w14:paraId="78401D65" w14:textId="77777777" w:rsidR="00B72A61" w:rsidRPr="009D4CD4" w:rsidRDefault="00B72A61" w:rsidP="00B72A61">
      <w:pPr>
        <w:spacing w:after="0" w:line="240" w:lineRule="auto"/>
        <w:jc w:val="left"/>
        <w:rPr>
          <w:rFonts w:cs="Arial"/>
          <w:u w:val="single"/>
        </w:rPr>
      </w:pPr>
    </w:p>
    <w:p w14:paraId="4EB49EEE" w14:textId="77777777" w:rsidR="00B72A61" w:rsidRPr="009D4CD4" w:rsidRDefault="00B72A61" w:rsidP="00B72A61">
      <w:pPr>
        <w:spacing w:after="0" w:line="240" w:lineRule="auto"/>
        <w:jc w:val="left"/>
        <w:rPr>
          <w:rFonts w:cs="Arial"/>
          <w:u w:val="single"/>
        </w:rPr>
      </w:pPr>
      <w:r w:rsidRPr="009D4CD4">
        <w:rPr>
          <w:rFonts w:cs="Arial"/>
          <w:u w:val="single"/>
        </w:rPr>
        <w:t>Précision sur l’indicateur Emissions de gaz à effet de serre</w:t>
      </w:r>
    </w:p>
    <w:p w14:paraId="0241F864" w14:textId="77777777" w:rsidR="00B72A61" w:rsidRPr="009D4CD4" w:rsidRDefault="00B72A61" w:rsidP="00B72A61">
      <w:pPr>
        <w:spacing w:after="0" w:line="240" w:lineRule="auto"/>
        <w:jc w:val="left"/>
        <w:rPr>
          <w:rFonts w:cs="Arial"/>
          <w:i/>
        </w:rPr>
      </w:pPr>
    </w:p>
    <w:p w14:paraId="37E2C555" w14:textId="3AD7523E" w:rsidR="00B72A61" w:rsidRPr="009D4CD4" w:rsidRDefault="00B72A61" w:rsidP="00B72A61">
      <w:pPr>
        <w:spacing w:after="0" w:line="240" w:lineRule="auto"/>
        <w:jc w:val="left"/>
        <w:rPr>
          <w:rFonts w:cs="Arial"/>
        </w:rPr>
      </w:pPr>
      <w:r w:rsidRPr="009D4CD4">
        <w:rPr>
          <w:rFonts w:cs="Arial"/>
        </w:rPr>
        <w:t xml:space="preserve">Les facteurs d’émission de gaz à effet de serre </w:t>
      </w:r>
      <w:r w:rsidR="004D29CE">
        <w:rPr>
          <w:rFonts w:cs="Arial"/>
        </w:rPr>
        <w:t>utilisés pour le calcul des émissions provenant</w:t>
      </w:r>
      <w:r w:rsidRPr="009D4CD4">
        <w:rPr>
          <w:rFonts w:cs="Arial"/>
        </w:rPr>
        <w:t xml:space="preserve"> de la consommation d’énergie et des déplacements professionnels sont issus la base http://www.bilans-ges.ademe.fr/fr.</w:t>
      </w:r>
    </w:p>
    <w:p w14:paraId="11B91FC8" w14:textId="77777777" w:rsidR="00B72A61" w:rsidRPr="009D4CD4" w:rsidRDefault="00B72A61" w:rsidP="00B72A61">
      <w:pPr>
        <w:spacing w:after="0" w:line="240" w:lineRule="auto"/>
        <w:jc w:val="left"/>
        <w:rPr>
          <w:rFonts w:cs="Arial"/>
        </w:rPr>
      </w:pPr>
    </w:p>
    <w:p w14:paraId="0604F43B" w14:textId="77777777" w:rsidR="00B72A61" w:rsidRPr="009D4CD4" w:rsidRDefault="00B72A61" w:rsidP="00B72A61">
      <w:pPr>
        <w:autoSpaceDE w:val="0"/>
        <w:autoSpaceDN w:val="0"/>
        <w:adjustRightInd w:val="0"/>
        <w:spacing w:after="0" w:line="240" w:lineRule="auto"/>
        <w:jc w:val="left"/>
        <w:rPr>
          <w:rFonts w:cs="Arial"/>
          <w:u w:val="single"/>
        </w:rPr>
      </w:pPr>
      <w:r w:rsidRPr="009D4CD4">
        <w:rPr>
          <w:rFonts w:cs="Arial"/>
          <w:u w:val="single"/>
        </w:rPr>
        <w:t>Précisions sur l’incertitude des données présentées au paragraphe « Conséquences sur le changement climatique de l’usage des biens et services produits »</w:t>
      </w:r>
    </w:p>
    <w:p w14:paraId="071A343C" w14:textId="77777777" w:rsidR="00B72A61" w:rsidRPr="009D4CD4" w:rsidRDefault="00B72A61" w:rsidP="00B72A61">
      <w:pPr>
        <w:autoSpaceDE w:val="0"/>
        <w:autoSpaceDN w:val="0"/>
        <w:adjustRightInd w:val="0"/>
        <w:spacing w:after="0" w:line="240" w:lineRule="auto"/>
        <w:jc w:val="left"/>
        <w:rPr>
          <w:rFonts w:cs="Arial"/>
          <w:u w:val="single"/>
        </w:rPr>
      </w:pPr>
    </w:p>
    <w:p w14:paraId="13528923" w14:textId="77777777" w:rsidR="00B72A61" w:rsidRPr="009D4CD4" w:rsidRDefault="00B72A61" w:rsidP="00B72A61">
      <w:pPr>
        <w:autoSpaceDE w:val="0"/>
        <w:autoSpaceDN w:val="0"/>
        <w:adjustRightInd w:val="0"/>
        <w:spacing w:after="0" w:line="240" w:lineRule="auto"/>
        <w:jc w:val="left"/>
      </w:pPr>
      <w:r w:rsidRPr="009D4CD4">
        <w:t xml:space="preserve">Les incertitudes associées aux résultats de l’analyse sont dues aux incertitudes associées aux facteurs d’émission utilisés et aux incertitudes sur les données d’activité collectées (encours au bilan des acteurs et leur classification). </w:t>
      </w:r>
    </w:p>
    <w:p w14:paraId="6063C50D" w14:textId="77777777" w:rsidR="00B72A61" w:rsidRPr="009D4CD4" w:rsidRDefault="00B72A61" w:rsidP="00B72A61">
      <w:pPr>
        <w:autoSpaceDE w:val="0"/>
        <w:autoSpaceDN w:val="0"/>
        <w:adjustRightInd w:val="0"/>
        <w:spacing w:after="0" w:line="240" w:lineRule="auto"/>
        <w:jc w:val="left"/>
        <w:rPr>
          <w:i/>
        </w:rPr>
      </w:pPr>
      <w:r w:rsidRPr="009D4CD4">
        <w:rPr>
          <w:rFonts w:cs="Arial"/>
        </w:rPr>
        <w:t xml:space="preserve">Les explications sont communiquées sur cette page : </w:t>
      </w:r>
      <w:r w:rsidRPr="009D4CD4">
        <w:rPr>
          <w:i/>
        </w:rPr>
        <w:t>Source : http://www.bilans-ges.ademe.fr/docutheque/docs/guide-3-tomes.pdf page 114</w:t>
      </w:r>
    </w:p>
    <w:p w14:paraId="39BAA2E7" w14:textId="121BA16F" w:rsidR="00B72A61" w:rsidRPr="009D4CD4" w:rsidRDefault="00B72A61" w:rsidP="00B72A61">
      <w:pPr>
        <w:spacing w:after="0" w:line="240" w:lineRule="auto"/>
        <w:jc w:val="left"/>
        <w:rPr>
          <w:rFonts w:cs="Arial"/>
        </w:rPr>
      </w:pPr>
    </w:p>
    <w:p w14:paraId="48084937" w14:textId="77777777" w:rsidR="00B72A61" w:rsidRPr="009D4CD4" w:rsidRDefault="00B72A61" w:rsidP="00B72A61">
      <w:pPr>
        <w:spacing w:after="0" w:line="240" w:lineRule="auto"/>
        <w:jc w:val="left"/>
        <w:rPr>
          <w:rFonts w:cs="Arial"/>
          <w:u w:val="single"/>
        </w:rPr>
      </w:pPr>
      <w:r w:rsidRPr="009D4CD4">
        <w:rPr>
          <w:rFonts w:cs="Arial"/>
          <w:u w:val="single"/>
        </w:rPr>
        <w:t>Fiabilisation des données</w:t>
      </w:r>
    </w:p>
    <w:p w14:paraId="00ED9FE5" w14:textId="77777777" w:rsidR="00B72A61" w:rsidRPr="009D4CD4" w:rsidRDefault="00B72A61" w:rsidP="00B72A61">
      <w:pPr>
        <w:spacing w:after="0" w:line="240" w:lineRule="auto"/>
        <w:jc w:val="left"/>
        <w:rPr>
          <w:rFonts w:cs="Arial"/>
          <w:u w:val="single"/>
        </w:rPr>
      </w:pPr>
    </w:p>
    <w:p w14:paraId="371BD0A9" w14:textId="77777777" w:rsidR="00ED6C9B" w:rsidRPr="009D4CD4" w:rsidRDefault="00B72A61">
      <w:pPr>
        <w:spacing w:after="0" w:line="240" w:lineRule="auto"/>
        <w:jc w:val="left"/>
        <w:rPr>
          <w:rFonts w:cs="Arial"/>
        </w:rPr>
      </w:pPr>
      <w:r w:rsidRPr="009D4CD4">
        <w:rPr>
          <w:rFonts w:cs="Arial"/>
        </w:rPr>
        <w:t>La fiabilisation constante des données a conduit à identifier des écarts sur les données historiques. Ces écarts ont été corrigés dans la présente édition.</w:t>
      </w:r>
    </w:p>
    <w:p w14:paraId="22D9EF42" w14:textId="77777777" w:rsidR="002413D1" w:rsidRDefault="002413D1">
      <w:pPr>
        <w:spacing w:after="0" w:line="240" w:lineRule="auto"/>
        <w:jc w:val="left"/>
        <w:rPr>
          <w:rFonts w:cs="Arial"/>
        </w:rPr>
      </w:pPr>
    </w:p>
    <w:sectPr w:rsidR="002413D1" w:rsidSect="00634DE6">
      <w:headerReference w:type="default" r:id="rId25"/>
      <w:footerReference w:type="default" r:id="rId26"/>
      <w:pgSz w:w="11906" w:h="16838" w:code="9"/>
      <w:pgMar w:top="1417" w:right="707" w:bottom="709" w:left="851" w:header="624" w:footer="0"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5B7AC41" w16cex:dateUtc="2022-02-16T16:00:00Z"/>
  <w16cex:commentExtensible w16cex:durableId="25B54166" w16cex:dateUtc="2022-02-14T20:00:00Z"/>
  <w16cex:commentExtensible w16cex:durableId="25B5F616" w16cex:dateUtc="2022-02-15T08:51:00Z"/>
  <w16cex:commentExtensible w16cex:durableId="25B5F10C" w16cex:dateUtc="2022-02-15T08:29:00Z"/>
  <w16cex:commentExtensible w16cex:durableId="25B7AD54" w16cex:dateUtc="2022-02-16T16:05:00Z"/>
  <w16cex:commentExtensible w16cex:durableId="25B7D402" w16cex:dateUtc="2022-02-16T18:50:00Z"/>
  <w16cex:commentExtensible w16cex:durableId="25B7D3EB" w16cex:dateUtc="2022-02-16T18:50:00Z"/>
  <w16cex:commentExtensible w16cex:durableId="25B7D485" w16cex:dateUtc="2022-02-16T18:52:00Z"/>
  <w16cex:commentExtensible w16cex:durableId="25B7ADE7" w16cex:dateUtc="2022-02-16T16:07:00Z"/>
  <w16cex:commentExtensible w16cex:durableId="25B7D4C7" w16cex:dateUtc="2022-02-16T18:53:00Z"/>
  <w16cex:commentExtensible w16cex:durableId="25B7D4D1" w16cex:dateUtc="2022-02-16T18:53:00Z"/>
  <w16cex:commentExtensible w16cex:durableId="25B7D50E" w16cex:dateUtc="2022-02-16T18:54:00Z"/>
  <w16cex:commentExtensible w16cex:durableId="25B7D5C9" w16cex:dateUtc="2022-02-16T18:58:00Z"/>
  <w16cex:commentExtensible w16cex:durableId="25B7D57C" w16cex:dateUtc="2022-02-16T18:56:00Z"/>
  <w16cex:commentExtensible w16cex:durableId="25B7D56D" w16cex:dateUtc="2022-02-16T18:56:00Z"/>
  <w16cex:commentExtensible w16cex:durableId="25B7D642" w16cex:dateUtc="2022-02-16T19:00:00Z"/>
  <w16cex:commentExtensible w16cex:durableId="25B7D69F" w16cex:dateUtc="2022-02-16T19:01:00Z"/>
  <w16cex:commentExtensible w16cex:durableId="25B5320A" w16cex:dateUtc="2022-02-14T18:54:00Z"/>
  <w16cex:commentExtensible w16cex:durableId="25B7AE9E" w16cex:dateUtc="2022-02-16T16:10:00Z"/>
  <w16cex:commentExtensible w16cex:durableId="25B7DAF3" w16cex:dateUtc="2022-02-16T19:20:00Z"/>
  <w16cex:commentExtensible w16cex:durableId="25B533B6" w16cex:dateUtc="2022-02-14T19:01:00Z"/>
  <w16cex:commentExtensible w16cex:durableId="25B63307" w16cex:dateUtc="2022-02-15T13:11:00Z"/>
  <w16cex:commentExtensible w16cex:durableId="25B53253" w16cex:dateUtc="2022-02-14T18:56:00Z"/>
  <w16cex:commentExtensible w16cex:durableId="25B532FC" w16cex:dateUtc="2022-02-14T18:58:00Z"/>
  <w16cex:commentExtensible w16cex:durableId="25B532BF" w16cex:dateUtc="2022-02-14T18:57:00Z"/>
  <w16cex:commentExtensible w16cex:durableId="25B7D711" w16cex:dateUtc="2022-02-16T19:03:00Z"/>
  <w16cex:commentExtensible w16cex:durableId="25B7D7BA" w16cex:dateUtc="2022-02-16T19:06:00Z"/>
  <w16cex:commentExtensible w16cex:durableId="25B7D794" w16cex:dateUtc="2022-02-16T19:05:00Z"/>
  <w16cex:commentExtensible w16cex:durableId="25B60224" w16cex:dateUtc="2022-02-15T09:42:00Z"/>
  <w16cex:commentExtensible w16cex:durableId="25B7B03D" w16cex:dateUtc="2022-02-16T16:17:00Z"/>
  <w16cex:commentExtensible w16cex:durableId="25B7B055" w16cex:dateUtc="2022-02-16T16:18:00Z"/>
  <w16cex:commentExtensible w16cex:durableId="25B7B05D" w16cex:dateUtc="2022-02-16T16:18:00Z"/>
  <w16cex:commentExtensible w16cex:durableId="25B7B09B" w16cex:dateUtc="2022-02-16T16:19:00Z"/>
  <w16cex:commentExtensible w16cex:durableId="25B7B0A5" w16cex:dateUtc="2022-02-16T16:19:00Z"/>
  <w16cex:commentExtensible w16cex:durableId="25B7B17C" w16cex:dateUtc="2022-02-16T16:23:00Z"/>
  <w16cex:commentExtensible w16cex:durableId="25B7B2A5" w16cex:dateUtc="2022-02-16T16:28:00Z"/>
  <w16cex:commentExtensible w16cex:durableId="25B7B334" w16cex:dateUtc="2022-02-16T16:30:00Z"/>
  <w16cex:commentExtensible w16cex:durableId="25B7B3B4" w16cex:dateUtc="2022-02-16T16:32:00Z"/>
  <w16cex:commentExtensible w16cex:durableId="25B7B5B5" w16cex:dateUtc="2022-02-16T16:41:00Z"/>
  <w16cex:commentExtensible w16cex:durableId="25B540EC" w16cex:dateUtc="2022-02-14T19:58:00Z"/>
  <w16cex:commentExtensible w16cex:durableId="25B7D834" w16cex:dateUtc="2022-02-16T19:08:00Z"/>
  <w16cex:commentExtensible w16cex:durableId="25B53DB0" w16cex:dateUtc="2022-02-14T19:44:00Z"/>
  <w16cex:commentExtensible w16cex:durableId="25B53D6E" w16cex:dateUtc="2022-02-14T19:43:00Z"/>
  <w16cex:commentExtensible w16cex:durableId="25B53DE7" w16cex:dateUtc="2022-02-14T19:45:00Z"/>
  <w16cex:commentExtensible w16cex:durableId="25B9F8C5" w16cex:dateUtc="2022-02-18T09:51:00Z"/>
  <w16cex:commentExtensible w16cex:durableId="25B9F746" w16cex:dateUtc="2022-02-18T09:45:00Z"/>
  <w16cex:commentExtensible w16cex:durableId="25BA02EC" w16cex:dateUtc="2022-02-18T10:35:00Z"/>
  <w16cex:commentExtensible w16cex:durableId="25B9F750" w16cex:dateUtc="2022-02-18T09:45:00Z"/>
  <w16cex:commentExtensible w16cex:durableId="25BA078C" w16cex:dateUtc="2022-02-18T10:54:00Z"/>
  <w16cex:commentExtensible w16cex:durableId="25B53E4A" w16cex:dateUtc="2022-02-14T19:47:00Z"/>
  <w16cex:commentExtensible w16cex:durableId="25B53EA0" w16cex:dateUtc="2022-02-14T19:48:00Z"/>
  <w16cex:commentExtensible w16cex:durableId="25B7DA47" w16cex:dateUtc="2022-02-16T19:17:00Z"/>
  <w16cex:commentExtensible w16cex:durableId="25B7DA33" w16cex:dateUtc="2022-02-16T19:16:00Z"/>
  <w16cex:commentExtensible w16cex:durableId="25B7DA60" w16cex:dateUtc="2022-02-16T19:17:00Z"/>
  <w16cex:commentExtensible w16cex:durableId="25B64A6E" w16cex:dateUtc="2022-02-15T14:51:00Z"/>
  <w16cex:commentExtensible w16cex:durableId="25B53FA0" w16cex:dateUtc="2022-02-14T19:52:00Z"/>
  <w16cex:commentExtensible w16cex:durableId="25B7DA80" w16cex:dateUtc="2022-02-16T19:18:00Z"/>
  <w16cex:commentExtensible w16cex:durableId="25B65632" w16cex:dateUtc="2022-02-15T15:41:00Z"/>
  <w16cex:commentExtensible w16cex:durableId="25B6564D" w16cex:dateUtc="2022-02-15T15:41:00Z"/>
  <w16cex:commentExtensible w16cex:durableId="25B7DAA8" w16cex:dateUtc="2022-02-16T19:18:00Z"/>
  <w16cex:commentExtensible w16cex:durableId="25B7DA90" w16cex:dateUtc="2022-02-16T19:18:00Z"/>
  <w16cex:commentExtensible w16cex:durableId="25B5407F" w16cex:dateUtc="2022-02-14T19:56:00Z"/>
  <w16cex:commentExtensible w16cex:durableId="25B53086" w16cex:dateUtc="2022-02-14T18:48:00Z"/>
  <w16cex:commentExtensible w16cex:durableId="25B52D59" w16cex:dateUtc="2022-02-14T18:34:00Z"/>
  <w16cex:commentExtensible w16cex:durableId="25B52DCF" w16cex:dateUtc="2022-02-14T18:36:00Z"/>
  <w16cex:commentExtensible w16cex:durableId="25B6044B" w16cex:dateUtc="2022-02-15T09:51:00Z"/>
  <w16cex:commentExtensible w16cex:durableId="25B52EE7" w16cex:dateUtc="2022-02-14T18:41:00Z"/>
  <w16cex:commentExtensible w16cex:durableId="25B52E8E" w16cex:dateUtc="2022-02-14T18:39:00Z"/>
  <w16cex:commentExtensible w16cex:durableId="25B52E2B" w16cex:dateUtc="2022-02-14T18:38:00Z"/>
  <w16cex:commentExtensible w16cex:durableId="25B52F76" w16cex:dateUtc="2022-02-14T18:43:00Z"/>
  <w16cex:commentExtensible w16cex:durableId="25B52F57" w16cex:dateUtc="2022-02-14T18:43:00Z"/>
  <w16cex:commentExtensible w16cex:durableId="25B53027" w16cex:dateUtc="2022-02-14T18:46:00Z"/>
  <w16cex:commentExtensible w16cex:durableId="25B5415A" w16cex:dateUtc="2022-02-14T19: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4B5B79D" w16cid:durableId="25B7D905"/>
  <w16cid:commentId w16cid:paraId="1255C793" w16cid:durableId="25B7D906"/>
  <w16cid:commentId w16cid:paraId="5252E766" w16cid:durableId="25B7D907"/>
  <w16cid:commentId w16cid:paraId="18C35DC2" w16cid:durableId="25B7AC41"/>
  <w16cid:commentId w16cid:paraId="3E35A677" w16cid:durableId="25B54166"/>
  <w16cid:commentId w16cid:paraId="51CDE259" w16cid:durableId="25B7D908"/>
  <w16cid:commentId w16cid:paraId="3B3C6ACF" w16cid:durableId="25B5F616"/>
  <w16cid:commentId w16cid:paraId="316D3B6D" w16cid:durableId="25B5F10C"/>
  <w16cid:commentId w16cid:paraId="468D83C3" w16cid:durableId="25B7D909"/>
  <w16cid:commentId w16cid:paraId="54A361BC" w16cid:durableId="25B7D90A"/>
  <w16cid:commentId w16cid:paraId="030638C7" w16cid:durableId="25B7D90B"/>
  <w16cid:commentId w16cid:paraId="07B74A34" w16cid:durableId="25B7D90C"/>
  <w16cid:commentId w16cid:paraId="11FCD123" w16cid:durableId="25B7D90D"/>
  <w16cid:commentId w16cid:paraId="004962C5" w16cid:durableId="25B7D90E"/>
  <w16cid:commentId w16cid:paraId="40F03465" w16cid:durableId="25B7D90F"/>
  <w16cid:commentId w16cid:paraId="177A2F43" w16cid:durableId="25B7AD54"/>
  <w16cid:commentId w16cid:paraId="09521A41" w16cid:durableId="25B7D402"/>
  <w16cid:commentId w16cid:paraId="1B43FF6D" w16cid:durableId="25B7D3EB"/>
  <w16cid:commentId w16cid:paraId="52445AEE" w16cid:durableId="25B7D485"/>
  <w16cid:commentId w16cid:paraId="62DA603D" w16cid:durableId="25B7D910"/>
  <w16cid:commentId w16cid:paraId="0B5A69F8" w16cid:durableId="25B7ADE7"/>
  <w16cid:commentId w16cid:paraId="66A60EAB" w16cid:durableId="25B7D4C7"/>
  <w16cid:commentId w16cid:paraId="5200B4B8" w16cid:durableId="25B7D4D1"/>
  <w16cid:commentId w16cid:paraId="2BDF804B" w16cid:durableId="25B7D50E"/>
  <w16cid:commentId w16cid:paraId="6C5B238E" w16cid:durableId="25B9EE3D"/>
  <w16cid:commentId w16cid:paraId="33DA7B9C" w16cid:durableId="25B7D5C9"/>
  <w16cid:commentId w16cid:paraId="1D62193E" w16cid:durableId="25B7D57C"/>
  <w16cid:commentId w16cid:paraId="5D693F74" w16cid:durableId="25B7D56D"/>
  <w16cid:commentId w16cid:paraId="1F2BDEA8" w16cid:durableId="25B7D642"/>
  <w16cid:commentId w16cid:paraId="36AB291D" w16cid:durableId="25B9EE3E"/>
  <w16cid:commentId w16cid:paraId="534F2226" w16cid:durableId="25B7D69F"/>
  <w16cid:commentId w16cid:paraId="63BD0840" w16cid:durableId="25B7D911"/>
  <w16cid:commentId w16cid:paraId="011AEEB9" w16cid:durableId="25B9EE3F"/>
  <w16cid:commentId w16cid:paraId="22FF23F0" w16cid:durableId="25B5320A"/>
  <w16cid:commentId w16cid:paraId="45D9202A" w16cid:durableId="25B7AE9E"/>
  <w16cid:commentId w16cid:paraId="6CA458B7" w16cid:durableId="25B9EE40"/>
  <w16cid:commentId w16cid:paraId="4A0DBF3D" w16cid:durableId="25B7DAF3"/>
  <w16cid:commentId w16cid:paraId="38A91BE7" w16cid:durableId="25B9EE41"/>
  <w16cid:commentId w16cid:paraId="044F2EDD" w16cid:durableId="25B533B6"/>
  <w16cid:commentId w16cid:paraId="6E72327A" w16cid:durableId="25B63307"/>
  <w16cid:commentId w16cid:paraId="2E07749F" w16cid:durableId="25B7D912"/>
  <w16cid:commentId w16cid:paraId="627A9DEB" w16cid:durableId="25B9EE42"/>
  <w16cid:commentId w16cid:paraId="18EADAE6" w16cid:durableId="25B53253"/>
  <w16cid:commentId w16cid:paraId="1DCC5F98" w16cid:durableId="25B532FC"/>
  <w16cid:commentId w16cid:paraId="63F14523" w16cid:durableId="25B532BF"/>
  <w16cid:commentId w16cid:paraId="7B81699B" w16cid:durableId="25B9EE43"/>
  <w16cid:commentId w16cid:paraId="34939386" w16cid:durableId="25B7D711"/>
  <w16cid:commentId w16cid:paraId="39A287DC" w16cid:durableId="25B9EE44"/>
  <w16cid:commentId w16cid:paraId="423AFC34" w16cid:durableId="25B7D7BA"/>
  <w16cid:commentId w16cid:paraId="7E3DA9A3" w16cid:durableId="25B9EE45"/>
  <w16cid:commentId w16cid:paraId="6D0C588A" w16cid:durableId="25B7D794"/>
  <w16cid:commentId w16cid:paraId="74CE66A1" w16cid:durableId="25B9EE46"/>
  <w16cid:commentId w16cid:paraId="59268ABF" w16cid:durableId="25B7D913"/>
  <w16cid:commentId w16cid:paraId="0DCA4902" w16cid:durableId="25B60224"/>
  <w16cid:commentId w16cid:paraId="7B256048" w16cid:durableId="25B7B03D"/>
  <w16cid:commentId w16cid:paraId="5FC8D006" w16cid:durableId="25B7B055"/>
  <w16cid:commentId w16cid:paraId="21B8EB1E" w16cid:durableId="25B7B05D"/>
  <w16cid:commentId w16cid:paraId="4B37EC73" w16cid:durableId="25B7B09B"/>
  <w16cid:commentId w16cid:paraId="56352483" w16cid:durableId="25B7B0A5"/>
  <w16cid:commentId w16cid:paraId="11258D5E" w16cid:durableId="25B7B17C"/>
  <w16cid:commentId w16cid:paraId="7582037B" w16cid:durableId="25B7D914"/>
  <w16cid:commentId w16cid:paraId="309F68D8" w16cid:durableId="25B7B2A5"/>
  <w16cid:commentId w16cid:paraId="23B0006D" w16cid:durableId="25B7D915"/>
  <w16cid:commentId w16cid:paraId="3EB3AF6E" w16cid:durableId="25B7B334"/>
  <w16cid:commentId w16cid:paraId="0720A33C" w16cid:durableId="25B7B3B4"/>
  <w16cid:commentId w16cid:paraId="7DADD2D2" w16cid:durableId="25B7B5B5"/>
  <w16cid:commentId w16cid:paraId="42CC36D5" w16cid:durableId="25B540EC"/>
  <w16cid:commentId w16cid:paraId="3EFEE4AC" w16cid:durableId="25B9EE47"/>
  <w16cid:commentId w16cid:paraId="35108733" w16cid:durableId="25B7D834"/>
  <w16cid:commentId w16cid:paraId="0B1DAB61" w16cid:durableId="25B9EE48"/>
  <w16cid:commentId w16cid:paraId="540206E3" w16cid:durableId="25B9EE49"/>
  <w16cid:commentId w16cid:paraId="4EF2216F" w16cid:durableId="25B53DB0"/>
  <w16cid:commentId w16cid:paraId="7B296C5B" w16cid:durableId="25B9EE4A"/>
  <w16cid:commentId w16cid:paraId="42AD85DF" w16cid:durableId="25B9EE4B"/>
  <w16cid:commentId w16cid:paraId="31767FC5" w16cid:durableId="25B53D6E"/>
  <w16cid:commentId w16cid:paraId="39C61B81" w16cid:durableId="25B53DE7"/>
  <w16cid:commentId w16cid:paraId="5EF2542D" w16cid:durableId="25B9EE4C"/>
  <w16cid:commentId w16cid:paraId="5284E0B0" w16cid:durableId="25B9F8C5"/>
  <w16cid:commentId w16cid:paraId="3A1C7C9A" w16cid:durableId="25B9F746"/>
  <w16cid:commentId w16cid:paraId="26239451" w16cid:durableId="25BA02EC"/>
  <w16cid:commentId w16cid:paraId="7494EB4C" w16cid:durableId="25B9F750"/>
  <w16cid:commentId w16cid:paraId="482B6AB1" w16cid:durableId="25BA078C"/>
  <w16cid:commentId w16cid:paraId="68F169D8" w16cid:durableId="25B53E4A"/>
  <w16cid:commentId w16cid:paraId="75385984" w16cid:durableId="25B9EE4D"/>
  <w16cid:commentId w16cid:paraId="507F06F7" w16cid:durableId="25B53EA0"/>
  <w16cid:commentId w16cid:paraId="587F8E7A" w16cid:durableId="25B7D916"/>
  <w16cid:commentId w16cid:paraId="30285A86" w16cid:durableId="25B7DA47"/>
  <w16cid:commentId w16cid:paraId="15BD6BD5" w16cid:durableId="25B7DA33"/>
  <w16cid:commentId w16cid:paraId="5AE21175" w16cid:durableId="25B7DA60"/>
  <w16cid:commentId w16cid:paraId="71B64118" w16cid:durableId="25B9EE4E"/>
  <w16cid:commentId w16cid:paraId="6D0EA2D9" w16cid:durableId="25B7D917"/>
  <w16cid:commentId w16cid:paraId="064D668A" w16cid:durableId="25B64A6E"/>
  <w16cid:commentId w16cid:paraId="19C0BC3D" w16cid:durableId="25B53FA0"/>
  <w16cid:commentId w16cid:paraId="44F092E2" w16cid:durableId="25B7DA80"/>
  <w16cid:commentId w16cid:paraId="145953BA" w16cid:durableId="25B65632"/>
  <w16cid:commentId w16cid:paraId="5949218C" w16cid:durableId="25B6564D"/>
  <w16cid:commentId w16cid:paraId="3272548C" w16cid:durableId="25B7DAA8"/>
  <w16cid:commentId w16cid:paraId="27F747A3" w16cid:durableId="25B7DA90"/>
  <w16cid:commentId w16cid:paraId="7FAEC276" w16cid:durableId="25B9EE4F"/>
  <w16cid:commentId w16cid:paraId="6956C1C7" w16cid:durableId="25B5407F"/>
  <w16cid:commentId w16cid:paraId="1E71BE3F" w16cid:durableId="25B53086"/>
  <w16cid:commentId w16cid:paraId="68404678" w16cid:durableId="25B9EE50"/>
  <w16cid:commentId w16cid:paraId="366834D7" w16cid:durableId="25B52D59"/>
  <w16cid:commentId w16cid:paraId="7A35B01E" w16cid:durableId="25B52DCF"/>
  <w16cid:commentId w16cid:paraId="6CDC328A" w16cid:durableId="25B6044B"/>
  <w16cid:commentId w16cid:paraId="4C2B41AE" w16cid:durableId="25B7D918"/>
  <w16cid:commentId w16cid:paraId="350A5123" w16cid:durableId="25B9EE51"/>
  <w16cid:commentId w16cid:paraId="5FEC145F" w16cid:durableId="25B9EE52"/>
  <w16cid:commentId w16cid:paraId="6F13DF85" w16cid:durableId="25B9EE53"/>
  <w16cid:commentId w16cid:paraId="075D32D7" w16cid:durableId="25B52EE7"/>
  <w16cid:commentId w16cid:paraId="34E1C23D" w16cid:durableId="25B9EE54"/>
  <w16cid:commentId w16cid:paraId="0B6C6FC9" w16cid:durableId="25B52E8E"/>
  <w16cid:commentId w16cid:paraId="3C0881B9" w16cid:durableId="25B9EE55"/>
  <w16cid:commentId w16cid:paraId="2B2CD39B" w16cid:durableId="25B52E2B"/>
  <w16cid:commentId w16cid:paraId="390DE14B" w16cid:durableId="25B52F76"/>
  <w16cid:commentId w16cid:paraId="58E28C09" w16cid:durableId="25B9EE56"/>
  <w16cid:commentId w16cid:paraId="3D6B9E7D" w16cid:durableId="25B9EE57"/>
  <w16cid:commentId w16cid:paraId="52E711E6" w16cid:durableId="25B9EE58"/>
  <w16cid:commentId w16cid:paraId="36EB56EA" w16cid:durableId="25B52F57"/>
  <w16cid:commentId w16cid:paraId="1EA3DECD" w16cid:durableId="25B9EE59"/>
  <w16cid:commentId w16cid:paraId="2651F9A7" w16cid:durableId="25B53027"/>
  <w16cid:commentId w16cid:paraId="20C0A108" w16cid:durableId="25B5415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E8AB8E" w14:textId="77777777" w:rsidR="00A9786B" w:rsidRDefault="00A9786B" w:rsidP="00C671F8">
      <w:pPr>
        <w:spacing w:after="0" w:line="240" w:lineRule="auto"/>
      </w:pPr>
      <w:r>
        <w:separator/>
      </w:r>
    </w:p>
  </w:endnote>
  <w:endnote w:type="continuationSeparator" w:id="0">
    <w:p w14:paraId="55901031" w14:textId="77777777" w:rsidR="00A9786B" w:rsidRDefault="00A9786B" w:rsidP="00C671F8">
      <w:pPr>
        <w:spacing w:after="0" w:line="240" w:lineRule="auto"/>
      </w:pPr>
      <w:r>
        <w:continuationSeparator/>
      </w:r>
    </w:p>
  </w:endnote>
  <w:endnote w:type="continuationNotice" w:id="1">
    <w:p w14:paraId="6CFB07BC" w14:textId="77777777" w:rsidR="00A9786B" w:rsidRDefault="00A978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HelveticaNeueLT Std Cn">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HelveticaNeueLT Std Lt">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ldwin">
    <w:altName w:val="Eldwin"/>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6AC2D9" w14:textId="4245C720" w:rsidR="003004B5" w:rsidRDefault="003004B5" w:rsidP="008B47D3">
    <w:pPr>
      <w:pStyle w:val="Pieddepage"/>
      <w:pBdr>
        <w:top w:val="single" w:sz="4" w:space="0" w:color="auto"/>
      </w:pBdr>
      <w:spacing w:after="0"/>
    </w:pPr>
    <w:r>
      <w:t>CAISSE REGIONALE DE CREDIT AGRICOLE MUTUEL NORD MIDI-PYRENEES</w:t>
    </w:r>
    <w:r>
      <w:tab/>
    </w:r>
    <w:r>
      <w:tab/>
    </w:r>
    <w:r>
      <w:tab/>
    </w:r>
    <w:r>
      <w:tab/>
      <w:t xml:space="preserve">    </w:t>
    </w:r>
    <w:r>
      <w:fldChar w:fldCharType="begin"/>
    </w:r>
    <w:r>
      <w:instrText>PAGE   \* MERGEFORMAT</w:instrText>
    </w:r>
    <w:r>
      <w:fldChar w:fldCharType="separate"/>
    </w:r>
    <w:r w:rsidR="00E80406">
      <w:rPr>
        <w:noProof/>
      </w:rPr>
      <w:t>12</w:t>
    </w:r>
    <w:r>
      <w:fldChar w:fldCharType="end"/>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219C7B" w14:textId="77777777" w:rsidR="00A9786B" w:rsidRDefault="00A9786B" w:rsidP="00C671F8">
      <w:pPr>
        <w:spacing w:after="0" w:line="240" w:lineRule="auto"/>
      </w:pPr>
      <w:r>
        <w:separator/>
      </w:r>
    </w:p>
  </w:footnote>
  <w:footnote w:type="continuationSeparator" w:id="0">
    <w:p w14:paraId="2DACF92C" w14:textId="77777777" w:rsidR="00A9786B" w:rsidRDefault="00A9786B" w:rsidP="00C671F8">
      <w:pPr>
        <w:spacing w:after="0" w:line="240" w:lineRule="auto"/>
      </w:pPr>
      <w:r>
        <w:continuationSeparator/>
      </w:r>
    </w:p>
  </w:footnote>
  <w:footnote w:type="continuationNotice" w:id="1">
    <w:p w14:paraId="26E86DF7" w14:textId="77777777" w:rsidR="00A9786B" w:rsidRDefault="00A9786B">
      <w:pPr>
        <w:spacing w:after="0" w:line="240" w:lineRule="auto"/>
      </w:pPr>
    </w:p>
  </w:footnote>
  <w:footnote w:id="2">
    <w:p w14:paraId="1CC5C8E1" w14:textId="77777777" w:rsidR="003004B5" w:rsidRPr="007E29DA" w:rsidRDefault="003004B5" w:rsidP="00BE2CD4">
      <w:pPr>
        <w:pStyle w:val="Notedebasdepage"/>
        <w:rPr>
          <w:rFonts w:ascii="Calibri" w:hAnsi="Calibri"/>
          <w:sz w:val="16"/>
          <w:szCs w:val="16"/>
        </w:rPr>
      </w:pPr>
      <w:r w:rsidRPr="007E29DA">
        <w:rPr>
          <w:rStyle w:val="Appelnotedebasdep"/>
          <w:rFonts w:ascii="Calibri" w:hAnsi="Calibri"/>
          <w:sz w:val="16"/>
          <w:szCs w:val="16"/>
        </w:rPr>
        <w:footnoteRef/>
      </w:r>
      <w:r w:rsidRPr="007E29DA">
        <w:rPr>
          <w:rFonts w:ascii="Calibri" w:hAnsi="Calibri"/>
          <w:sz w:val="16"/>
          <w:szCs w:val="16"/>
        </w:rPr>
        <w:t xml:space="preserve"> </w:t>
      </w:r>
      <w:r>
        <w:rPr>
          <w:rFonts w:ascii="Calibri" w:hAnsi="Calibri"/>
          <w:sz w:val="16"/>
          <w:szCs w:val="16"/>
        </w:rPr>
        <w:t>Caisse Régionale</w:t>
      </w:r>
      <w:r w:rsidRPr="007E29DA">
        <w:rPr>
          <w:rFonts w:ascii="Calibri" w:hAnsi="Calibri"/>
          <w:sz w:val="16"/>
          <w:szCs w:val="16"/>
        </w:rPr>
        <w:t xml:space="preserve"> du Tarn créée le 7 janvier 1900 ; du Tarn-et-Garonne, le 29 septembre 1906 ; du Lot le 13 novembre 1907 et de l’Aveyron, le 8 février 1908.</w:t>
      </w:r>
    </w:p>
  </w:footnote>
  <w:footnote w:id="3">
    <w:p w14:paraId="0E237DEF" w14:textId="6F53E770" w:rsidR="003004B5" w:rsidRDefault="003004B5" w:rsidP="00B72A61">
      <w:pPr>
        <w:spacing w:after="0" w:line="240" w:lineRule="auto"/>
        <w:jc w:val="left"/>
      </w:pPr>
      <w:r>
        <w:rPr>
          <w:rStyle w:val="Appelnotedebasdep"/>
        </w:rPr>
        <w:footnoteRef/>
      </w:r>
      <w:r>
        <w:t xml:space="preserve"> </w:t>
      </w:r>
      <w:r w:rsidRPr="00923B2B">
        <w:rPr>
          <w:sz w:val="16"/>
          <w:szCs w:val="16"/>
        </w:rPr>
        <w:t>Différence entre le pourcentage des clients ayant attribué une note de 9 à 10 à la question «</w:t>
      </w:r>
      <w:r w:rsidRPr="00923B2B">
        <w:rPr>
          <w:rFonts w:cs="Arial"/>
          <w:i/>
          <w:iCs/>
          <w:sz w:val="16"/>
          <w:szCs w:val="16"/>
        </w:rPr>
        <w:t xml:space="preserve"> Suite au dernier contact que vous avez eu avec le Crédit Agricole Nord Midi-Pyrénées, recommanderiez-vous le</w:t>
      </w:r>
      <w:r w:rsidRPr="00923B2B">
        <w:rPr>
          <w:i/>
          <w:sz w:val="16"/>
          <w:szCs w:val="16"/>
        </w:rPr>
        <w:t xml:space="preserve"> Crédit Agricole à votre famille, un ami ou un collègue »</w:t>
      </w:r>
      <w:r w:rsidRPr="00923B2B">
        <w:rPr>
          <w:sz w:val="16"/>
          <w:szCs w:val="16"/>
        </w:rPr>
        <w:t xml:space="preserve"> et celui des clients ayant attribué 0 à 6</w:t>
      </w:r>
      <w:r>
        <w:rPr>
          <w:sz w:val="16"/>
          <w:szCs w:val="16"/>
        </w:rPr>
        <w:t>.</w:t>
      </w:r>
    </w:p>
    <w:p w14:paraId="02A2E18A" w14:textId="77777777" w:rsidR="003004B5" w:rsidRDefault="003004B5" w:rsidP="00B72A61">
      <w:pPr>
        <w:pStyle w:val="Notedebasdepage"/>
      </w:pPr>
    </w:p>
  </w:footnote>
  <w:footnote w:id="4">
    <w:p w14:paraId="3DB328F3" w14:textId="77777777" w:rsidR="003004B5" w:rsidRDefault="003004B5" w:rsidP="00B72A61">
      <w:pPr>
        <w:pStyle w:val="Notedebasdepage"/>
      </w:pPr>
      <w:r>
        <w:rPr>
          <w:rStyle w:val="Appelnotedebasdep"/>
        </w:rPr>
        <w:footnoteRef/>
      </w:r>
      <w:r>
        <w:t xml:space="preserve"> </w:t>
      </w:r>
      <w:r w:rsidRPr="00FA5BA1">
        <w:rPr>
          <w:rFonts w:ascii="Calibri" w:eastAsia="Calibri" w:hAnsi="Calibri" w:cs="Arial"/>
          <w:sz w:val="16"/>
          <w:szCs w:val="16"/>
          <w:lang w:eastAsia="en-US"/>
        </w:rPr>
        <w:t>Voir Note méthodologique en annexe</w:t>
      </w:r>
      <w:r>
        <w:rPr>
          <w:rFonts w:ascii="Calibri" w:eastAsia="Calibri" w:hAnsi="Calibri" w:cs="Arial"/>
          <w:sz w:val="16"/>
          <w:szCs w:val="16"/>
          <w:lang w:eastAsia="en-US"/>
        </w:rPr>
        <w:t>.</w:t>
      </w:r>
    </w:p>
  </w:footnote>
  <w:footnote w:id="5">
    <w:p w14:paraId="71411F1C" w14:textId="77777777" w:rsidR="003004B5" w:rsidRPr="0098278F" w:rsidRDefault="003004B5" w:rsidP="0098278F">
      <w:pPr>
        <w:pStyle w:val="Notedebasdepage"/>
        <w:rPr>
          <w:sz w:val="16"/>
          <w:szCs w:val="16"/>
        </w:rPr>
      </w:pPr>
      <w:r w:rsidRPr="0098278F">
        <w:rPr>
          <w:rStyle w:val="Appelnotedebasdep"/>
          <w:sz w:val="16"/>
          <w:szCs w:val="16"/>
        </w:rPr>
        <w:footnoteRef/>
      </w:r>
      <w:r w:rsidRPr="0098278F">
        <w:rPr>
          <w:sz w:val="16"/>
          <w:szCs w:val="16"/>
        </w:rPr>
        <w:t xml:space="preserve"> </w:t>
      </w:r>
      <w:hyperlink r:id="rId1" w:history="1">
        <w:r w:rsidRPr="0098278F">
          <w:rPr>
            <w:rStyle w:val="Lienhypertexte"/>
            <w:sz w:val="16"/>
            <w:szCs w:val="16"/>
          </w:rPr>
          <w:t>https://www.amundi.fr/fr_instit/dl/doc/prospectus/FR0011066802/FRA/FRA</w:t>
        </w:r>
      </w:hyperlink>
    </w:p>
  </w:footnote>
  <w:footnote w:id="6">
    <w:p w14:paraId="35167E98" w14:textId="77777777" w:rsidR="003004B5" w:rsidRPr="00CD371D" w:rsidRDefault="003004B5" w:rsidP="00A47B32">
      <w:pPr>
        <w:pStyle w:val="Notedebasdepage"/>
        <w:rPr>
          <w:lang w:val="en-US"/>
        </w:rPr>
      </w:pPr>
      <w:r>
        <w:rPr>
          <w:rStyle w:val="Appelnotedebasdep"/>
        </w:rPr>
        <w:footnoteRef/>
      </w:r>
      <w:r w:rsidRPr="00CD371D">
        <w:rPr>
          <w:lang w:val="en-US"/>
        </w:rPr>
        <w:t xml:space="preserve"> </w:t>
      </w:r>
      <w:hyperlink r:id="rId2" w:history="1">
        <w:r w:rsidRPr="00CD371D">
          <w:rPr>
            <w:rStyle w:val="Lienhypertexte"/>
            <w:rFonts w:asciiTheme="minorHAnsi" w:hAnsiTheme="minorHAnsi" w:cstheme="minorHAnsi"/>
            <w:sz w:val="16"/>
            <w:szCs w:val="16"/>
            <w:lang w:val="en-US"/>
          </w:rPr>
          <w:t>Cf https://www.strategie.gouv.fr/sites/strategie.gouv.fr/files/atoms/files/fs_etude_rse_finale.pdf</w:t>
        </w:r>
      </w:hyperlink>
    </w:p>
  </w:footnote>
  <w:footnote w:id="7">
    <w:p w14:paraId="17973D0D" w14:textId="7198B16F" w:rsidR="003004B5" w:rsidRDefault="003004B5">
      <w:pPr>
        <w:pStyle w:val="Notedebasdepage"/>
      </w:pPr>
      <w:r>
        <w:rPr>
          <w:rStyle w:val="Appelnotedebasdep"/>
        </w:rPr>
        <w:footnoteRef/>
      </w:r>
      <w:r>
        <w:t xml:space="preserve"> Voir détail dans l’annexe méthodologique</w:t>
      </w:r>
    </w:p>
  </w:footnote>
  <w:footnote w:id="8">
    <w:p w14:paraId="178A42F9" w14:textId="6247B8D5" w:rsidR="003004B5" w:rsidRPr="00E63094" w:rsidRDefault="003004B5" w:rsidP="000B1EA8">
      <w:pPr>
        <w:pStyle w:val="Notedebasdepage"/>
        <w:rPr>
          <w:rFonts w:ascii="Arial" w:hAnsi="Arial" w:cs="Aria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E54F4D" w14:textId="77777777" w:rsidR="003004B5" w:rsidRDefault="003004B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52C16"/>
    <w:multiLevelType w:val="hybridMultilevel"/>
    <w:tmpl w:val="E9A63620"/>
    <w:lvl w:ilvl="0" w:tplc="9318723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0C6810D6"/>
    <w:multiLevelType w:val="hybridMultilevel"/>
    <w:tmpl w:val="CDA6D64C"/>
    <w:lvl w:ilvl="0" w:tplc="65726172">
      <w:start w:val="2"/>
      <w:numFmt w:val="bullet"/>
      <w:lvlText w:val=""/>
      <w:lvlJc w:val="left"/>
      <w:pPr>
        <w:ind w:left="360" w:hanging="360"/>
      </w:pPr>
      <w:rPr>
        <w:rFonts w:ascii="Wingdings" w:eastAsia="Calibri" w:hAnsi="Wingdings" w:cs="Times New Roman"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1C1E699C"/>
    <w:multiLevelType w:val="hybridMultilevel"/>
    <w:tmpl w:val="72209860"/>
    <w:lvl w:ilvl="0" w:tplc="6B307540">
      <w:start w:val="180"/>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C2F7233"/>
    <w:multiLevelType w:val="hybridMultilevel"/>
    <w:tmpl w:val="CD245518"/>
    <w:lvl w:ilvl="0" w:tplc="E66ECD28">
      <w:start w:val="1"/>
      <w:numFmt w:val="bullet"/>
      <w:lvlText w:val="•"/>
      <w:lvlJc w:val="left"/>
      <w:pPr>
        <w:tabs>
          <w:tab w:val="num" w:pos="720"/>
        </w:tabs>
        <w:ind w:left="720" w:hanging="360"/>
      </w:pPr>
      <w:rPr>
        <w:rFonts w:ascii="Arial" w:hAnsi="Arial" w:cs="Times New Roman" w:hint="default"/>
      </w:rPr>
    </w:lvl>
    <w:lvl w:ilvl="1" w:tplc="02863CA2">
      <w:start w:val="1"/>
      <w:numFmt w:val="bullet"/>
      <w:lvlText w:val="•"/>
      <w:lvlJc w:val="left"/>
      <w:pPr>
        <w:tabs>
          <w:tab w:val="num" w:pos="1440"/>
        </w:tabs>
        <w:ind w:left="1440" w:hanging="360"/>
      </w:pPr>
      <w:rPr>
        <w:rFonts w:ascii="Arial" w:hAnsi="Arial" w:cs="Times New Roman" w:hint="default"/>
      </w:rPr>
    </w:lvl>
    <w:lvl w:ilvl="2" w:tplc="7DFCA806">
      <w:start w:val="1"/>
      <w:numFmt w:val="bullet"/>
      <w:lvlText w:val="•"/>
      <w:lvlJc w:val="left"/>
      <w:pPr>
        <w:tabs>
          <w:tab w:val="num" w:pos="2160"/>
        </w:tabs>
        <w:ind w:left="2160" w:hanging="360"/>
      </w:pPr>
      <w:rPr>
        <w:rFonts w:ascii="Arial" w:hAnsi="Arial" w:cs="Times New Roman" w:hint="default"/>
      </w:rPr>
    </w:lvl>
    <w:lvl w:ilvl="3" w:tplc="60F4FAE2">
      <w:start w:val="1"/>
      <w:numFmt w:val="bullet"/>
      <w:lvlText w:val="•"/>
      <w:lvlJc w:val="left"/>
      <w:pPr>
        <w:tabs>
          <w:tab w:val="num" w:pos="2880"/>
        </w:tabs>
        <w:ind w:left="2880" w:hanging="360"/>
      </w:pPr>
      <w:rPr>
        <w:rFonts w:ascii="Arial" w:hAnsi="Arial" w:cs="Times New Roman" w:hint="default"/>
      </w:rPr>
    </w:lvl>
    <w:lvl w:ilvl="4" w:tplc="6DA256E8">
      <w:start w:val="1"/>
      <w:numFmt w:val="bullet"/>
      <w:lvlText w:val="•"/>
      <w:lvlJc w:val="left"/>
      <w:pPr>
        <w:tabs>
          <w:tab w:val="num" w:pos="3600"/>
        </w:tabs>
        <w:ind w:left="3600" w:hanging="360"/>
      </w:pPr>
      <w:rPr>
        <w:rFonts w:ascii="Arial" w:hAnsi="Arial" w:cs="Times New Roman" w:hint="default"/>
      </w:rPr>
    </w:lvl>
    <w:lvl w:ilvl="5" w:tplc="7D42DA68">
      <w:start w:val="1"/>
      <w:numFmt w:val="bullet"/>
      <w:lvlText w:val="•"/>
      <w:lvlJc w:val="left"/>
      <w:pPr>
        <w:tabs>
          <w:tab w:val="num" w:pos="4320"/>
        </w:tabs>
        <w:ind w:left="4320" w:hanging="360"/>
      </w:pPr>
      <w:rPr>
        <w:rFonts w:ascii="Arial" w:hAnsi="Arial" w:cs="Times New Roman" w:hint="default"/>
      </w:rPr>
    </w:lvl>
    <w:lvl w:ilvl="6" w:tplc="42D2D934">
      <w:start w:val="1"/>
      <w:numFmt w:val="bullet"/>
      <w:lvlText w:val="•"/>
      <w:lvlJc w:val="left"/>
      <w:pPr>
        <w:tabs>
          <w:tab w:val="num" w:pos="5040"/>
        </w:tabs>
        <w:ind w:left="5040" w:hanging="360"/>
      </w:pPr>
      <w:rPr>
        <w:rFonts w:ascii="Arial" w:hAnsi="Arial" w:cs="Times New Roman" w:hint="default"/>
      </w:rPr>
    </w:lvl>
    <w:lvl w:ilvl="7" w:tplc="58F2CA18">
      <w:start w:val="1"/>
      <w:numFmt w:val="bullet"/>
      <w:lvlText w:val="•"/>
      <w:lvlJc w:val="left"/>
      <w:pPr>
        <w:tabs>
          <w:tab w:val="num" w:pos="5760"/>
        </w:tabs>
        <w:ind w:left="5760" w:hanging="360"/>
      </w:pPr>
      <w:rPr>
        <w:rFonts w:ascii="Arial" w:hAnsi="Arial" w:cs="Times New Roman" w:hint="default"/>
      </w:rPr>
    </w:lvl>
    <w:lvl w:ilvl="8" w:tplc="AD5E6D5A">
      <w:start w:val="1"/>
      <w:numFmt w:val="bullet"/>
      <w:lvlText w:val="•"/>
      <w:lvlJc w:val="left"/>
      <w:pPr>
        <w:tabs>
          <w:tab w:val="num" w:pos="6480"/>
        </w:tabs>
        <w:ind w:left="6480" w:hanging="360"/>
      </w:pPr>
      <w:rPr>
        <w:rFonts w:ascii="Arial" w:hAnsi="Arial" w:cs="Times New Roman" w:hint="default"/>
      </w:rPr>
    </w:lvl>
  </w:abstractNum>
  <w:abstractNum w:abstractNumId="4" w15:restartNumberingAfterBreak="0">
    <w:nsid w:val="1CC161CE"/>
    <w:multiLevelType w:val="hybridMultilevel"/>
    <w:tmpl w:val="9112D854"/>
    <w:lvl w:ilvl="0" w:tplc="0562DA70">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1D8248F1"/>
    <w:multiLevelType w:val="singleLevel"/>
    <w:tmpl w:val="040C0001"/>
    <w:lvl w:ilvl="0">
      <w:start w:val="6"/>
      <w:numFmt w:val="bullet"/>
      <w:lvlText w:val=""/>
      <w:lvlJc w:val="left"/>
      <w:pPr>
        <w:tabs>
          <w:tab w:val="num" w:pos="360"/>
        </w:tabs>
        <w:ind w:left="360" w:hanging="360"/>
      </w:pPr>
      <w:rPr>
        <w:rFonts w:ascii="Symbol" w:hAnsi="Symbol" w:hint="default"/>
      </w:rPr>
    </w:lvl>
  </w:abstractNum>
  <w:abstractNum w:abstractNumId="6" w15:restartNumberingAfterBreak="0">
    <w:nsid w:val="1E5A1999"/>
    <w:multiLevelType w:val="hybridMultilevel"/>
    <w:tmpl w:val="8E605CBE"/>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7" w15:restartNumberingAfterBreak="0">
    <w:nsid w:val="234B3AEC"/>
    <w:multiLevelType w:val="hybridMultilevel"/>
    <w:tmpl w:val="31D041F6"/>
    <w:lvl w:ilvl="0" w:tplc="3496E72C">
      <w:numFmt w:val="bullet"/>
      <w:lvlText w:val="-"/>
      <w:lvlJc w:val="left"/>
      <w:pPr>
        <w:ind w:left="720" w:hanging="360"/>
      </w:pPr>
      <w:rPr>
        <w:rFonts w:ascii="Calibri" w:eastAsia="Calibri"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5B00832"/>
    <w:multiLevelType w:val="hybridMultilevel"/>
    <w:tmpl w:val="188E7ECA"/>
    <w:lvl w:ilvl="0" w:tplc="78B2B806">
      <w:numFmt w:val="bullet"/>
      <w:lvlText w:val="-"/>
      <w:lvlJc w:val="left"/>
      <w:pPr>
        <w:ind w:left="720" w:hanging="360"/>
      </w:pPr>
      <w:rPr>
        <w:rFonts w:ascii="Arial" w:eastAsia="Times New Roman" w:hAnsi="Arial"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5C816D5"/>
    <w:multiLevelType w:val="hybridMultilevel"/>
    <w:tmpl w:val="43940F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7B1799D"/>
    <w:multiLevelType w:val="hybridMultilevel"/>
    <w:tmpl w:val="8402A2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B4B0F9E"/>
    <w:multiLevelType w:val="hybridMultilevel"/>
    <w:tmpl w:val="68620B88"/>
    <w:lvl w:ilvl="0" w:tplc="CD94350C">
      <w:start w:val="2"/>
      <w:numFmt w:val="bullet"/>
      <w:lvlText w:val=""/>
      <w:lvlJc w:val="left"/>
      <w:pPr>
        <w:ind w:left="360" w:hanging="360"/>
      </w:pPr>
      <w:rPr>
        <w:rFonts w:ascii="Wingdings" w:eastAsia="Calibri" w:hAnsi="Wingdings" w:cs="Times New Roman"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307A7209"/>
    <w:multiLevelType w:val="hybridMultilevel"/>
    <w:tmpl w:val="EB689F7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15:restartNumberingAfterBreak="0">
    <w:nsid w:val="313D1C8A"/>
    <w:multiLevelType w:val="hybridMultilevel"/>
    <w:tmpl w:val="1CB22756"/>
    <w:lvl w:ilvl="0" w:tplc="5D24B4B4">
      <w:start w:val="1"/>
      <w:numFmt w:val="bullet"/>
      <w:lvlText w:val="•"/>
      <w:lvlJc w:val="left"/>
      <w:pPr>
        <w:tabs>
          <w:tab w:val="num" w:pos="720"/>
        </w:tabs>
        <w:ind w:left="720" w:hanging="360"/>
      </w:pPr>
      <w:rPr>
        <w:rFonts w:ascii="Arial" w:hAnsi="Arial" w:cs="Times New Roman" w:hint="default"/>
      </w:rPr>
    </w:lvl>
    <w:lvl w:ilvl="1" w:tplc="FC6091E2">
      <w:start w:val="382"/>
      <w:numFmt w:val="bullet"/>
      <w:lvlText w:val="•"/>
      <w:lvlJc w:val="left"/>
      <w:pPr>
        <w:tabs>
          <w:tab w:val="num" w:pos="1440"/>
        </w:tabs>
        <w:ind w:left="1440" w:hanging="360"/>
      </w:pPr>
      <w:rPr>
        <w:rFonts w:ascii="Arial" w:hAnsi="Arial" w:cs="Times New Roman" w:hint="default"/>
      </w:rPr>
    </w:lvl>
    <w:lvl w:ilvl="2" w:tplc="24FE936A">
      <w:start w:val="1"/>
      <w:numFmt w:val="bullet"/>
      <w:lvlText w:val="•"/>
      <w:lvlJc w:val="left"/>
      <w:pPr>
        <w:tabs>
          <w:tab w:val="num" w:pos="2160"/>
        </w:tabs>
        <w:ind w:left="2160" w:hanging="360"/>
      </w:pPr>
      <w:rPr>
        <w:rFonts w:ascii="Arial" w:hAnsi="Arial" w:cs="Times New Roman" w:hint="default"/>
      </w:rPr>
    </w:lvl>
    <w:lvl w:ilvl="3" w:tplc="EE305142">
      <w:start w:val="1"/>
      <w:numFmt w:val="bullet"/>
      <w:lvlText w:val="•"/>
      <w:lvlJc w:val="left"/>
      <w:pPr>
        <w:tabs>
          <w:tab w:val="num" w:pos="2880"/>
        </w:tabs>
        <w:ind w:left="2880" w:hanging="360"/>
      </w:pPr>
      <w:rPr>
        <w:rFonts w:ascii="Arial" w:hAnsi="Arial" w:cs="Times New Roman" w:hint="default"/>
      </w:rPr>
    </w:lvl>
    <w:lvl w:ilvl="4" w:tplc="E8A6D936">
      <w:start w:val="1"/>
      <w:numFmt w:val="bullet"/>
      <w:lvlText w:val="•"/>
      <w:lvlJc w:val="left"/>
      <w:pPr>
        <w:tabs>
          <w:tab w:val="num" w:pos="3600"/>
        </w:tabs>
        <w:ind w:left="3600" w:hanging="360"/>
      </w:pPr>
      <w:rPr>
        <w:rFonts w:ascii="Arial" w:hAnsi="Arial" w:cs="Times New Roman" w:hint="default"/>
      </w:rPr>
    </w:lvl>
    <w:lvl w:ilvl="5" w:tplc="8DB6217A">
      <w:start w:val="1"/>
      <w:numFmt w:val="bullet"/>
      <w:lvlText w:val="•"/>
      <w:lvlJc w:val="left"/>
      <w:pPr>
        <w:tabs>
          <w:tab w:val="num" w:pos="4320"/>
        </w:tabs>
        <w:ind w:left="4320" w:hanging="360"/>
      </w:pPr>
      <w:rPr>
        <w:rFonts w:ascii="Arial" w:hAnsi="Arial" w:cs="Times New Roman" w:hint="default"/>
      </w:rPr>
    </w:lvl>
    <w:lvl w:ilvl="6" w:tplc="AEF8D656">
      <w:start w:val="1"/>
      <w:numFmt w:val="bullet"/>
      <w:lvlText w:val="•"/>
      <w:lvlJc w:val="left"/>
      <w:pPr>
        <w:tabs>
          <w:tab w:val="num" w:pos="5040"/>
        </w:tabs>
        <w:ind w:left="5040" w:hanging="360"/>
      </w:pPr>
      <w:rPr>
        <w:rFonts w:ascii="Arial" w:hAnsi="Arial" w:cs="Times New Roman" w:hint="default"/>
      </w:rPr>
    </w:lvl>
    <w:lvl w:ilvl="7" w:tplc="31B41BD6">
      <w:start w:val="1"/>
      <w:numFmt w:val="bullet"/>
      <w:lvlText w:val="•"/>
      <w:lvlJc w:val="left"/>
      <w:pPr>
        <w:tabs>
          <w:tab w:val="num" w:pos="5760"/>
        </w:tabs>
        <w:ind w:left="5760" w:hanging="360"/>
      </w:pPr>
      <w:rPr>
        <w:rFonts w:ascii="Arial" w:hAnsi="Arial" w:cs="Times New Roman" w:hint="default"/>
      </w:rPr>
    </w:lvl>
    <w:lvl w:ilvl="8" w:tplc="5D7CFA36">
      <w:start w:val="1"/>
      <w:numFmt w:val="bullet"/>
      <w:lvlText w:val="•"/>
      <w:lvlJc w:val="left"/>
      <w:pPr>
        <w:tabs>
          <w:tab w:val="num" w:pos="6480"/>
        </w:tabs>
        <w:ind w:left="6480" w:hanging="360"/>
      </w:pPr>
      <w:rPr>
        <w:rFonts w:ascii="Arial" w:hAnsi="Arial" w:cs="Times New Roman" w:hint="default"/>
      </w:rPr>
    </w:lvl>
  </w:abstractNum>
  <w:abstractNum w:abstractNumId="14" w15:restartNumberingAfterBreak="0">
    <w:nsid w:val="320A6598"/>
    <w:multiLevelType w:val="hybridMultilevel"/>
    <w:tmpl w:val="8CE826E4"/>
    <w:lvl w:ilvl="0" w:tplc="789674A4">
      <w:start w:val="1"/>
      <w:numFmt w:val="bullet"/>
      <w:lvlText w:val="•"/>
      <w:lvlJc w:val="left"/>
      <w:pPr>
        <w:tabs>
          <w:tab w:val="num" w:pos="720"/>
        </w:tabs>
        <w:ind w:left="720" w:hanging="360"/>
      </w:pPr>
      <w:rPr>
        <w:rFonts w:ascii="Arial" w:hAnsi="Arial" w:cs="Times New Roman" w:hint="default"/>
      </w:rPr>
    </w:lvl>
    <w:lvl w:ilvl="1" w:tplc="18E2DDCA">
      <w:start w:val="1"/>
      <w:numFmt w:val="bullet"/>
      <w:lvlText w:val="•"/>
      <w:lvlJc w:val="left"/>
      <w:pPr>
        <w:tabs>
          <w:tab w:val="num" w:pos="1440"/>
        </w:tabs>
        <w:ind w:left="1440" w:hanging="360"/>
      </w:pPr>
      <w:rPr>
        <w:rFonts w:ascii="Arial" w:hAnsi="Arial" w:cs="Times New Roman" w:hint="default"/>
      </w:rPr>
    </w:lvl>
    <w:lvl w:ilvl="2" w:tplc="517EBC84">
      <w:start w:val="1"/>
      <w:numFmt w:val="bullet"/>
      <w:lvlText w:val="•"/>
      <w:lvlJc w:val="left"/>
      <w:pPr>
        <w:tabs>
          <w:tab w:val="num" w:pos="2160"/>
        </w:tabs>
        <w:ind w:left="2160" w:hanging="360"/>
      </w:pPr>
      <w:rPr>
        <w:rFonts w:ascii="Arial" w:hAnsi="Arial" w:cs="Times New Roman" w:hint="default"/>
      </w:rPr>
    </w:lvl>
    <w:lvl w:ilvl="3" w:tplc="968E6380">
      <w:start w:val="1"/>
      <w:numFmt w:val="bullet"/>
      <w:lvlText w:val="•"/>
      <w:lvlJc w:val="left"/>
      <w:pPr>
        <w:tabs>
          <w:tab w:val="num" w:pos="2880"/>
        </w:tabs>
        <w:ind w:left="2880" w:hanging="360"/>
      </w:pPr>
      <w:rPr>
        <w:rFonts w:ascii="Arial" w:hAnsi="Arial" w:cs="Times New Roman" w:hint="default"/>
      </w:rPr>
    </w:lvl>
    <w:lvl w:ilvl="4" w:tplc="A4F828DE">
      <w:start w:val="1"/>
      <w:numFmt w:val="bullet"/>
      <w:lvlText w:val="•"/>
      <w:lvlJc w:val="left"/>
      <w:pPr>
        <w:tabs>
          <w:tab w:val="num" w:pos="3600"/>
        </w:tabs>
        <w:ind w:left="3600" w:hanging="360"/>
      </w:pPr>
      <w:rPr>
        <w:rFonts w:ascii="Arial" w:hAnsi="Arial" w:cs="Times New Roman" w:hint="default"/>
      </w:rPr>
    </w:lvl>
    <w:lvl w:ilvl="5" w:tplc="4E00C65E">
      <w:start w:val="1"/>
      <w:numFmt w:val="bullet"/>
      <w:lvlText w:val="•"/>
      <w:lvlJc w:val="left"/>
      <w:pPr>
        <w:tabs>
          <w:tab w:val="num" w:pos="4320"/>
        </w:tabs>
        <w:ind w:left="4320" w:hanging="360"/>
      </w:pPr>
      <w:rPr>
        <w:rFonts w:ascii="Arial" w:hAnsi="Arial" w:cs="Times New Roman" w:hint="default"/>
      </w:rPr>
    </w:lvl>
    <w:lvl w:ilvl="6" w:tplc="B8123844">
      <w:start w:val="1"/>
      <w:numFmt w:val="bullet"/>
      <w:lvlText w:val="•"/>
      <w:lvlJc w:val="left"/>
      <w:pPr>
        <w:tabs>
          <w:tab w:val="num" w:pos="5040"/>
        </w:tabs>
        <w:ind w:left="5040" w:hanging="360"/>
      </w:pPr>
      <w:rPr>
        <w:rFonts w:ascii="Arial" w:hAnsi="Arial" w:cs="Times New Roman" w:hint="default"/>
      </w:rPr>
    </w:lvl>
    <w:lvl w:ilvl="7" w:tplc="F0126A48">
      <w:start w:val="1"/>
      <w:numFmt w:val="bullet"/>
      <w:lvlText w:val="•"/>
      <w:lvlJc w:val="left"/>
      <w:pPr>
        <w:tabs>
          <w:tab w:val="num" w:pos="5760"/>
        </w:tabs>
        <w:ind w:left="5760" w:hanging="360"/>
      </w:pPr>
      <w:rPr>
        <w:rFonts w:ascii="Arial" w:hAnsi="Arial" w:cs="Times New Roman" w:hint="default"/>
      </w:rPr>
    </w:lvl>
    <w:lvl w:ilvl="8" w:tplc="E40C4A78">
      <w:start w:val="1"/>
      <w:numFmt w:val="bullet"/>
      <w:lvlText w:val="•"/>
      <w:lvlJc w:val="left"/>
      <w:pPr>
        <w:tabs>
          <w:tab w:val="num" w:pos="6480"/>
        </w:tabs>
        <w:ind w:left="6480" w:hanging="360"/>
      </w:pPr>
      <w:rPr>
        <w:rFonts w:ascii="Arial" w:hAnsi="Arial" w:cs="Times New Roman" w:hint="default"/>
      </w:rPr>
    </w:lvl>
  </w:abstractNum>
  <w:abstractNum w:abstractNumId="15" w15:restartNumberingAfterBreak="0">
    <w:nsid w:val="328B4484"/>
    <w:multiLevelType w:val="hybridMultilevel"/>
    <w:tmpl w:val="285A5ABC"/>
    <w:lvl w:ilvl="0" w:tplc="20501F1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4125701"/>
    <w:multiLevelType w:val="multilevel"/>
    <w:tmpl w:val="89D055EA"/>
    <w:lvl w:ilvl="0">
      <w:start w:val="1"/>
      <w:numFmt w:val="decimal"/>
      <w:pStyle w:val="Titre1"/>
      <w:lvlText w:val="%1"/>
      <w:lvlJc w:val="left"/>
      <w:pPr>
        <w:ind w:left="432" w:hanging="432"/>
      </w:pPr>
      <w:rPr>
        <w:color w:val="auto"/>
      </w:rPr>
    </w:lvl>
    <w:lvl w:ilvl="1">
      <w:start w:val="1"/>
      <w:numFmt w:val="decimal"/>
      <w:pStyle w:val="Titre2"/>
      <w:lvlText w:val="%1.%2"/>
      <w:lvlJc w:val="left"/>
      <w:pPr>
        <w:ind w:left="1002" w:hanging="576"/>
      </w:pPr>
    </w:lvl>
    <w:lvl w:ilvl="2">
      <w:start w:val="1"/>
      <w:numFmt w:val="decimal"/>
      <w:pStyle w:val="Titre3"/>
      <w:lvlText w:val="%1.%2.%3"/>
      <w:lvlJc w:val="left"/>
      <w:pPr>
        <w:ind w:left="8659" w:hanging="720"/>
      </w:pPr>
      <w:rPr>
        <w:sz w:val="28"/>
      </w:rPr>
    </w:lvl>
    <w:lvl w:ilvl="3">
      <w:start w:val="1"/>
      <w:numFmt w:val="decimal"/>
      <w:pStyle w:val="Titre4"/>
      <w:lvlText w:val="%1.%2.%3.%4"/>
      <w:lvlJc w:val="left"/>
      <w:pPr>
        <w:ind w:left="1999" w:hanging="864"/>
      </w:pPr>
      <w:rPr>
        <w:sz w:val="28"/>
      </w:rPr>
    </w:lvl>
    <w:lvl w:ilvl="4">
      <w:start w:val="1"/>
      <w:numFmt w:val="decimal"/>
      <w:pStyle w:val="Titre5"/>
      <w:lvlText w:val="%1.%2.%3.%4.%5"/>
      <w:lvlJc w:val="left"/>
      <w:pPr>
        <w:ind w:left="10223"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7" w15:restartNumberingAfterBreak="0">
    <w:nsid w:val="385A0893"/>
    <w:multiLevelType w:val="hybridMultilevel"/>
    <w:tmpl w:val="0D38874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39AC4159"/>
    <w:multiLevelType w:val="hybridMultilevel"/>
    <w:tmpl w:val="8D1CD53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D325CD2"/>
    <w:multiLevelType w:val="hybridMultilevel"/>
    <w:tmpl w:val="803E49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DEF4715"/>
    <w:multiLevelType w:val="hybridMultilevel"/>
    <w:tmpl w:val="6A80321E"/>
    <w:lvl w:ilvl="0" w:tplc="A34E8608">
      <w:start w:val="1"/>
      <w:numFmt w:val="bullet"/>
      <w:lvlText w:val="-"/>
      <w:lvlJc w:val="left"/>
      <w:pPr>
        <w:ind w:left="1080" w:hanging="360"/>
      </w:pPr>
      <w:rPr>
        <w:rFonts w:ascii="Calibri" w:eastAsia="Calibri" w:hAnsi="Calibri" w:cs="Calibri"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21" w15:restartNumberingAfterBreak="0">
    <w:nsid w:val="3EAE5838"/>
    <w:multiLevelType w:val="hybridMultilevel"/>
    <w:tmpl w:val="3110B290"/>
    <w:lvl w:ilvl="0" w:tplc="C7DCD174">
      <w:start w:val="1"/>
      <w:numFmt w:val="bullet"/>
      <w:lvlText w:val=""/>
      <w:lvlJc w:val="left"/>
      <w:pPr>
        <w:tabs>
          <w:tab w:val="num" w:pos="720"/>
        </w:tabs>
        <w:ind w:left="720" w:hanging="360"/>
      </w:pPr>
      <w:rPr>
        <w:rFonts w:ascii="Wingdings" w:hAnsi="Wingdings" w:hint="default"/>
      </w:rPr>
    </w:lvl>
    <w:lvl w:ilvl="1" w:tplc="0CD8FBCC">
      <w:start w:val="1"/>
      <w:numFmt w:val="bullet"/>
      <w:lvlText w:val=""/>
      <w:lvlJc w:val="left"/>
      <w:pPr>
        <w:tabs>
          <w:tab w:val="num" w:pos="1440"/>
        </w:tabs>
        <w:ind w:left="1440" w:hanging="360"/>
      </w:pPr>
      <w:rPr>
        <w:rFonts w:ascii="Wingdings" w:hAnsi="Wingdings" w:hint="default"/>
      </w:rPr>
    </w:lvl>
    <w:lvl w:ilvl="2" w:tplc="6B04DEB0" w:tentative="1">
      <w:start w:val="1"/>
      <w:numFmt w:val="bullet"/>
      <w:lvlText w:val=""/>
      <w:lvlJc w:val="left"/>
      <w:pPr>
        <w:tabs>
          <w:tab w:val="num" w:pos="2160"/>
        </w:tabs>
        <w:ind w:left="2160" w:hanging="360"/>
      </w:pPr>
      <w:rPr>
        <w:rFonts w:ascii="Wingdings" w:hAnsi="Wingdings" w:hint="default"/>
      </w:rPr>
    </w:lvl>
    <w:lvl w:ilvl="3" w:tplc="908E3598" w:tentative="1">
      <w:start w:val="1"/>
      <w:numFmt w:val="bullet"/>
      <w:lvlText w:val=""/>
      <w:lvlJc w:val="left"/>
      <w:pPr>
        <w:tabs>
          <w:tab w:val="num" w:pos="2880"/>
        </w:tabs>
        <w:ind w:left="2880" w:hanging="360"/>
      </w:pPr>
      <w:rPr>
        <w:rFonts w:ascii="Wingdings" w:hAnsi="Wingdings" w:hint="default"/>
      </w:rPr>
    </w:lvl>
    <w:lvl w:ilvl="4" w:tplc="6B18F066" w:tentative="1">
      <w:start w:val="1"/>
      <w:numFmt w:val="bullet"/>
      <w:lvlText w:val=""/>
      <w:lvlJc w:val="left"/>
      <w:pPr>
        <w:tabs>
          <w:tab w:val="num" w:pos="3600"/>
        </w:tabs>
        <w:ind w:left="3600" w:hanging="360"/>
      </w:pPr>
      <w:rPr>
        <w:rFonts w:ascii="Wingdings" w:hAnsi="Wingdings" w:hint="default"/>
      </w:rPr>
    </w:lvl>
    <w:lvl w:ilvl="5" w:tplc="008C5EFA" w:tentative="1">
      <w:start w:val="1"/>
      <w:numFmt w:val="bullet"/>
      <w:lvlText w:val=""/>
      <w:lvlJc w:val="left"/>
      <w:pPr>
        <w:tabs>
          <w:tab w:val="num" w:pos="4320"/>
        </w:tabs>
        <w:ind w:left="4320" w:hanging="360"/>
      </w:pPr>
      <w:rPr>
        <w:rFonts w:ascii="Wingdings" w:hAnsi="Wingdings" w:hint="default"/>
      </w:rPr>
    </w:lvl>
    <w:lvl w:ilvl="6" w:tplc="FBD8166A" w:tentative="1">
      <w:start w:val="1"/>
      <w:numFmt w:val="bullet"/>
      <w:lvlText w:val=""/>
      <w:lvlJc w:val="left"/>
      <w:pPr>
        <w:tabs>
          <w:tab w:val="num" w:pos="5040"/>
        </w:tabs>
        <w:ind w:left="5040" w:hanging="360"/>
      </w:pPr>
      <w:rPr>
        <w:rFonts w:ascii="Wingdings" w:hAnsi="Wingdings" w:hint="default"/>
      </w:rPr>
    </w:lvl>
    <w:lvl w:ilvl="7" w:tplc="236A2596" w:tentative="1">
      <w:start w:val="1"/>
      <w:numFmt w:val="bullet"/>
      <w:lvlText w:val=""/>
      <w:lvlJc w:val="left"/>
      <w:pPr>
        <w:tabs>
          <w:tab w:val="num" w:pos="5760"/>
        </w:tabs>
        <w:ind w:left="5760" w:hanging="360"/>
      </w:pPr>
      <w:rPr>
        <w:rFonts w:ascii="Wingdings" w:hAnsi="Wingdings" w:hint="default"/>
      </w:rPr>
    </w:lvl>
    <w:lvl w:ilvl="8" w:tplc="49ACA88A"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665B99"/>
    <w:multiLevelType w:val="hybridMultilevel"/>
    <w:tmpl w:val="F464335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477403C9"/>
    <w:multiLevelType w:val="hybridMultilevel"/>
    <w:tmpl w:val="DDD01E3C"/>
    <w:lvl w:ilvl="0" w:tplc="BDC49718">
      <w:start w:val="2"/>
      <w:numFmt w:val="bullet"/>
      <w:lvlText w:val=""/>
      <w:lvlJc w:val="left"/>
      <w:pPr>
        <w:ind w:left="360" w:hanging="360"/>
      </w:pPr>
      <w:rPr>
        <w:rFonts w:ascii="Wingdings" w:eastAsia="Calibri" w:hAnsi="Wingdings" w:cs="Times New Roman"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4DC2440E"/>
    <w:multiLevelType w:val="hybridMultilevel"/>
    <w:tmpl w:val="5FA6BA30"/>
    <w:lvl w:ilvl="0" w:tplc="FB4EAC74">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513A5637"/>
    <w:multiLevelType w:val="multilevel"/>
    <w:tmpl w:val="B2448568"/>
    <w:styleLink w:val="Style1"/>
    <w:lvl w:ilvl="0">
      <w:start w:val="1"/>
      <w:numFmt w:val="decimal"/>
      <w:lvlText w:val="%1 - "/>
      <w:lvlJc w:val="left"/>
      <w:pPr>
        <w:ind w:left="227" w:hanging="227"/>
      </w:pPr>
      <w:rPr>
        <w:rFonts w:ascii="Calibri" w:hAnsi="Calibri" w:hint="default"/>
      </w:rPr>
    </w:lvl>
    <w:lvl w:ilvl="1">
      <w:start w:val="1"/>
      <w:numFmt w:val="none"/>
      <w:lvlText w:val="%21 - 1 "/>
      <w:lvlJc w:val="left"/>
      <w:pPr>
        <w:ind w:left="1191" w:hanging="831"/>
      </w:pPr>
      <w:rPr>
        <w:rFonts w:ascii="Calibri" w:hAnsi="Calibri" w:hint="default"/>
      </w:rPr>
    </w:lvl>
    <w:lvl w:ilvl="2">
      <w:start w:val="1"/>
      <w:numFmt w:val="none"/>
      <w:lvlText w:val="1 - 1 - 1 %3"/>
      <w:lvlJc w:val="left"/>
      <w:pPr>
        <w:ind w:left="2155" w:hanging="1435"/>
      </w:pPr>
      <w:rPr>
        <w:rFonts w:ascii="Calibri" w:hAnsi="Calibri"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52BC423F"/>
    <w:multiLevelType w:val="hybridMultilevel"/>
    <w:tmpl w:val="7A6E5B1E"/>
    <w:lvl w:ilvl="0" w:tplc="E2A462DA">
      <w:start w:val="1"/>
      <w:numFmt w:val="decimal"/>
      <w:pStyle w:val="CAA-T3"/>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start w:val="1"/>
      <w:numFmt w:val="lowerLetter"/>
      <w:pStyle w:val="CAA-T3"/>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56874A4C"/>
    <w:multiLevelType w:val="multilevel"/>
    <w:tmpl w:val="27CAD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FC36FE"/>
    <w:multiLevelType w:val="hybridMultilevel"/>
    <w:tmpl w:val="E724E8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B440C01"/>
    <w:multiLevelType w:val="hybridMultilevel"/>
    <w:tmpl w:val="5BA8B7F6"/>
    <w:lvl w:ilvl="0" w:tplc="D4BA8DB8">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DE012C4"/>
    <w:multiLevelType w:val="hybridMultilevel"/>
    <w:tmpl w:val="4C3E57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EB03E73"/>
    <w:multiLevelType w:val="hybridMultilevel"/>
    <w:tmpl w:val="8652600A"/>
    <w:lvl w:ilvl="0" w:tplc="36F2726E">
      <w:start w:val="6"/>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F2556B9"/>
    <w:multiLevelType w:val="hybridMultilevel"/>
    <w:tmpl w:val="DEBA2CC0"/>
    <w:lvl w:ilvl="0" w:tplc="A2808DC8">
      <w:start w:val="5"/>
      <w:numFmt w:val="bullet"/>
      <w:lvlText w:val=""/>
      <w:lvlJc w:val="left"/>
      <w:pPr>
        <w:ind w:left="720" w:hanging="360"/>
      </w:pPr>
      <w:rPr>
        <w:rFonts w:ascii="Wingdings" w:eastAsia="Calibri"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01C66D2"/>
    <w:multiLevelType w:val="hybridMultilevel"/>
    <w:tmpl w:val="87C87A9C"/>
    <w:lvl w:ilvl="0" w:tplc="8D2A0BEA">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68443B10"/>
    <w:multiLevelType w:val="hybridMultilevel"/>
    <w:tmpl w:val="2C4A5F3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9EB1DFB"/>
    <w:multiLevelType w:val="hybridMultilevel"/>
    <w:tmpl w:val="A5C06B00"/>
    <w:lvl w:ilvl="0" w:tplc="361A0DDE">
      <w:start w:val="1"/>
      <w:numFmt w:val="bullet"/>
      <w:lvlText w:val=""/>
      <w:lvlJc w:val="left"/>
      <w:pPr>
        <w:tabs>
          <w:tab w:val="num" w:pos="720"/>
        </w:tabs>
        <w:ind w:left="720" w:hanging="360"/>
      </w:pPr>
      <w:rPr>
        <w:rFonts w:ascii="Wingdings" w:hAnsi="Wingdings" w:hint="default"/>
      </w:rPr>
    </w:lvl>
    <w:lvl w:ilvl="1" w:tplc="3C54B590">
      <w:numFmt w:val="bullet"/>
      <w:lvlText w:val=""/>
      <w:lvlJc w:val="left"/>
      <w:pPr>
        <w:tabs>
          <w:tab w:val="num" w:pos="1440"/>
        </w:tabs>
        <w:ind w:left="1440" w:hanging="360"/>
      </w:pPr>
      <w:rPr>
        <w:rFonts w:ascii="Wingdings" w:hAnsi="Wingdings" w:hint="default"/>
      </w:rPr>
    </w:lvl>
    <w:lvl w:ilvl="2" w:tplc="03C4D030">
      <w:start w:val="1"/>
      <w:numFmt w:val="bullet"/>
      <w:lvlText w:val=""/>
      <w:lvlJc w:val="left"/>
      <w:pPr>
        <w:tabs>
          <w:tab w:val="num" w:pos="2160"/>
        </w:tabs>
        <w:ind w:left="2160" w:hanging="360"/>
      </w:pPr>
      <w:rPr>
        <w:rFonts w:ascii="Wingdings" w:hAnsi="Wingdings" w:hint="default"/>
      </w:rPr>
    </w:lvl>
    <w:lvl w:ilvl="3" w:tplc="5EEE4CCC">
      <w:start w:val="1"/>
      <w:numFmt w:val="bullet"/>
      <w:lvlText w:val=""/>
      <w:lvlJc w:val="left"/>
      <w:pPr>
        <w:tabs>
          <w:tab w:val="num" w:pos="2880"/>
        </w:tabs>
        <w:ind w:left="2880" w:hanging="360"/>
      </w:pPr>
      <w:rPr>
        <w:rFonts w:ascii="Wingdings" w:hAnsi="Wingdings" w:hint="default"/>
      </w:rPr>
    </w:lvl>
    <w:lvl w:ilvl="4" w:tplc="8E749E9A">
      <w:start w:val="1"/>
      <w:numFmt w:val="bullet"/>
      <w:lvlText w:val=""/>
      <w:lvlJc w:val="left"/>
      <w:pPr>
        <w:tabs>
          <w:tab w:val="num" w:pos="3600"/>
        </w:tabs>
        <w:ind w:left="3600" w:hanging="360"/>
      </w:pPr>
      <w:rPr>
        <w:rFonts w:ascii="Wingdings" w:hAnsi="Wingdings" w:hint="default"/>
      </w:rPr>
    </w:lvl>
    <w:lvl w:ilvl="5" w:tplc="E9DAE9DA">
      <w:start w:val="1"/>
      <w:numFmt w:val="bullet"/>
      <w:lvlText w:val=""/>
      <w:lvlJc w:val="left"/>
      <w:pPr>
        <w:tabs>
          <w:tab w:val="num" w:pos="4320"/>
        </w:tabs>
        <w:ind w:left="4320" w:hanging="360"/>
      </w:pPr>
      <w:rPr>
        <w:rFonts w:ascii="Wingdings" w:hAnsi="Wingdings" w:hint="default"/>
      </w:rPr>
    </w:lvl>
    <w:lvl w:ilvl="6" w:tplc="01BA975A">
      <w:start w:val="1"/>
      <w:numFmt w:val="bullet"/>
      <w:lvlText w:val=""/>
      <w:lvlJc w:val="left"/>
      <w:pPr>
        <w:tabs>
          <w:tab w:val="num" w:pos="5040"/>
        </w:tabs>
        <w:ind w:left="5040" w:hanging="360"/>
      </w:pPr>
      <w:rPr>
        <w:rFonts w:ascii="Wingdings" w:hAnsi="Wingdings" w:hint="default"/>
      </w:rPr>
    </w:lvl>
    <w:lvl w:ilvl="7" w:tplc="F098BAA6">
      <w:start w:val="1"/>
      <w:numFmt w:val="bullet"/>
      <w:lvlText w:val=""/>
      <w:lvlJc w:val="left"/>
      <w:pPr>
        <w:tabs>
          <w:tab w:val="num" w:pos="5760"/>
        </w:tabs>
        <w:ind w:left="5760" w:hanging="360"/>
      </w:pPr>
      <w:rPr>
        <w:rFonts w:ascii="Wingdings" w:hAnsi="Wingdings" w:hint="default"/>
      </w:rPr>
    </w:lvl>
    <w:lvl w:ilvl="8" w:tplc="01E65510">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C461206"/>
    <w:multiLevelType w:val="hybridMultilevel"/>
    <w:tmpl w:val="A6F24506"/>
    <w:lvl w:ilvl="0" w:tplc="48BA6330">
      <w:start w:val="2"/>
      <w:numFmt w:val="bullet"/>
      <w:lvlText w:val=""/>
      <w:lvlJc w:val="left"/>
      <w:pPr>
        <w:ind w:left="720" w:hanging="360"/>
      </w:pPr>
      <w:rPr>
        <w:rFonts w:ascii="Wingdings" w:eastAsia="Calibri" w:hAnsi="Wingdings"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E632A94"/>
    <w:multiLevelType w:val="hybridMultilevel"/>
    <w:tmpl w:val="501839A2"/>
    <w:name w:val="Liste_numero_Pilier322"/>
    <w:lvl w:ilvl="0" w:tplc="17E4E5C6">
      <w:start w:val="1"/>
      <w:numFmt w:val="bullet"/>
      <w:pStyle w:val="Pilier3Puces2"/>
      <w:lvlText w:val=""/>
      <w:lvlJc w:val="left"/>
      <w:pPr>
        <w:ind w:left="720" w:hanging="360"/>
      </w:pPr>
      <w:rPr>
        <w:rFonts w:ascii="Wingdings 2" w:hAnsi="Wingdings 2" w:hint="default"/>
        <w:color w:val="149363"/>
        <w:position w:val="-4"/>
        <w:sz w:val="24"/>
      </w:rPr>
    </w:lvl>
    <w:lvl w:ilvl="1" w:tplc="8E12C4C2">
      <w:start w:val="1"/>
      <w:numFmt w:val="lowerLetter"/>
      <w:lvlText w:val="%2."/>
      <w:lvlJc w:val="left"/>
      <w:pPr>
        <w:ind w:left="1440" w:hanging="360"/>
      </w:pPr>
    </w:lvl>
    <w:lvl w:ilvl="2" w:tplc="ECA4E82C">
      <w:start w:val="1"/>
      <w:numFmt w:val="lowerRoman"/>
      <w:lvlText w:val="%3."/>
      <w:lvlJc w:val="right"/>
      <w:pPr>
        <w:ind w:left="2160" w:hanging="180"/>
      </w:pPr>
    </w:lvl>
    <w:lvl w:ilvl="3" w:tplc="7D4A22CE">
      <w:start w:val="1"/>
      <w:numFmt w:val="decimal"/>
      <w:lvlText w:val="%4."/>
      <w:lvlJc w:val="left"/>
      <w:pPr>
        <w:ind w:left="2880" w:hanging="360"/>
      </w:pPr>
    </w:lvl>
    <w:lvl w:ilvl="4" w:tplc="BCF47042">
      <w:start w:val="1"/>
      <w:numFmt w:val="lowerLetter"/>
      <w:lvlText w:val="%5."/>
      <w:lvlJc w:val="left"/>
      <w:pPr>
        <w:ind w:left="3600" w:hanging="360"/>
      </w:pPr>
    </w:lvl>
    <w:lvl w:ilvl="5" w:tplc="1E121FEA">
      <w:start w:val="1"/>
      <w:numFmt w:val="lowerRoman"/>
      <w:lvlText w:val="%6."/>
      <w:lvlJc w:val="right"/>
      <w:pPr>
        <w:ind w:left="4320" w:hanging="180"/>
      </w:pPr>
    </w:lvl>
    <w:lvl w:ilvl="6" w:tplc="C26897BE">
      <w:start w:val="1"/>
      <w:numFmt w:val="decimal"/>
      <w:lvlText w:val="%7."/>
      <w:lvlJc w:val="left"/>
      <w:pPr>
        <w:ind w:left="5040" w:hanging="360"/>
      </w:pPr>
    </w:lvl>
    <w:lvl w:ilvl="7" w:tplc="E05A94C2">
      <w:start w:val="1"/>
      <w:numFmt w:val="lowerLetter"/>
      <w:lvlText w:val="%8."/>
      <w:lvlJc w:val="left"/>
      <w:pPr>
        <w:ind w:left="5760" w:hanging="360"/>
      </w:pPr>
    </w:lvl>
    <w:lvl w:ilvl="8" w:tplc="7FF429D8">
      <w:start w:val="1"/>
      <w:numFmt w:val="lowerRoman"/>
      <w:lvlText w:val="%9."/>
      <w:lvlJc w:val="right"/>
      <w:pPr>
        <w:ind w:left="6480" w:hanging="180"/>
      </w:pPr>
    </w:lvl>
  </w:abstractNum>
  <w:abstractNum w:abstractNumId="38" w15:restartNumberingAfterBreak="0">
    <w:nsid w:val="70E3171D"/>
    <w:multiLevelType w:val="hybridMultilevel"/>
    <w:tmpl w:val="DC4E5C7A"/>
    <w:lvl w:ilvl="0" w:tplc="78B2B80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FA94E89"/>
    <w:multiLevelType w:val="hybridMultilevel"/>
    <w:tmpl w:val="5FB662A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25"/>
  </w:num>
  <w:num w:numId="2">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9"/>
  </w:num>
  <w:num w:numId="5">
    <w:abstractNumId w:val="39"/>
  </w:num>
  <w:num w:numId="6">
    <w:abstractNumId w:val="30"/>
  </w:num>
  <w:num w:numId="7">
    <w:abstractNumId w:val="7"/>
  </w:num>
  <w:num w:numId="8">
    <w:abstractNumId w:val="10"/>
  </w:num>
  <w:num w:numId="9">
    <w:abstractNumId w:val="19"/>
  </w:num>
  <w:num w:numId="10">
    <w:abstractNumId w:val="16"/>
  </w:num>
  <w:num w:numId="11">
    <w:abstractNumId w:val="31"/>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21"/>
  </w:num>
  <w:num w:numId="15">
    <w:abstractNumId w:val="13"/>
  </w:num>
  <w:num w:numId="16">
    <w:abstractNumId w:val="14"/>
  </w:num>
  <w:num w:numId="17">
    <w:abstractNumId w:val="3"/>
  </w:num>
  <w:num w:numId="18">
    <w:abstractNumId w:val="4"/>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5"/>
  </w:num>
  <w:num w:numId="21">
    <w:abstractNumId w:val="12"/>
  </w:num>
  <w:num w:numId="22">
    <w:abstractNumId w:val="22"/>
  </w:num>
  <w:num w:numId="23">
    <w:abstractNumId w:val="16"/>
  </w:num>
  <w:num w:numId="24">
    <w:abstractNumId w:val="6"/>
  </w:num>
  <w:num w:numId="25">
    <w:abstractNumId w:val="16"/>
  </w:num>
  <w:num w:numId="26">
    <w:abstractNumId w:val="0"/>
  </w:num>
  <w:num w:numId="27">
    <w:abstractNumId w:val="33"/>
  </w:num>
  <w:num w:numId="28">
    <w:abstractNumId w:val="33"/>
  </w:num>
  <w:num w:numId="29">
    <w:abstractNumId w:val="0"/>
  </w:num>
  <w:num w:numId="30">
    <w:abstractNumId w:val="20"/>
  </w:num>
  <w:num w:numId="31">
    <w:abstractNumId w:val="29"/>
  </w:num>
  <w:num w:numId="32">
    <w:abstractNumId w:val="36"/>
  </w:num>
  <w:num w:numId="33">
    <w:abstractNumId w:val="23"/>
  </w:num>
  <w:num w:numId="34">
    <w:abstractNumId w:val="1"/>
  </w:num>
  <w:num w:numId="35">
    <w:abstractNumId w:val="11"/>
  </w:num>
  <w:num w:numId="36">
    <w:abstractNumId w:val="4"/>
  </w:num>
  <w:num w:numId="37">
    <w:abstractNumId w:val="16"/>
  </w:num>
  <w:num w:numId="38">
    <w:abstractNumId w:val="27"/>
  </w:num>
  <w:num w:numId="39">
    <w:abstractNumId w:val="16"/>
  </w:num>
  <w:num w:numId="40">
    <w:abstractNumId w:val="32"/>
  </w:num>
  <w:num w:numId="41">
    <w:abstractNumId w:val="18"/>
  </w:num>
  <w:num w:numId="42">
    <w:abstractNumId w:val="34"/>
  </w:num>
  <w:num w:numId="43">
    <w:abstractNumId w:val="15"/>
  </w:num>
  <w:num w:numId="44">
    <w:abstractNumId w:val="8"/>
  </w:num>
  <w:num w:numId="45">
    <w:abstractNumId w:val="38"/>
  </w:num>
  <w:num w:numId="46">
    <w:abstractNumId w:val="28"/>
  </w:num>
  <w:num w:numId="47">
    <w:abstractNumId w:val="16"/>
  </w:num>
  <w:num w:numId="48">
    <w:abstractNumId w:val="2"/>
  </w:num>
  <w:num w:numId="49">
    <w:abstractNumId w:val="5"/>
  </w:num>
  <w:num w:numId="50">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fr-FR" w:vendorID="64" w:dllVersion="6" w:nlCheck="1" w:checkStyle="0"/>
  <w:activeWritingStyle w:appName="MSWord" w:lang="en-US" w:vendorID="64" w:dllVersion="6" w:nlCheck="1" w:checkStyle="0"/>
  <w:activeWritingStyle w:appName="MSWord" w:lang="fr-FR" w:vendorID="64" w:dllVersion="0" w:nlCheck="1" w:checkStyle="0"/>
  <w:activeWritingStyle w:appName="MSWord" w:lang="en-US" w:vendorID="64" w:dllVersion="0" w:nlCheck="1" w:checkStyle="0"/>
  <w:activeWritingStyle w:appName="MSWord" w:lang="fr-FR" w:vendorID="64" w:dllVersion="131078" w:nlCheck="1" w:checkStyle="0"/>
  <w:activeWritingStyle w:appName="MSWord" w:lang="en-US" w:vendorID="64" w:dllVersion="131078" w:nlCheck="1" w:checkStyle="0"/>
  <w:defaultTabStop w:val="708"/>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D28"/>
    <w:rsid w:val="000000E1"/>
    <w:rsid w:val="00000D1A"/>
    <w:rsid w:val="00001573"/>
    <w:rsid w:val="00001BBE"/>
    <w:rsid w:val="00002441"/>
    <w:rsid w:val="00002CF4"/>
    <w:rsid w:val="00003054"/>
    <w:rsid w:val="00003250"/>
    <w:rsid w:val="000037A9"/>
    <w:rsid w:val="00003898"/>
    <w:rsid w:val="00004258"/>
    <w:rsid w:val="00007A6E"/>
    <w:rsid w:val="00011463"/>
    <w:rsid w:val="00012B25"/>
    <w:rsid w:val="00014023"/>
    <w:rsid w:val="0001516F"/>
    <w:rsid w:val="00015F8C"/>
    <w:rsid w:val="00016146"/>
    <w:rsid w:val="0001661A"/>
    <w:rsid w:val="00016CB1"/>
    <w:rsid w:val="0001745C"/>
    <w:rsid w:val="000205C7"/>
    <w:rsid w:val="00020646"/>
    <w:rsid w:val="00021231"/>
    <w:rsid w:val="00021F59"/>
    <w:rsid w:val="0002220A"/>
    <w:rsid w:val="000224D9"/>
    <w:rsid w:val="000227CB"/>
    <w:rsid w:val="00025530"/>
    <w:rsid w:val="00025C89"/>
    <w:rsid w:val="0002625F"/>
    <w:rsid w:val="000269E2"/>
    <w:rsid w:val="00027D7E"/>
    <w:rsid w:val="00030D5B"/>
    <w:rsid w:val="00031F18"/>
    <w:rsid w:val="000324F0"/>
    <w:rsid w:val="0003278F"/>
    <w:rsid w:val="000335D7"/>
    <w:rsid w:val="000336AC"/>
    <w:rsid w:val="00034941"/>
    <w:rsid w:val="00035FD3"/>
    <w:rsid w:val="0003746F"/>
    <w:rsid w:val="00037D15"/>
    <w:rsid w:val="00041339"/>
    <w:rsid w:val="00042119"/>
    <w:rsid w:val="000429D2"/>
    <w:rsid w:val="0004337F"/>
    <w:rsid w:val="000437B2"/>
    <w:rsid w:val="0004456F"/>
    <w:rsid w:val="00044744"/>
    <w:rsid w:val="00045845"/>
    <w:rsid w:val="00046064"/>
    <w:rsid w:val="00050FB8"/>
    <w:rsid w:val="00051BC7"/>
    <w:rsid w:val="00051D86"/>
    <w:rsid w:val="00052133"/>
    <w:rsid w:val="000526AF"/>
    <w:rsid w:val="00052F29"/>
    <w:rsid w:val="00054845"/>
    <w:rsid w:val="00054E04"/>
    <w:rsid w:val="00055E70"/>
    <w:rsid w:val="0005670A"/>
    <w:rsid w:val="00056B26"/>
    <w:rsid w:val="000573FC"/>
    <w:rsid w:val="00057858"/>
    <w:rsid w:val="00057C11"/>
    <w:rsid w:val="000609E8"/>
    <w:rsid w:val="00060ED7"/>
    <w:rsid w:val="00061277"/>
    <w:rsid w:val="000630B6"/>
    <w:rsid w:val="000632D4"/>
    <w:rsid w:val="00063915"/>
    <w:rsid w:val="00063D1F"/>
    <w:rsid w:val="00063F7F"/>
    <w:rsid w:val="00064098"/>
    <w:rsid w:val="00064E4E"/>
    <w:rsid w:val="000653BE"/>
    <w:rsid w:val="00065476"/>
    <w:rsid w:val="00066981"/>
    <w:rsid w:val="00066D73"/>
    <w:rsid w:val="00066F54"/>
    <w:rsid w:val="000702FB"/>
    <w:rsid w:val="00070474"/>
    <w:rsid w:val="00071C01"/>
    <w:rsid w:val="00072B65"/>
    <w:rsid w:val="00073427"/>
    <w:rsid w:val="00076641"/>
    <w:rsid w:val="00076CD6"/>
    <w:rsid w:val="00080164"/>
    <w:rsid w:val="000807F1"/>
    <w:rsid w:val="0008085D"/>
    <w:rsid w:val="000809F0"/>
    <w:rsid w:val="0008101E"/>
    <w:rsid w:val="00081DBA"/>
    <w:rsid w:val="00081FFF"/>
    <w:rsid w:val="00083A24"/>
    <w:rsid w:val="00084193"/>
    <w:rsid w:val="00085295"/>
    <w:rsid w:val="000857BB"/>
    <w:rsid w:val="0008600A"/>
    <w:rsid w:val="00086155"/>
    <w:rsid w:val="000870BA"/>
    <w:rsid w:val="00087620"/>
    <w:rsid w:val="00091A58"/>
    <w:rsid w:val="00091B2B"/>
    <w:rsid w:val="0009298E"/>
    <w:rsid w:val="00093856"/>
    <w:rsid w:val="00095126"/>
    <w:rsid w:val="000953AA"/>
    <w:rsid w:val="00095FEA"/>
    <w:rsid w:val="00096C44"/>
    <w:rsid w:val="000A05F4"/>
    <w:rsid w:val="000A1AE1"/>
    <w:rsid w:val="000A1DD3"/>
    <w:rsid w:val="000A28BD"/>
    <w:rsid w:val="000A33EC"/>
    <w:rsid w:val="000A4052"/>
    <w:rsid w:val="000A4A05"/>
    <w:rsid w:val="000A63E7"/>
    <w:rsid w:val="000A647A"/>
    <w:rsid w:val="000A7EA5"/>
    <w:rsid w:val="000B0EE6"/>
    <w:rsid w:val="000B1136"/>
    <w:rsid w:val="000B12AE"/>
    <w:rsid w:val="000B19EC"/>
    <w:rsid w:val="000B1E33"/>
    <w:rsid w:val="000B1EA8"/>
    <w:rsid w:val="000B2796"/>
    <w:rsid w:val="000B3C38"/>
    <w:rsid w:val="000B3C66"/>
    <w:rsid w:val="000B4568"/>
    <w:rsid w:val="000B4ACD"/>
    <w:rsid w:val="000B57B0"/>
    <w:rsid w:val="000B5A15"/>
    <w:rsid w:val="000B5BE3"/>
    <w:rsid w:val="000B5E02"/>
    <w:rsid w:val="000C0F46"/>
    <w:rsid w:val="000C15CC"/>
    <w:rsid w:val="000C1B7F"/>
    <w:rsid w:val="000C2350"/>
    <w:rsid w:val="000C3358"/>
    <w:rsid w:val="000C3BC2"/>
    <w:rsid w:val="000C3BE7"/>
    <w:rsid w:val="000C47AC"/>
    <w:rsid w:val="000C49BF"/>
    <w:rsid w:val="000C5046"/>
    <w:rsid w:val="000C5DB6"/>
    <w:rsid w:val="000C6C0B"/>
    <w:rsid w:val="000C7151"/>
    <w:rsid w:val="000C76DB"/>
    <w:rsid w:val="000D193C"/>
    <w:rsid w:val="000D1C86"/>
    <w:rsid w:val="000D2004"/>
    <w:rsid w:val="000D29E7"/>
    <w:rsid w:val="000D2A50"/>
    <w:rsid w:val="000D2D1C"/>
    <w:rsid w:val="000D430B"/>
    <w:rsid w:val="000D46EE"/>
    <w:rsid w:val="000D4764"/>
    <w:rsid w:val="000D5B41"/>
    <w:rsid w:val="000D5C48"/>
    <w:rsid w:val="000D6B8B"/>
    <w:rsid w:val="000E103B"/>
    <w:rsid w:val="000E11F6"/>
    <w:rsid w:val="000E2B18"/>
    <w:rsid w:val="000E46A6"/>
    <w:rsid w:val="000E47A9"/>
    <w:rsid w:val="000E52D2"/>
    <w:rsid w:val="000E57B2"/>
    <w:rsid w:val="000E6434"/>
    <w:rsid w:val="000E6BC1"/>
    <w:rsid w:val="000E7572"/>
    <w:rsid w:val="000F0409"/>
    <w:rsid w:val="000F0D4A"/>
    <w:rsid w:val="000F2EF3"/>
    <w:rsid w:val="000F317D"/>
    <w:rsid w:val="000F416E"/>
    <w:rsid w:val="000F52C4"/>
    <w:rsid w:val="000F59BD"/>
    <w:rsid w:val="000F6944"/>
    <w:rsid w:val="000F6FBB"/>
    <w:rsid w:val="000F7B8C"/>
    <w:rsid w:val="001020CF"/>
    <w:rsid w:val="001059AE"/>
    <w:rsid w:val="0010611F"/>
    <w:rsid w:val="00106477"/>
    <w:rsid w:val="001064FE"/>
    <w:rsid w:val="001065CC"/>
    <w:rsid w:val="00106614"/>
    <w:rsid w:val="00106658"/>
    <w:rsid w:val="00106E3F"/>
    <w:rsid w:val="00106F31"/>
    <w:rsid w:val="00110357"/>
    <w:rsid w:val="0011062C"/>
    <w:rsid w:val="00111D20"/>
    <w:rsid w:val="001121E8"/>
    <w:rsid w:val="001150F5"/>
    <w:rsid w:val="001167CE"/>
    <w:rsid w:val="001168E4"/>
    <w:rsid w:val="001174DF"/>
    <w:rsid w:val="00117642"/>
    <w:rsid w:val="001215C6"/>
    <w:rsid w:val="00122D8B"/>
    <w:rsid w:val="00123325"/>
    <w:rsid w:val="00123A9C"/>
    <w:rsid w:val="0012502E"/>
    <w:rsid w:val="00130215"/>
    <w:rsid w:val="001314E7"/>
    <w:rsid w:val="00132424"/>
    <w:rsid w:val="00134005"/>
    <w:rsid w:val="0013410D"/>
    <w:rsid w:val="00134232"/>
    <w:rsid w:val="00134D10"/>
    <w:rsid w:val="00134F06"/>
    <w:rsid w:val="001361B8"/>
    <w:rsid w:val="00136563"/>
    <w:rsid w:val="00137A17"/>
    <w:rsid w:val="00137CB3"/>
    <w:rsid w:val="001400ED"/>
    <w:rsid w:val="00140DDB"/>
    <w:rsid w:val="00144B49"/>
    <w:rsid w:val="00144F9D"/>
    <w:rsid w:val="0014790F"/>
    <w:rsid w:val="00150306"/>
    <w:rsid w:val="0015118F"/>
    <w:rsid w:val="00151725"/>
    <w:rsid w:val="0015198F"/>
    <w:rsid w:val="001520B5"/>
    <w:rsid w:val="00152402"/>
    <w:rsid w:val="001528F7"/>
    <w:rsid w:val="00153249"/>
    <w:rsid w:val="00153E02"/>
    <w:rsid w:val="0015463C"/>
    <w:rsid w:val="00157332"/>
    <w:rsid w:val="001579FE"/>
    <w:rsid w:val="00160D4D"/>
    <w:rsid w:val="00162E06"/>
    <w:rsid w:val="00163577"/>
    <w:rsid w:val="001654D0"/>
    <w:rsid w:val="00166397"/>
    <w:rsid w:val="0016681B"/>
    <w:rsid w:val="0016681F"/>
    <w:rsid w:val="0016715C"/>
    <w:rsid w:val="001702F4"/>
    <w:rsid w:val="001705D0"/>
    <w:rsid w:val="001708D5"/>
    <w:rsid w:val="001712A4"/>
    <w:rsid w:val="001714D5"/>
    <w:rsid w:val="001732D1"/>
    <w:rsid w:val="00173436"/>
    <w:rsid w:val="001743DE"/>
    <w:rsid w:val="00174F4A"/>
    <w:rsid w:val="00176C0B"/>
    <w:rsid w:val="001776ED"/>
    <w:rsid w:val="00177997"/>
    <w:rsid w:val="001779D1"/>
    <w:rsid w:val="001800EB"/>
    <w:rsid w:val="00180459"/>
    <w:rsid w:val="001805E9"/>
    <w:rsid w:val="00180612"/>
    <w:rsid w:val="00180AF5"/>
    <w:rsid w:val="00180CAE"/>
    <w:rsid w:val="00180E91"/>
    <w:rsid w:val="0018214F"/>
    <w:rsid w:val="00183670"/>
    <w:rsid w:val="00184957"/>
    <w:rsid w:val="00185250"/>
    <w:rsid w:val="0018590F"/>
    <w:rsid w:val="001867D3"/>
    <w:rsid w:val="0019011A"/>
    <w:rsid w:val="00190F8B"/>
    <w:rsid w:val="00191B13"/>
    <w:rsid w:val="0019379C"/>
    <w:rsid w:val="00193914"/>
    <w:rsid w:val="0019472B"/>
    <w:rsid w:val="00194CFF"/>
    <w:rsid w:val="001961BF"/>
    <w:rsid w:val="00196970"/>
    <w:rsid w:val="001A00B3"/>
    <w:rsid w:val="001A0C07"/>
    <w:rsid w:val="001A19B0"/>
    <w:rsid w:val="001A1CEC"/>
    <w:rsid w:val="001A22E6"/>
    <w:rsid w:val="001A2847"/>
    <w:rsid w:val="001A4A8F"/>
    <w:rsid w:val="001A709D"/>
    <w:rsid w:val="001A7F6E"/>
    <w:rsid w:val="001B5263"/>
    <w:rsid w:val="001B597C"/>
    <w:rsid w:val="001B5C82"/>
    <w:rsid w:val="001B6DA2"/>
    <w:rsid w:val="001B7045"/>
    <w:rsid w:val="001B75B0"/>
    <w:rsid w:val="001B7882"/>
    <w:rsid w:val="001C0EAF"/>
    <w:rsid w:val="001C0F10"/>
    <w:rsid w:val="001C106D"/>
    <w:rsid w:val="001C1555"/>
    <w:rsid w:val="001C1A8E"/>
    <w:rsid w:val="001C20CF"/>
    <w:rsid w:val="001C238E"/>
    <w:rsid w:val="001C43C9"/>
    <w:rsid w:val="001C4BD5"/>
    <w:rsid w:val="001C5F87"/>
    <w:rsid w:val="001C630C"/>
    <w:rsid w:val="001C6873"/>
    <w:rsid w:val="001C6C12"/>
    <w:rsid w:val="001C77B0"/>
    <w:rsid w:val="001C7EA2"/>
    <w:rsid w:val="001D02D1"/>
    <w:rsid w:val="001D16F4"/>
    <w:rsid w:val="001D3751"/>
    <w:rsid w:val="001D3F45"/>
    <w:rsid w:val="001D432C"/>
    <w:rsid w:val="001D5BBC"/>
    <w:rsid w:val="001D6ED3"/>
    <w:rsid w:val="001D6EFA"/>
    <w:rsid w:val="001D700A"/>
    <w:rsid w:val="001D73A8"/>
    <w:rsid w:val="001D7EAB"/>
    <w:rsid w:val="001E0652"/>
    <w:rsid w:val="001E1EB6"/>
    <w:rsid w:val="001E1F65"/>
    <w:rsid w:val="001E2F26"/>
    <w:rsid w:val="001E44CF"/>
    <w:rsid w:val="001E457F"/>
    <w:rsid w:val="001E761A"/>
    <w:rsid w:val="001F0EBD"/>
    <w:rsid w:val="001F1BBD"/>
    <w:rsid w:val="001F214E"/>
    <w:rsid w:val="001F3F4B"/>
    <w:rsid w:val="001F459D"/>
    <w:rsid w:val="001F5D9F"/>
    <w:rsid w:val="001F6049"/>
    <w:rsid w:val="001F73EA"/>
    <w:rsid w:val="00201DB4"/>
    <w:rsid w:val="0020363E"/>
    <w:rsid w:val="00203819"/>
    <w:rsid w:val="00206483"/>
    <w:rsid w:val="0020694D"/>
    <w:rsid w:val="00206E15"/>
    <w:rsid w:val="00207335"/>
    <w:rsid w:val="00207B31"/>
    <w:rsid w:val="00210439"/>
    <w:rsid w:val="00211129"/>
    <w:rsid w:val="00211DFC"/>
    <w:rsid w:val="00212040"/>
    <w:rsid w:val="0021245B"/>
    <w:rsid w:val="00212A6B"/>
    <w:rsid w:val="002131AA"/>
    <w:rsid w:val="002131CF"/>
    <w:rsid w:val="0021448E"/>
    <w:rsid w:val="002166DA"/>
    <w:rsid w:val="00216888"/>
    <w:rsid w:val="002168C2"/>
    <w:rsid w:val="00217C1E"/>
    <w:rsid w:val="00217E1D"/>
    <w:rsid w:val="00217E8F"/>
    <w:rsid w:val="00221C85"/>
    <w:rsid w:val="0022392E"/>
    <w:rsid w:val="00223D3B"/>
    <w:rsid w:val="00224DD5"/>
    <w:rsid w:val="00225442"/>
    <w:rsid w:val="00226003"/>
    <w:rsid w:val="00226216"/>
    <w:rsid w:val="00230CA7"/>
    <w:rsid w:val="00231715"/>
    <w:rsid w:val="00231C16"/>
    <w:rsid w:val="00232260"/>
    <w:rsid w:val="002333F0"/>
    <w:rsid w:val="0023475A"/>
    <w:rsid w:val="00237116"/>
    <w:rsid w:val="00237738"/>
    <w:rsid w:val="00240AA4"/>
    <w:rsid w:val="002413D1"/>
    <w:rsid w:val="002418B4"/>
    <w:rsid w:val="00244122"/>
    <w:rsid w:val="0024421D"/>
    <w:rsid w:val="00244F61"/>
    <w:rsid w:val="0024525B"/>
    <w:rsid w:val="0025354B"/>
    <w:rsid w:val="00254240"/>
    <w:rsid w:val="00254807"/>
    <w:rsid w:val="00254B43"/>
    <w:rsid w:val="00255FE7"/>
    <w:rsid w:val="00256B4F"/>
    <w:rsid w:val="00260782"/>
    <w:rsid w:val="00262B39"/>
    <w:rsid w:val="002631F4"/>
    <w:rsid w:val="0026350A"/>
    <w:rsid w:val="0026417B"/>
    <w:rsid w:val="00264BEB"/>
    <w:rsid w:val="00264FF9"/>
    <w:rsid w:val="002654F0"/>
    <w:rsid w:val="00265881"/>
    <w:rsid w:val="00266637"/>
    <w:rsid w:val="00266CD3"/>
    <w:rsid w:val="002673FD"/>
    <w:rsid w:val="00270E63"/>
    <w:rsid w:val="00270E8D"/>
    <w:rsid w:val="00271FE5"/>
    <w:rsid w:val="002736B2"/>
    <w:rsid w:val="00274EFF"/>
    <w:rsid w:val="00274F3B"/>
    <w:rsid w:val="002776C4"/>
    <w:rsid w:val="0028030B"/>
    <w:rsid w:val="00281103"/>
    <w:rsid w:val="0028139D"/>
    <w:rsid w:val="002814DC"/>
    <w:rsid w:val="00281B3B"/>
    <w:rsid w:val="0028270E"/>
    <w:rsid w:val="0028284F"/>
    <w:rsid w:val="00283D45"/>
    <w:rsid w:val="00285262"/>
    <w:rsid w:val="00285E4C"/>
    <w:rsid w:val="002862A9"/>
    <w:rsid w:val="00286A30"/>
    <w:rsid w:val="00287668"/>
    <w:rsid w:val="00290C18"/>
    <w:rsid w:val="00290C33"/>
    <w:rsid w:val="00291166"/>
    <w:rsid w:val="0029154E"/>
    <w:rsid w:val="002918C8"/>
    <w:rsid w:val="0029290A"/>
    <w:rsid w:val="00294238"/>
    <w:rsid w:val="00294ADA"/>
    <w:rsid w:val="002953A9"/>
    <w:rsid w:val="002969E9"/>
    <w:rsid w:val="00296A9C"/>
    <w:rsid w:val="00296B05"/>
    <w:rsid w:val="00297948"/>
    <w:rsid w:val="00297C8C"/>
    <w:rsid w:val="002A0270"/>
    <w:rsid w:val="002A0AEA"/>
    <w:rsid w:val="002A1A57"/>
    <w:rsid w:val="002A2298"/>
    <w:rsid w:val="002A4A84"/>
    <w:rsid w:val="002A4A99"/>
    <w:rsid w:val="002A59D8"/>
    <w:rsid w:val="002A5DEE"/>
    <w:rsid w:val="002A5F6C"/>
    <w:rsid w:val="002B03C4"/>
    <w:rsid w:val="002B0580"/>
    <w:rsid w:val="002B0947"/>
    <w:rsid w:val="002B098F"/>
    <w:rsid w:val="002B20D3"/>
    <w:rsid w:val="002B296D"/>
    <w:rsid w:val="002B4428"/>
    <w:rsid w:val="002B4532"/>
    <w:rsid w:val="002B52CD"/>
    <w:rsid w:val="002B5757"/>
    <w:rsid w:val="002B6532"/>
    <w:rsid w:val="002B753D"/>
    <w:rsid w:val="002B77B2"/>
    <w:rsid w:val="002B7F12"/>
    <w:rsid w:val="002C0056"/>
    <w:rsid w:val="002C0C93"/>
    <w:rsid w:val="002C232E"/>
    <w:rsid w:val="002C2C0E"/>
    <w:rsid w:val="002C3416"/>
    <w:rsid w:val="002C35A0"/>
    <w:rsid w:val="002C49B3"/>
    <w:rsid w:val="002C5512"/>
    <w:rsid w:val="002C5DC2"/>
    <w:rsid w:val="002C5F57"/>
    <w:rsid w:val="002C6155"/>
    <w:rsid w:val="002C6921"/>
    <w:rsid w:val="002C7B00"/>
    <w:rsid w:val="002D0015"/>
    <w:rsid w:val="002D0797"/>
    <w:rsid w:val="002D1484"/>
    <w:rsid w:val="002D1489"/>
    <w:rsid w:val="002D1835"/>
    <w:rsid w:val="002D1920"/>
    <w:rsid w:val="002D3090"/>
    <w:rsid w:val="002D310A"/>
    <w:rsid w:val="002D3737"/>
    <w:rsid w:val="002D3AC2"/>
    <w:rsid w:val="002D4EF2"/>
    <w:rsid w:val="002D577D"/>
    <w:rsid w:val="002D5AF6"/>
    <w:rsid w:val="002E0683"/>
    <w:rsid w:val="002E094A"/>
    <w:rsid w:val="002E141F"/>
    <w:rsid w:val="002E21E7"/>
    <w:rsid w:val="002E3BD4"/>
    <w:rsid w:val="002E41E4"/>
    <w:rsid w:val="002E454B"/>
    <w:rsid w:val="002E4AF7"/>
    <w:rsid w:val="002E5DC6"/>
    <w:rsid w:val="002E762C"/>
    <w:rsid w:val="002E7C56"/>
    <w:rsid w:val="002E7CFF"/>
    <w:rsid w:val="002F0FFD"/>
    <w:rsid w:val="002F37EA"/>
    <w:rsid w:val="002F3880"/>
    <w:rsid w:val="002F3C7E"/>
    <w:rsid w:val="002F452F"/>
    <w:rsid w:val="002F5A4E"/>
    <w:rsid w:val="002F6BC4"/>
    <w:rsid w:val="002F70EC"/>
    <w:rsid w:val="002F727A"/>
    <w:rsid w:val="002F73E8"/>
    <w:rsid w:val="00300396"/>
    <w:rsid w:val="003004B5"/>
    <w:rsid w:val="00300E45"/>
    <w:rsid w:val="003022A5"/>
    <w:rsid w:val="00302319"/>
    <w:rsid w:val="0030247E"/>
    <w:rsid w:val="00303619"/>
    <w:rsid w:val="003051E2"/>
    <w:rsid w:val="003076E8"/>
    <w:rsid w:val="00307E1E"/>
    <w:rsid w:val="0031090E"/>
    <w:rsid w:val="00311003"/>
    <w:rsid w:val="0031101A"/>
    <w:rsid w:val="003110A5"/>
    <w:rsid w:val="00312368"/>
    <w:rsid w:val="00313FC5"/>
    <w:rsid w:val="00314B6E"/>
    <w:rsid w:val="00314FEE"/>
    <w:rsid w:val="003152F6"/>
    <w:rsid w:val="00315307"/>
    <w:rsid w:val="003156B2"/>
    <w:rsid w:val="00315980"/>
    <w:rsid w:val="00315DE9"/>
    <w:rsid w:val="003177DD"/>
    <w:rsid w:val="00317E38"/>
    <w:rsid w:val="003202AC"/>
    <w:rsid w:val="0032065E"/>
    <w:rsid w:val="003208B0"/>
    <w:rsid w:val="00321A65"/>
    <w:rsid w:val="00321FA3"/>
    <w:rsid w:val="003220DA"/>
    <w:rsid w:val="00323CD0"/>
    <w:rsid w:val="0032424C"/>
    <w:rsid w:val="003245EA"/>
    <w:rsid w:val="00324658"/>
    <w:rsid w:val="003262FA"/>
    <w:rsid w:val="00326D6D"/>
    <w:rsid w:val="00330A1A"/>
    <w:rsid w:val="00330AAC"/>
    <w:rsid w:val="003312A1"/>
    <w:rsid w:val="003317FD"/>
    <w:rsid w:val="00331D1D"/>
    <w:rsid w:val="00332D29"/>
    <w:rsid w:val="00333CF0"/>
    <w:rsid w:val="00334BB8"/>
    <w:rsid w:val="00334FFA"/>
    <w:rsid w:val="00335AE5"/>
    <w:rsid w:val="00336C91"/>
    <w:rsid w:val="003372AC"/>
    <w:rsid w:val="003414E8"/>
    <w:rsid w:val="00342013"/>
    <w:rsid w:val="00343436"/>
    <w:rsid w:val="003442C5"/>
    <w:rsid w:val="00345AD8"/>
    <w:rsid w:val="00350FE3"/>
    <w:rsid w:val="00352F12"/>
    <w:rsid w:val="003531D1"/>
    <w:rsid w:val="003531F7"/>
    <w:rsid w:val="00354926"/>
    <w:rsid w:val="00355324"/>
    <w:rsid w:val="00355407"/>
    <w:rsid w:val="00357554"/>
    <w:rsid w:val="00357625"/>
    <w:rsid w:val="00361EA1"/>
    <w:rsid w:val="00364EBF"/>
    <w:rsid w:val="003650A8"/>
    <w:rsid w:val="003659EF"/>
    <w:rsid w:val="00365B58"/>
    <w:rsid w:val="0036640B"/>
    <w:rsid w:val="00367726"/>
    <w:rsid w:val="00367DD7"/>
    <w:rsid w:val="0037246D"/>
    <w:rsid w:val="00372B0A"/>
    <w:rsid w:val="00372E01"/>
    <w:rsid w:val="00373781"/>
    <w:rsid w:val="00373915"/>
    <w:rsid w:val="00373FA4"/>
    <w:rsid w:val="00374296"/>
    <w:rsid w:val="0037579F"/>
    <w:rsid w:val="003761CA"/>
    <w:rsid w:val="0037779B"/>
    <w:rsid w:val="003778C7"/>
    <w:rsid w:val="00380257"/>
    <w:rsid w:val="00380426"/>
    <w:rsid w:val="00380540"/>
    <w:rsid w:val="00380DEF"/>
    <w:rsid w:val="003814A0"/>
    <w:rsid w:val="00381674"/>
    <w:rsid w:val="003827AA"/>
    <w:rsid w:val="00382807"/>
    <w:rsid w:val="00383440"/>
    <w:rsid w:val="00383895"/>
    <w:rsid w:val="00383CFB"/>
    <w:rsid w:val="00384313"/>
    <w:rsid w:val="0038470B"/>
    <w:rsid w:val="00384A5C"/>
    <w:rsid w:val="00385849"/>
    <w:rsid w:val="003872B8"/>
    <w:rsid w:val="00387A17"/>
    <w:rsid w:val="00390654"/>
    <w:rsid w:val="003912D6"/>
    <w:rsid w:val="00391BC1"/>
    <w:rsid w:val="0039207C"/>
    <w:rsid w:val="00392270"/>
    <w:rsid w:val="00392D31"/>
    <w:rsid w:val="00393673"/>
    <w:rsid w:val="00393A8E"/>
    <w:rsid w:val="003940C7"/>
    <w:rsid w:val="0039562E"/>
    <w:rsid w:val="00397235"/>
    <w:rsid w:val="003972E4"/>
    <w:rsid w:val="00397C39"/>
    <w:rsid w:val="003A0286"/>
    <w:rsid w:val="003A14D8"/>
    <w:rsid w:val="003A1EC2"/>
    <w:rsid w:val="003A1F3C"/>
    <w:rsid w:val="003A2996"/>
    <w:rsid w:val="003A2C3D"/>
    <w:rsid w:val="003A3081"/>
    <w:rsid w:val="003A4F92"/>
    <w:rsid w:val="003A50AE"/>
    <w:rsid w:val="003A5CD1"/>
    <w:rsid w:val="003A5F6D"/>
    <w:rsid w:val="003A657F"/>
    <w:rsid w:val="003B088F"/>
    <w:rsid w:val="003B0F74"/>
    <w:rsid w:val="003B1FAB"/>
    <w:rsid w:val="003B263C"/>
    <w:rsid w:val="003B4549"/>
    <w:rsid w:val="003B4BA9"/>
    <w:rsid w:val="003B6108"/>
    <w:rsid w:val="003B6CD9"/>
    <w:rsid w:val="003B6D4D"/>
    <w:rsid w:val="003B6DB3"/>
    <w:rsid w:val="003B7747"/>
    <w:rsid w:val="003B7D79"/>
    <w:rsid w:val="003C20F0"/>
    <w:rsid w:val="003C2B9C"/>
    <w:rsid w:val="003C2C6B"/>
    <w:rsid w:val="003C3224"/>
    <w:rsid w:val="003C3562"/>
    <w:rsid w:val="003C370A"/>
    <w:rsid w:val="003C3C7E"/>
    <w:rsid w:val="003C5E4C"/>
    <w:rsid w:val="003C5F5B"/>
    <w:rsid w:val="003C6522"/>
    <w:rsid w:val="003D069C"/>
    <w:rsid w:val="003D1BB4"/>
    <w:rsid w:val="003D2239"/>
    <w:rsid w:val="003D241D"/>
    <w:rsid w:val="003D3E2D"/>
    <w:rsid w:val="003D426F"/>
    <w:rsid w:val="003D4B4C"/>
    <w:rsid w:val="003D4CD0"/>
    <w:rsid w:val="003D5841"/>
    <w:rsid w:val="003D66A2"/>
    <w:rsid w:val="003D6F0B"/>
    <w:rsid w:val="003E0220"/>
    <w:rsid w:val="003E0DB0"/>
    <w:rsid w:val="003E1469"/>
    <w:rsid w:val="003E161C"/>
    <w:rsid w:val="003E346E"/>
    <w:rsid w:val="003E384D"/>
    <w:rsid w:val="003E4711"/>
    <w:rsid w:val="003E56C0"/>
    <w:rsid w:val="003E5C2A"/>
    <w:rsid w:val="003E5D76"/>
    <w:rsid w:val="003E68B7"/>
    <w:rsid w:val="003E7228"/>
    <w:rsid w:val="003F0D56"/>
    <w:rsid w:val="003F1E49"/>
    <w:rsid w:val="003F2473"/>
    <w:rsid w:val="003F287D"/>
    <w:rsid w:val="003F28A1"/>
    <w:rsid w:val="003F3160"/>
    <w:rsid w:val="003F3577"/>
    <w:rsid w:val="003F6476"/>
    <w:rsid w:val="003F7089"/>
    <w:rsid w:val="003F71B7"/>
    <w:rsid w:val="003F71F5"/>
    <w:rsid w:val="003F782E"/>
    <w:rsid w:val="00402F2C"/>
    <w:rsid w:val="00403B43"/>
    <w:rsid w:val="00405F18"/>
    <w:rsid w:val="004060DC"/>
    <w:rsid w:val="00406D5C"/>
    <w:rsid w:val="00411569"/>
    <w:rsid w:val="00411D5D"/>
    <w:rsid w:val="00412755"/>
    <w:rsid w:val="00412AB5"/>
    <w:rsid w:val="004133AA"/>
    <w:rsid w:val="00414496"/>
    <w:rsid w:val="00414A84"/>
    <w:rsid w:val="0041783B"/>
    <w:rsid w:val="00420516"/>
    <w:rsid w:val="00420CA4"/>
    <w:rsid w:val="00420D52"/>
    <w:rsid w:val="004214F9"/>
    <w:rsid w:val="00422270"/>
    <w:rsid w:val="00424128"/>
    <w:rsid w:val="00424861"/>
    <w:rsid w:val="00424933"/>
    <w:rsid w:val="00424C6D"/>
    <w:rsid w:val="004252A9"/>
    <w:rsid w:val="00425B0C"/>
    <w:rsid w:val="004266C4"/>
    <w:rsid w:val="00427410"/>
    <w:rsid w:val="00427B12"/>
    <w:rsid w:val="00427F49"/>
    <w:rsid w:val="00431012"/>
    <w:rsid w:val="004316AD"/>
    <w:rsid w:val="0043247B"/>
    <w:rsid w:val="00432500"/>
    <w:rsid w:val="00432612"/>
    <w:rsid w:val="0043265A"/>
    <w:rsid w:val="0043297C"/>
    <w:rsid w:val="0043379F"/>
    <w:rsid w:val="00433BA1"/>
    <w:rsid w:val="00434D00"/>
    <w:rsid w:val="00434F35"/>
    <w:rsid w:val="00436496"/>
    <w:rsid w:val="00436530"/>
    <w:rsid w:val="0044035B"/>
    <w:rsid w:val="00440C24"/>
    <w:rsid w:val="0044296B"/>
    <w:rsid w:val="004432F0"/>
    <w:rsid w:val="0044495D"/>
    <w:rsid w:val="00444FCE"/>
    <w:rsid w:val="004469DB"/>
    <w:rsid w:val="00447574"/>
    <w:rsid w:val="00447712"/>
    <w:rsid w:val="00447CD5"/>
    <w:rsid w:val="004504A4"/>
    <w:rsid w:val="0045305E"/>
    <w:rsid w:val="004535DD"/>
    <w:rsid w:val="00454100"/>
    <w:rsid w:val="0045477D"/>
    <w:rsid w:val="00454920"/>
    <w:rsid w:val="00457C5D"/>
    <w:rsid w:val="00460161"/>
    <w:rsid w:val="004612C4"/>
    <w:rsid w:val="00461501"/>
    <w:rsid w:val="00461C77"/>
    <w:rsid w:val="00462458"/>
    <w:rsid w:val="0046249D"/>
    <w:rsid w:val="00465116"/>
    <w:rsid w:val="00466E6F"/>
    <w:rsid w:val="004674AA"/>
    <w:rsid w:val="0047112C"/>
    <w:rsid w:val="00472680"/>
    <w:rsid w:val="004728C4"/>
    <w:rsid w:val="00473B96"/>
    <w:rsid w:val="00473EF3"/>
    <w:rsid w:val="004751D6"/>
    <w:rsid w:val="004764FE"/>
    <w:rsid w:val="00477074"/>
    <w:rsid w:val="00477C7C"/>
    <w:rsid w:val="00477E77"/>
    <w:rsid w:val="00480B7D"/>
    <w:rsid w:val="004830C2"/>
    <w:rsid w:val="004836C8"/>
    <w:rsid w:val="00484FF7"/>
    <w:rsid w:val="00485A02"/>
    <w:rsid w:val="00486297"/>
    <w:rsid w:val="004862E1"/>
    <w:rsid w:val="0048654D"/>
    <w:rsid w:val="0048693C"/>
    <w:rsid w:val="00490A89"/>
    <w:rsid w:val="00490CAE"/>
    <w:rsid w:val="00490F1E"/>
    <w:rsid w:val="00491932"/>
    <w:rsid w:val="00493F49"/>
    <w:rsid w:val="004976BA"/>
    <w:rsid w:val="00497D1D"/>
    <w:rsid w:val="004A08B1"/>
    <w:rsid w:val="004A1594"/>
    <w:rsid w:val="004A5840"/>
    <w:rsid w:val="004A6192"/>
    <w:rsid w:val="004A6837"/>
    <w:rsid w:val="004A6BE9"/>
    <w:rsid w:val="004A75D0"/>
    <w:rsid w:val="004A7760"/>
    <w:rsid w:val="004B1952"/>
    <w:rsid w:val="004B1EB5"/>
    <w:rsid w:val="004B2452"/>
    <w:rsid w:val="004B2A1C"/>
    <w:rsid w:val="004B447E"/>
    <w:rsid w:val="004B7431"/>
    <w:rsid w:val="004C0190"/>
    <w:rsid w:val="004C03A0"/>
    <w:rsid w:val="004C0DCA"/>
    <w:rsid w:val="004C172D"/>
    <w:rsid w:val="004C3B32"/>
    <w:rsid w:val="004C4679"/>
    <w:rsid w:val="004C5789"/>
    <w:rsid w:val="004C722A"/>
    <w:rsid w:val="004C773E"/>
    <w:rsid w:val="004D064D"/>
    <w:rsid w:val="004D1678"/>
    <w:rsid w:val="004D2644"/>
    <w:rsid w:val="004D29CE"/>
    <w:rsid w:val="004D3FB7"/>
    <w:rsid w:val="004D438D"/>
    <w:rsid w:val="004D466B"/>
    <w:rsid w:val="004D466E"/>
    <w:rsid w:val="004D4D3D"/>
    <w:rsid w:val="004E012F"/>
    <w:rsid w:val="004E065B"/>
    <w:rsid w:val="004E0E56"/>
    <w:rsid w:val="004E1D24"/>
    <w:rsid w:val="004E53EE"/>
    <w:rsid w:val="004E651B"/>
    <w:rsid w:val="004E6975"/>
    <w:rsid w:val="004E6D52"/>
    <w:rsid w:val="004E78A7"/>
    <w:rsid w:val="004E796A"/>
    <w:rsid w:val="004E7E1B"/>
    <w:rsid w:val="004F0A20"/>
    <w:rsid w:val="004F25CC"/>
    <w:rsid w:val="004F45E2"/>
    <w:rsid w:val="004F509D"/>
    <w:rsid w:val="004F585B"/>
    <w:rsid w:val="004F5CF0"/>
    <w:rsid w:val="004F63EA"/>
    <w:rsid w:val="0050118B"/>
    <w:rsid w:val="00503AE7"/>
    <w:rsid w:val="00503FB2"/>
    <w:rsid w:val="005044C4"/>
    <w:rsid w:val="00504B80"/>
    <w:rsid w:val="005050CB"/>
    <w:rsid w:val="00505128"/>
    <w:rsid w:val="00506E08"/>
    <w:rsid w:val="00510728"/>
    <w:rsid w:val="00510ABE"/>
    <w:rsid w:val="00510F91"/>
    <w:rsid w:val="00511503"/>
    <w:rsid w:val="00511AED"/>
    <w:rsid w:val="0051253F"/>
    <w:rsid w:val="005135F3"/>
    <w:rsid w:val="00514F56"/>
    <w:rsid w:val="00516632"/>
    <w:rsid w:val="00516E2F"/>
    <w:rsid w:val="005174D6"/>
    <w:rsid w:val="00520AAD"/>
    <w:rsid w:val="00520F0D"/>
    <w:rsid w:val="00521561"/>
    <w:rsid w:val="00522DD1"/>
    <w:rsid w:val="00523061"/>
    <w:rsid w:val="005231BA"/>
    <w:rsid w:val="00523615"/>
    <w:rsid w:val="00523ACB"/>
    <w:rsid w:val="00523AEB"/>
    <w:rsid w:val="00523CE7"/>
    <w:rsid w:val="00524BF2"/>
    <w:rsid w:val="00525399"/>
    <w:rsid w:val="00527B81"/>
    <w:rsid w:val="00531C91"/>
    <w:rsid w:val="005324F4"/>
    <w:rsid w:val="0053273E"/>
    <w:rsid w:val="005340DC"/>
    <w:rsid w:val="0053645F"/>
    <w:rsid w:val="00537F8A"/>
    <w:rsid w:val="00540FCE"/>
    <w:rsid w:val="00542C07"/>
    <w:rsid w:val="00543170"/>
    <w:rsid w:val="00543272"/>
    <w:rsid w:val="005444C1"/>
    <w:rsid w:val="00544705"/>
    <w:rsid w:val="00545263"/>
    <w:rsid w:val="005456CC"/>
    <w:rsid w:val="00545842"/>
    <w:rsid w:val="00546BB6"/>
    <w:rsid w:val="005519EA"/>
    <w:rsid w:val="00552A44"/>
    <w:rsid w:val="00552F20"/>
    <w:rsid w:val="00553B43"/>
    <w:rsid w:val="00555353"/>
    <w:rsid w:val="00555A8A"/>
    <w:rsid w:val="005563D7"/>
    <w:rsid w:val="0055793A"/>
    <w:rsid w:val="005603F0"/>
    <w:rsid w:val="00560436"/>
    <w:rsid w:val="0056066B"/>
    <w:rsid w:val="00560801"/>
    <w:rsid w:val="005622FC"/>
    <w:rsid w:val="005629D9"/>
    <w:rsid w:val="00563348"/>
    <w:rsid w:val="00563DDE"/>
    <w:rsid w:val="00564575"/>
    <w:rsid w:val="00565688"/>
    <w:rsid w:val="00566DE3"/>
    <w:rsid w:val="005671C1"/>
    <w:rsid w:val="005672D5"/>
    <w:rsid w:val="0057059D"/>
    <w:rsid w:val="0057244F"/>
    <w:rsid w:val="00572C48"/>
    <w:rsid w:val="005737A2"/>
    <w:rsid w:val="00573E01"/>
    <w:rsid w:val="00574799"/>
    <w:rsid w:val="0057611E"/>
    <w:rsid w:val="00576438"/>
    <w:rsid w:val="00577939"/>
    <w:rsid w:val="00577F31"/>
    <w:rsid w:val="0058017B"/>
    <w:rsid w:val="00580582"/>
    <w:rsid w:val="00582165"/>
    <w:rsid w:val="00582231"/>
    <w:rsid w:val="0058235E"/>
    <w:rsid w:val="00582840"/>
    <w:rsid w:val="00582980"/>
    <w:rsid w:val="00582B1E"/>
    <w:rsid w:val="00582CEB"/>
    <w:rsid w:val="00582E6E"/>
    <w:rsid w:val="005838E3"/>
    <w:rsid w:val="00584369"/>
    <w:rsid w:val="00584B3B"/>
    <w:rsid w:val="0058558C"/>
    <w:rsid w:val="0058744B"/>
    <w:rsid w:val="005901D4"/>
    <w:rsid w:val="0059030A"/>
    <w:rsid w:val="0059111C"/>
    <w:rsid w:val="00591928"/>
    <w:rsid w:val="0059231D"/>
    <w:rsid w:val="005933F2"/>
    <w:rsid w:val="00594036"/>
    <w:rsid w:val="00594BA6"/>
    <w:rsid w:val="00594E0C"/>
    <w:rsid w:val="00595A54"/>
    <w:rsid w:val="00597E81"/>
    <w:rsid w:val="005A033C"/>
    <w:rsid w:val="005A09F4"/>
    <w:rsid w:val="005A12D2"/>
    <w:rsid w:val="005A1B4B"/>
    <w:rsid w:val="005A3610"/>
    <w:rsid w:val="005A4F62"/>
    <w:rsid w:val="005A599D"/>
    <w:rsid w:val="005A65E0"/>
    <w:rsid w:val="005A6F13"/>
    <w:rsid w:val="005B019E"/>
    <w:rsid w:val="005B0251"/>
    <w:rsid w:val="005B0395"/>
    <w:rsid w:val="005B07A2"/>
    <w:rsid w:val="005B082A"/>
    <w:rsid w:val="005B091A"/>
    <w:rsid w:val="005B0FFE"/>
    <w:rsid w:val="005B16C4"/>
    <w:rsid w:val="005B1961"/>
    <w:rsid w:val="005B2FC9"/>
    <w:rsid w:val="005B33A6"/>
    <w:rsid w:val="005B3543"/>
    <w:rsid w:val="005B3833"/>
    <w:rsid w:val="005B6735"/>
    <w:rsid w:val="005C2277"/>
    <w:rsid w:val="005C3E78"/>
    <w:rsid w:val="005C4C31"/>
    <w:rsid w:val="005C6513"/>
    <w:rsid w:val="005C6CD0"/>
    <w:rsid w:val="005C73CC"/>
    <w:rsid w:val="005D0F71"/>
    <w:rsid w:val="005D197F"/>
    <w:rsid w:val="005D222B"/>
    <w:rsid w:val="005D3686"/>
    <w:rsid w:val="005D497C"/>
    <w:rsid w:val="005D4CD8"/>
    <w:rsid w:val="005D55F1"/>
    <w:rsid w:val="005D582B"/>
    <w:rsid w:val="005D61B7"/>
    <w:rsid w:val="005D6773"/>
    <w:rsid w:val="005D6B2C"/>
    <w:rsid w:val="005E05A1"/>
    <w:rsid w:val="005E087E"/>
    <w:rsid w:val="005E1741"/>
    <w:rsid w:val="005E2849"/>
    <w:rsid w:val="005E6681"/>
    <w:rsid w:val="005E6F8B"/>
    <w:rsid w:val="005E7E24"/>
    <w:rsid w:val="005F0E17"/>
    <w:rsid w:val="005F15DC"/>
    <w:rsid w:val="005F22FC"/>
    <w:rsid w:val="005F3FAD"/>
    <w:rsid w:val="005F40AE"/>
    <w:rsid w:val="005F4183"/>
    <w:rsid w:val="005F47B6"/>
    <w:rsid w:val="005F4ACA"/>
    <w:rsid w:val="005F4DDB"/>
    <w:rsid w:val="005F5090"/>
    <w:rsid w:val="005F51AE"/>
    <w:rsid w:val="005F5563"/>
    <w:rsid w:val="005F5BBF"/>
    <w:rsid w:val="005F78F1"/>
    <w:rsid w:val="00601106"/>
    <w:rsid w:val="00601BDD"/>
    <w:rsid w:val="00603066"/>
    <w:rsid w:val="0060383F"/>
    <w:rsid w:val="0060464C"/>
    <w:rsid w:val="006064D0"/>
    <w:rsid w:val="006072B2"/>
    <w:rsid w:val="006079C4"/>
    <w:rsid w:val="00610560"/>
    <w:rsid w:val="00611AC1"/>
    <w:rsid w:val="006153A0"/>
    <w:rsid w:val="00615831"/>
    <w:rsid w:val="006159EC"/>
    <w:rsid w:val="00615D28"/>
    <w:rsid w:val="00615FD7"/>
    <w:rsid w:val="006160EB"/>
    <w:rsid w:val="00616C8B"/>
    <w:rsid w:val="0062023E"/>
    <w:rsid w:val="00620BC4"/>
    <w:rsid w:val="00621351"/>
    <w:rsid w:val="00621B2A"/>
    <w:rsid w:val="00623636"/>
    <w:rsid w:val="006236E1"/>
    <w:rsid w:val="00623797"/>
    <w:rsid w:val="006258F1"/>
    <w:rsid w:val="006263E8"/>
    <w:rsid w:val="006264AC"/>
    <w:rsid w:val="0062653E"/>
    <w:rsid w:val="00626CA4"/>
    <w:rsid w:val="00626FFB"/>
    <w:rsid w:val="0062719A"/>
    <w:rsid w:val="00627429"/>
    <w:rsid w:val="0062765D"/>
    <w:rsid w:val="006305CA"/>
    <w:rsid w:val="00631566"/>
    <w:rsid w:val="006315EE"/>
    <w:rsid w:val="00633CB2"/>
    <w:rsid w:val="00633D6F"/>
    <w:rsid w:val="00634DE6"/>
    <w:rsid w:val="00635186"/>
    <w:rsid w:val="00636648"/>
    <w:rsid w:val="00636E04"/>
    <w:rsid w:val="006375CD"/>
    <w:rsid w:val="00637B76"/>
    <w:rsid w:val="0064094F"/>
    <w:rsid w:val="006415D3"/>
    <w:rsid w:val="006419B8"/>
    <w:rsid w:val="00641A21"/>
    <w:rsid w:val="0064280C"/>
    <w:rsid w:val="00645941"/>
    <w:rsid w:val="00647D13"/>
    <w:rsid w:val="0065097E"/>
    <w:rsid w:val="0065192A"/>
    <w:rsid w:val="006522A4"/>
    <w:rsid w:val="00652458"/>
    <w:rsid w:val="00652C2A"/>
    <w:rsid w:val="00653D13"/>
    <w:rsid w:val="00654EF0"/>
    <w:rsid w:val="006555A4"/>
    <w:rsid w:val="00655F38"/>
    <w:rsid w:val="00657802"/>
    <w:rsid w:val="00661112"/>
    <w:rsid w:val="006626D6"/>
    <w:rsid w:val="00664D10"/>
    <w:rsid w:val="00664DAB"/>
    <w:rsid w:val="00666F5E"/>
    <w:rsid w:val="0067031E"/>
    <w:rsid w:val="0067035C"/>
    <w:rsid w:val="006706DC"/>
    <w:rsid w:val="006709B4"/>
    <w:rsid w:val="0067172A"/>
    <w:rsid w:val="00671892"/>
    <w:rsid w:val="00671D50"/>
    <w:rsid w:val="00672D12"/>
    <w:rsid w:val="00672DC5"/>
    <w:rsid w:val="00672F34"/>
    <w:rsid w:val="00673271"/>
    <w:rsid w:val="00673CA3"/>
    <w:rsid w:val="0067459F"/>
    <w:rsid w:val="00674B84"/>
    <w:rsid w:val="00675105"/>
    <w:rsid w:val="006761A5"/>
    <w:rsid w:val="00677357"/>
    <w:rsid w:val="00680A75"/>
    <w:rsid w:val="0068140E"/>
    <w:rsid w:val="00683419"/>
    <w:rsid w:val="00683948"/>
    <w:rsid w:val="00683AA0"/>
    <w:rsid w:val="00683AFC"/>
    <w:rsid w:val="00683B29"/>
    <w:rsid w:val="00683C3A"/>
    <w:rsid w:val="00685EEF"/>
    <w:rsid w:val="00686DE8"/>
    <w:rsid w:val="00687453"/>
    <w:rsid w:val="0068754E"/>
    <w:rsid w:val="006875E9"/>
    <w:rsid w:val="006877EA"/>
    <w:rsid w:val="00687852"/>
    <w:rsid w:val="0069023B"/>
    <w:rsid w:val="006905C7"/>
    <w:rsid w:val="00691924"/>
    <w:rsid w:val="00692ABB"/>
    <w:rsid w:val="00692FC2"/>
    <w:rsid w:val="0069365D"/>
    <w:rsid w:val="00693841"/>
    <w:rsid w:val="00694172"/>
    <w:rsid w:val="00694BC3"/>
    <w:rsid w:val="00696936"/>
    <w:rsid w:val="006974DC"/>
    <w:rsid w:val="006A0592"/>
    <w:rsid w:val="006A2437"/>
    <w:rsid w:val="006A29EF"/>
    <w:rsid w:val="006A3D77"/>
    <w:rsid w:val="006A4514"/>
    <w:rsid w:val="006A75ED"/>
    <w:rsid w:val="006A765A"/>
    <w:rsid w:val="006B03AD"/>
    <w:rsid w:val="006B03C0"/>
    <w:rsid w:val="006B18E4"/>
    <w:rsid w:val="006B2EFD"/>
    <w:rsid w:val="006B301C"/>
    <w:rsid w:val="006B36A9"/>
    <w:rsid w:val="006B412E"/>
    <w:rsid w:val="006B4A8E"/>
    <w:rsid w:val="006B4B90"/>
    <w:rsid w:val="006B5FC8"/>
    <w:rsid w:val="006B7464"/>
    <w:rsid w:val="006C0B77"/>
    <w:rsid w:val="006C2858"/>
    <w:rsid w:val="006C3D5A"/>
    <w:rsid w:val="006C4833"/>
    <w:rsid w:val="006C4E79"/>
    <w:rsid w:val="006C539D"/>
    <w:rsid w:val="006C6B28"/>
    <w:rsid w:val="006C7A23"/>
    <w:rsid w:val="006D04CC"/>
    <w:rsid w:val="006D1AFE"/>
    <w:rsid w:val="006D2DF1"/>
    <w:rsid w:val="006D336F"/>
    <w:rsid w:val="006D382C"/>
    <w:rsid w:val="006D54DC"/>
    <w:rsid w:val="006D556D"/>
    <w:rsid w:val="006D633D"/>
    <w:rsid w:val="006D6A6D"/>
    <w:rsid w:val="006D75D2"/>
    <w:rsid w:val="006D7F35"/>
    <w:rsid w:val="006E0459"/>
    <w:rsid w:val="006E093E"/>
    <w:rsid w:val="006E0D36"/>
    <w:rsid w:val="006E1E7A"/>
    <w:rsid w:val="006E3363"/>
    <w:rsid w:val="006E35DA"/>
    <w:rsid w:val="006E3EA7"/>
    <w:rsid w:val="006E56DF"/>
    <w:rsid w:val="006F0FC5"/>
    <w:rsid w:val="006F19CA"/>
    <w:rsid w:val="006F3914"/>
    <w:rsid w:val="006F433D"/>
    <w:rsid w:val="006F468A"/>
    <w:rsid w:val="006F4CC9"/>
    <w:rsid w:val="006F4D86"/>
    <w:rsid w:val="006F5594"/>
    <w:rsid w:val="006F77FF"/>
    <w:rsid w:val="0070009D"/>
    <w:rsid w:val="00701708"/>
    <w:rsid w:val="00701BFE"/>
    <w:rsid w:val="007020A7"/>
    <w:rsid w:val="00702BD4"/>
    <w:rsid w:val="0070482C"/>
    <w:rsid w:val="00704A20"/>
    <w:rsid w:val="00704E60"/>
    <w:rsid w:val="00706B87"/>
    <w:rsid w:val="00706F97"/>
    <w:rsid w:val="00710A0E"/>
    <w:rsid w:val="00711622"/>
    <w:rsid w:val="007122C9"/>
    <w:rsid w:val="0071323C"/>
    <w:rsid w:val="00714613"/>
    <w:rsid w:val="0071496D"/>
    <w:rsid w:val="007160E0"/>
    <w:rsid w:val="00716529"/>
    <w:rsid w:val="00721101"/>
    <w:rsid w:val="007219C8"/>
    <w:rsid w:val="00721A7E"/>
    <w:rsid w:val="00723A0D"/>
    <w:rsid w:val="00723FDA"/>
    <w:rsid w:val="007243B5"/>
    <w:rsid w:val="00724A8F"/>
    <w:rsid w:val="00725438"/>
    <w:rsid w:val="00725694"/>
    <w:rsid w:val="00725ABB"/>
    <w:rsid w:val="00731171"/>
    <w:rsid w:val="0073162F"/>
    <w:rsid w:val="00732795"/>
    <w:rsid w:val="00732C6F"/>
    <w:rsid w:val="0073528F"/>
    <w:rsid w:val="0073575B"/>
    <w:rsid w:val="00736AE0"/>
    <w:rsid w:val="00737F85"/>
    <w:rsid w:val="007413FC"/>
    <w:rsid w:val="00741658"/>
    <w:rsid w:val="00743218"/>
    <w:rsid w:val="0074557A"/>
    <w:rsid w:val="007457EB"/>
    <w:rsid w:val="00745C10"/>
    <w:rsid w:val="00746497"/>
    <w:rsid w:val="00746530"/>
    <w:rsid w:val="00747164"/>
    <w:rsid w:val="00747D08"/>
    <w:rsid w:val="007500FB"/>
    <w:rsid w:val="007511CF"/>
    <w:rsid w:val="007515C5"/>
    <w:rsid w:val="00751EBC"/>
    <w:rsid w:val="007522DD"/>
    <w:rsid w:val="007522DE"/>
    <w:rsid w:val="00752767"/>
    <w:rsid w:val="00753F75"/>
    <w:rsid w:val="0075537B"/>
    <w:rsid w:val="00755D72"/>
    <w:rsid w:val="00757051"/>
    <w:rsid w:val="0075746F"/>
    <w:rsid w:val="00757CC8"/>
    <w:rsid w:val="00760381"/>
    <w:rsid w:val="0076089F"/>
    <w:rsid w:val="00760DC3"/>
    <w:rsid w:val="0076237B"/>
    <w:rsid w:val="00762F54"/>
    <w:rsid w:val="00763611"/>
    <w:rsid w:val="00763F68"/>
    <w:rsid w:val="00763F75"/>
    <w:rsid w:val="00764D5A"/>
    <w:rsid w:val="00765330"/>
    <w:rsid w:val="007657BA"/>
    <w:rsid w:val="00765F27"/>
    <w:rsid w:val="00766E40"/>
    <w:rsid w:val="00766F8B"/>
    <w:rsid w:val="00767FDC"/>
    <w:rsid w:val="00770990"/>
    <w:rsid w:val="00770F84"/>
    <w:rsid w:val="0077294D"/>
    <w:rsid w:val="00773638"/>
    <w:rsid w:val="007736F2"/>
    <w:rsid w:val="00773E2D"/>
    <w:rsid w:val="0077498C"/>
    <w:rsid w:val="007753E3"/>
    <w:rsid w:val="00776D0C"/>
    <w:rsid w:val="00777089"/>
    <w:rsid w:val="00777592"/>
    <w:rsid w:val="007776E5"/>
    <w:rsid w:val="007802C1"/>
    <w:rsid w:val="00780D02"/>
    <w:rsid w:val="0078203A"/>
    <w:rsid w:val="00783425"/>
    <w:rsid w:val="007835B0"/>
    <w:rsid w:val="0078371D"/>
    <w:rsid w:val="007842F9"/>
    <w:rsid w:val="007853B2"/>
    <w:rsid w:val="007854F2"/>
    <w:rsid w:val="00786BA6"/>
    <w:rsid w:val="00787918"/>
    <w:rsid w:val="00791603"/>
    <w:rsid w:val="00791D47"/>
    <w:rsid w:val="007925AD"/>
    <w:rsid w:val="00792838"/>
    <w:rsid w:val="0079352E"/>
    <w:rsid w:val="00793786"/>
    <w:rsid w:val="00793C48"/>
    <w:rsid w:val="0079402D"/>
    <w:rsid w:val="0079458B"/>
    <w:rsid w:val="00795ABC"/>
    <w:rsid w:val="00795F39"/>
    <w:rsid w:val="007A05A1"/>
    <w:rsid w:val="007A0D50"/>
    <w:rsid w:val="007A1BBB"/>
    <w:rsid w:val="007A1C1D"/>
    <w:rsid w:val="007A29CE"/>
    <w:rsid w:val="007A2F46"/>
    <w:rsid w:val="007A3696"/>
    <w:rsid w:val="007A3C05"/>
    <w:rsid w:val="007A494B"/>
    <w:rsid w:val="007A713C"/>
    <w:rsid w:val="007A7413"/>
    <w:rsid w:val="007A7953"/>
    <w:rsid w:val="007A7D0F"/>
    <w:rsid w:val="007A7E6B"/>
    <w:rsid w:val="007A7F01"/>
    <w:rsid w:val="007B08A3"/>
    <w:rsid w:val="007B1662"/>
    <w:rsid w:val="007B1F5A"/>
    <w:rsid w:val="007B3598"/>
    <w:rsid w:val="007B41AA"/>
    <w:rsid w:val="007B4CD7"/>
    <w:rsid w:val="007B533A"/>
    <w:rsid w:val="007B63E0"/>
    <w:rsid w:val="007C0221"/>
    <w:rsid w:val="007C099E"/>
    <w:rsid w:val="007C0C79"/>
    <w:rsid w:val="007C228E"/>
    <w:rsid w:val="007C243E"/>
    <w:rsid w:val="007C3897"/>
    <w:rsid w:val="007C5885"/>
    <w:rsid w:val="007C5AD7"/>
    <w:rsid w:val="007C60C0"/>
    <w:rsid w:val="007C77BB"/>
    <w:rsid w:val="007C7CD6"/>
    <w:rsid w:val="007D0249"/>
    <w:rsid w:val="007D0935"/>
    <w:rsid w:val="007D0EA5"/>
    <w:rsid w:val="007D12BF"/>
    <w:rsid w:val="007D1332"/>
    <w:rsid w:val="007D1F0E"/>
    <w:rsid w:val="007D28C2"/>
    <w:rsid w:val="007D2BFB"/>
    <w:rsid w:val="007D3807"/>
    <w:rsid w:val="007D3A54"/>
    <w:rsid w:val="007D40E2"/>
    <w:rsid w:val="007D4847"/>
    <w:rsid w:val="007D64DE"/>
    <w:rsid w:val="007D7352"/>
    <w:rsid w:val="007E0DA8"/>
    <w:rsid w:val="007E2554"/>
    <w:rsid w:val="007E279F"/>
    <w:rsid w:val="007E3497"/>
    <w:rsid w:val="007E4294"/>
    <w:rsid w:val="007E6082"/>
    <w:rsid w:val="007E6A0A"/>
    <w:rsid w:val="007E6E3A"/>
    <w:rsid w:val="007F0496"/>
    <w:rsid w:val="007F08A2"/>
    <w:rsid w:val="007F08C3"/>
    <w:rsid w:val="007F4F45"/>
    <w:rsid w:val="007F5C65"/>
    <w:rsid w:val="007F608F"/>
    <w:rsid w:val="007F65AD"/>
    <w:rsid w:val="007F6A53"/>
    <w:rsid w:val="007F6CF6"/>
    <w:rsid w:val="007F7706"/>
    <w:rsid w:val="00800543"/>
    <w:rsid w:val="00800F19"/>
    <w:rsid w:val="00801602"/>
    <w:rsid w:val="00802413"/>
    <w:rsid w:val="008030C4"/>
    <w:rsid w:val="00803F16"/>
    <w:rsid w:val="00805ABB"/>
    <w:rsid w:val="008062E2"/>
    <w:rsid w:val="008065DD"/>
    <w:rsid w:val="008066CA"/>
    <w:rsid w:val="008079BE"/>
    <w:rsid w:val="00810F82"/>
    <w:rsid w:val="00811110"/>
    <w:rsid w:val="00812580"/>
    <w:rsid w:val="008126C3"/>
    <w:rsid w:val="008143DF"/>
    <w:rsid w:val="00814B02"/>
    <w:rsid w:val="00816B64"/>
    <w:rsid w:val="008179D2"/>
    <w:rsid w:val="00822024"/>
    <w:rsid w:val="00822185"/>
    <w:rsid w:val="00822AC9"/>
    <w:rsid w:val="008231D6"/>
    <w:rsid w:val="00823D34"/>
    <w:rsid w:val="00823E55"/>
    <w:rsid w:val="0082611A"/>
    <w:rsid w:val="0082642B"/>
    <w:rsid w:val="008266F9"/>
    <w:rsid w:val="00830963"/>
    <w:rsid w:val="0083174A"/>
    <w:rsid w:val="00833037"/>
    <w:rsid w:val="008331DD"/>
    <w:rsid w:val="008334DD"/>
    <w:rsid w:val="00833DCC"/>
    <w:rsid w:val="00836DA6"/>
    <w:rsid w:val="0083767C"/>
    <w:rsid w:val="00837D55"/>
    <w:rsid w:val="008409AB"/>
    <w:rsid w:val="00842C49"/>
    <w:rsid w:val="00843FBD"/>
    <w:rsid w:val="0084505B"/>
    <w:rsid w:val="00846B0B"/>
    <w:rsid w:val="0085044D"/>
    <w:rsid w:val="00852CB7"/>
    <w:rsid w:val="0085455F"/>
    <w:rsid w:val="00854865"/>
    <w:rsid w:val="008606C3"/>
    <w:rsid w:val="00862400"/>
    <w:rsid w:val="008632D3"/>
    <w:rsid w:val="008638F4"/>
    <w:rsid w:val="00864406"/>
    <w:rsid w:val="00864910"/>
    <w:rsid w:val="00864AAC"/>
    <w:rsid w:val="008658AE"/>
    <w:rsid w:val="008661FC"/>
    <w:rsid w:val="00867990"/>
    <w:rsid w:val="00870A4D"/>
    <w:rsid w:val="00871254"/>
    <w:rsid w:val="0087445C"/>
    <w:rsid w:val="008767A5"/>
    <w:rsid w:val="008775A7"/>
    <w:rsid w:val="00877619"/>
    <w:rsid w:val="0087761B"/>
    <w:rsid w:val="00877D73"/>
    <w:rsid w:val="00880E49"/>
    <w:rsid w:val="00880FD0"/>
    <w:rsid w:val="00881267"/>
    <w:rsid w:val="00881A29"/>
    <w:rsid w:val="00881CAE"/>
    <w:rsid w:val="00881E9A"/>
    <w:rsid w:val="00882B70"/>
    <w:rsid w:val="00882CBA"/>
    <w:rsid w:val="008834A5"/>
    <w:rsid w:val="008844FE"/>
    <w:rsid w:val="00884560"/>
    <w:rsid w:val="00885B73"/>
    <w:rsid w:val="0089052C"/>
    <w:rsid w:val="0089140C"/>
    <w:rsid w:val="008918CE"/>
    <w:rsid w:val="008920AB"/>
    <w:rsid w:val="00892DED"/>
    <w:rsid w:val="00892E68"/>
    <w:rsid w:val="00893065"/>
    <w:rsid w:val="00894099"/>
    <w:rsid w:val="008941F7"/>
    <w:rsid w:val="008946DD"/>
    <w:rsid w:val="008953C6"/>
    <w:rsid w:val="008953FB"/>
    <w:rsid w:val="00895A39"/>
    <w:rsid w:val="00895E3F"/>
    <w:rsid w:val="008960D2"/>
    <w:rsid w:val="00896E76"/>
    <w:rsid w:val="00897012"/>
    <w:rsid w:val="008A08FB"/>
    <w:rsid w:val="008A0B20"/>
    <w:rsid w:val="008A147E"/>
    <w:rsid w:val="008A26D8"/>
    <w:rsid w:val="008A3F0F"/>
    <w:rsid w:val="008A3F63"/>
    <w:rsid w:val="008A40F9"/>
    <w:rsid w:val="008A46B0"/>
    <w:rsid w:val="008A4B05"/>
    <w:rsid w:val="008A53A2"/>
    <w:rsid w:val="008A7077"/>
    <w:rsid w:val="008A73D4"/>
    <w:rsid w:val="008B2C23"/>
    <w:rsid w:val="008B2F3B"/>
    <w:rsid w:val="008B3B0A"/>
    <w:rsid w:val="008B3DE0"/>
    <w:rsid w:val="008B4692"/>
    <w:rsid w:val="008B47D3"/>
    <w:rsid w:val="008B4DC1"/>
    <w:rsid w:val="008B6414"/>
    <w:rsid w:val="008B64F6"/>
    <w:rsid w:val="008B720D"/>
    <w:rsid w:val="008C09A3"/>
    <w:rsid w:val="008C1534"/>
    <w:rsid w:val="008C1851"/>
    <w:rsid w:val="008C20EE"/>
    <w:rsid w:val="008C2AFB"/>
    <w:rsid w:val="008C3156"/>
    <w:rsid w:val="008C3601"/>
    <w:rsid w:val="008C4408"/>
    <w:rsid w:val="008C67FC"/>
    <w:rsid w:val="008C72EF"/>
    <w:rsid w:val="008C7B8B"/>
    <w:rsid w:val="008D03A5"/>
    <w:rsid w:val="008D063B"/>
    <w:rsid w:val="008D2477"/>
    <w:rsid w:val="008D28A9"/>
    <w:rsid w:val="008D3B33"/>
    <w:rsid w:val="008D539D"/>
    <w:rsid w:val="008D5467"/>
    <w:rsid w:val="008D6F33"/>
    <w:rsid w:val="008D718B"/>
    <w:rsid w:val="008E0F9E"/>
    <w:rsid w:val="008E299B"/>
    <w:rsid w:val="008E320E"/>
    <w:rsid w:val="008E4290"/>
    <w:rsid w:val="008E5858"/>
    <w:rsid w:val="008E61D1"/>
    <w:rsid w:val="008E68CA"/>
    <w:rsid w:val="008E763B"/>
    <w:rsid w:val="008F0790"/>
    <w:rsid w:val="008F0DFF"/>
    <w:rsid w:val="008F192B"/>
    <w:rsid w:val="008F224B"/>
    <w:rsid w:val="008F24DD"/>
    <w:rsid w:val="008F31F5"/>
    <w:rsid w:val="008F386D"/>
    <w:rsid w:val="008F3F77"/>
    <w:rsid w:val="008F5DB3"/>
    <w:rsid w:val="008F6A9D"/>
    <w:rsid w:val="008F78E0"/>
    <w:rsid w:val="009012B3"/>
    <w:rsid w:val="00902744"/>
    <w:rsid w:val="00903B86"/>
    <w:rsid w:val="00905B55"/>
    <w:rsid w:val="00906EA3"/>
    <w:rsid w:val="00907808"/>
    <w:rsid w:val="0090783F"/>
    <w:rsid w:val="00910017"/>
    <w:rsid w:val="009113B8"/>
    <w:rsid w:val="009114AB"/>
    <w:rsid w:val="0091180C"/>
    <w:rsid w:val="009127BF"/>
    <w:rsid w:val="00912D93"/>
    <w:rsid w:val="00912EA6"/>
    <w:rsid w:val="009130DD"/>
    <w:rsid w:val="009131F5"/>
    <w:rsid w:val="00914221"/>
    <w:rsid w:val="00915F0F"/>
    <w:rsid w:val="009170CD"/>
    <w:rsid w:val="00917BED"/>
    <w:rsid w:val="009200D0"/>
    <w:rsid w:val="00920AD3"/>
    <w:rsid w:val="009227C5"/>
    <w:rsid w:val="00922F77"/>
    <w:rsid w:val="009230B6"/>
    <w:rsid w:val="00923D34"/>
    <w:rsid w:val="009255F5"/>
    <w:rsid w:val="009266BC"/>
    <w:rsid w:val="00927CBC"/>
    <w:rsid w:val="00930BF4"/>
    <w:rsid w:val="00930EAA"/>
    <w:rsid w:val="00931492"/>
    <w:rsid w:val="00931D20"/>
    <w:rsid w:val="00932142"/>
    <w:rsid w:val="00932F98"/>
    <w:rsid w:val="00934C6D"/>
    <w:rsid w:val="009352E3"/>
    <w:rsid w:val="0093597D"/>
    <w:rsid w:val="00935F96"/>
    <w:rsid w:val="00936BED"/>
    <w:rsid w:val="00937437"/>
    <w:rsid w:val="009400C9"/>
    <w:rsid w:val="009431E4"/>
    <w:rsid w:val="00944444"/>
    <w:rsid w:val="009448FB"/>
    <w:rsid w:val="009455F4"/>
    <w:rsid w:val="009462F5"/>
    <w:rsid w:val="00946312"/>
    <w:rsid w:val="00946522"/>
    <w:rsid w:val="00946BD5"/>
    <w:rsid w:val="009470BA"/>
    <w:rsid w:val="009477DC"/>
    <w:rsid w:val="00947833"/>
    <w:rsid w:val="00947E95"/>
    <w:rsid w:val="00955323"/>
    <w:rsid w:val="00956C56"/>
    <w:rsid w:val="00956D6D"/>
    <w:rsid w:val="009575D7"/>
    <w:rsid w:val="00957D2F"/>
    <w:rsid w:val="009606B1"/>
    <w:rsid w:val="00963237"/>
    <w:rsid w:val="00964BAE"/>
    <w:rsid w:val="00965B97"/>
    <w:rsid w:val="0096663F"/>
    <w:rsid w:val="0096705C"/>
    <w:rsid w:val="009675AC"/>
    <w:rsid w:val="0097295D"/>
    <w:rsid w:val="00974157"/>
    <w:rsid w:val="009742B0"/>
    <w:rsid w:val="00975760"/>
    <w:rsid w:val="00975D7E"/>
    <w:rsid w:val="00976C5B"/>
    <w:rsid w:val="00976F7D"/>
    <w:rsid w:val="00980003"/>
    <w:rsid w:val="00980C62"/>
    <w:rsid w:val="009815E5"/>
    <w:rsid w:val="009817DD"/>
    <w:rsid w:val="00981AB0"/>
    <w:rsid w:val="00981C6A"/>
    <w:rsid w:val="0098278F"/>
    <w:rsid w:val="00982FC1"/>
    <w:rsid w:val="00983125"/>
    <w:rsid w:val="0098497E"/>
    <w:rsid w:val="00985D1E"/>
    <w:rsid w:val="00990582"/>
    <w:rsid w:val="009907ED"/>
    <w:rsid w:val="00990E48"/>
    <w:rsid w:val="00991C11"/>
    <w:rsid w:val="0099206B"/>
    <w:rsid w:val="0099309E"/>
    <w:rsid w:val="00994931"/>
    <w:rsid w:val="00995EA4"/>
    <w:rsid w:val="00995FF8"/>
    <w:rsid w:val="009A02E5"/>
    <w:rsid w:val="009A03FA"/>
    <w:rsid w:val="009A1BB0"/>
    <w:rsid w:val="009A227C"/>
    <w:rsid w:val="009A230F"/>
    <w:rsid w:val="009A3001"/>
    <w:rsid w:val="009A3523"/>
    <w:rsid w:val="009A3D16"/>
    <w:rsid w:val="009A5D24"/>
    <w:rsid w:val="009A5DE0"/>
    <w:rsid w:val="009A794E"/>
    <w:rsid w:val="009A7F39"/>
    <w:rsid w:val="009B0FC2"/>
    <w:rsid w:val="009B16FA"/>
    <w:rsid w:val="009B3240"/>
    <w:rsid w:val="009B52C4"/>
    <w:rsid w:val="009B5548"/>
    <w:rsid w:val="009B69C1"/>
    <w:rsid w:val="009B6DF8"/>
    <w:rsid w:val="009B72EF"/>
    <w:rsid w:val="009B7866"/>
    <w:rsid w:val="009C0213"/>
    <w:rsid w:val="009C1087"/>
    <w:rsid w:val="009C3070"/>
    <w:rsid w:val="009C33E6"/>
    <w:rsid w:val="009C3E4B"/>
    <w:rsid w:val="009C4431"/>
    <w:rsid w:val="009C5D4F"/>
    <w:rsid w:val="009C6555"/>
    <w:rsid w:val="009C667A"/>
    <w:rsid w:val="009C6937"/>
    <w:rsid w:val="009C713E"/>
    <w:rsid w:val="009C76F5"/>
    <w:rsid w:val="009D0F72"/>
    <w:rsid w:val="009D379D"/>
    <w:rsid w:val="009D43FC"/>
    <w:rsid w:val="009D4CD4"/>
    <w:rsid w:val="009D7395"/>
    <w:rsid w:val="009D7BAD"/>
    <w:rsid w:val="009E02CD"/>
    <w:rsid w:val="009E07F2"/>
    <w:rsid w:val="009E1AAF"/>
    <w:rsid w:val="009E1F60"/>
    <w:rsid w:val="009E2077"/>
    <w:rsid w:val="009E4A58"/>
    <w:rsid w:val="009E4AD5"/>
    <w:rsid w:val="009E54D2"/>
    <w:rsid w:val="009E5642"/>
    <w:rsid w:val="009E57D5"/>
    <w:rsid w:val="009E5A59"/>
    <w:rsid w:val="009E7ACE"/>
    <w:rsid w:val="009E7BF4"/>
    <w:rsid w:val="009F1F4C"/>
    <w:rsid w:val="009F2AC5"/>
    <w:rsid w:val="009F30C8"/>
    <w:rsid w:val="009F3331"/>
    <w:rsid w:val="009F43FF"/>
    <w:rsid w:val="009F5788"/>
    <w:rsid w:val="009F6EE2"/>
    <w:rsid w:val="009F6F6A"/>
    <w:rsid w:val="00A00920"/>
    <w:rsid w:val="00A00D8C"/>
    <w:rsid w:val="00A02B7F"/>
    <w:rsid w:val="00A02F21"/>
    <w:rsid w:val="00A03409"/>
    <w:rsid w:val="00A04233"/>
    <w:rsid w:val="00A07FEB"/>
    <w:rsid w:val="00A10AE2"/>
    <w:rsid w:val="00A11827"/>
    <w:rsid w:val="00A11D91"/>
    <w:rsid w:val="00A11F75"/>
    <w:rsid w:val="00A13270"/>
    <w:rsid w:val="00A1415E"/>
    <w:rsid w:val="00A14F6E"/>
    <w:rsid w:val="00A152CE"/>
    <w:rsid w:val="00A1661A"/>
    <w:rsid w:val="00A16CA3"/>
    <w:rsid w:val="00A177FC"/>
    <w:rsid w:val="00A204BC"/>
    <w:rsid w:val="00A205A8"/>
    <w:rsid w:val="00A20B02"/>
    <w:rsid w:val="00A20C56"/>
    <w:rsid w:val="00A2119B"/>
    <w:rsid w:val="00A21D43"/>
    <w:rsid w:val="00A227AC"/>
    <w:rsid w:val="00A23B5A"/>
    <w:rsid w:val="00A23BCB"/>
    <w:rsid w:val="00A26A54"/>
    <w:rsid w:val="00A26DC4"/>
    <w:rsid w:val="00A273BD"/>
    <w:rsid w:val="00A317E9"/>
    <w:rsid w:val="00A3218D"/>
    <w:rsid w:val="00A32B6B"/>
    <w:rsid w:val="00A33B5A"/>
    <w:rsid w:val="00A341B6"/>
    <w:rsid w:val="00A34EC9"/>
    <w:rsid w:val="00A35391"/>
    <w:rsid w:val="00A375AE"/>
    <w:rsid w:val="00A4078A"/>
    <w:rsid w:val="00A40F11"/>
    <w:rsid w:val="00A412DA"/>
    <w:rsid w:val="00A42A31"/>
    <w:rsid w:val="00A43126"/>
    <w:rsid w:val="00A43F79"/>
    <w:rsid w:val="00A440E0"/>
    <w:rsid w:val="00A4413B"/>
    <w:rsid w:val="00A44293"/>
    <w:rsid w:val="00A458AA"/>
    <w:rsid w:val="00A46598"/>
    <w:rsid w:val="00A46D85"/>
    <w:rsid w:val="00A47758"/>
    <w:rsid w:val="00A47B32"/>
    <w:rsid w:val="00A47E6F"/>
    <w:rsid w:val="00A50E2B"/>
    <w:rsid w:val="00A51A88"/>
    <w:rsid w:val="00A52308"/>
    <w:rsid w:val="00A52D99"/>
    <w:rsid w:val="00A53CA2"/>
    <w:rsid w:val="00A53CF5"/>
    <w:rsid w:val="00A54EC4"/>
    <w:rsid w:val="00A5518B"/>
    <w:rsid w:val="00A56631"/>
    <w:rsid w:val="00A61CE0"/>
    <w:rsid w:val="00A62E52"/>
    <w:rsid w:val="00A6339F"/>
    <w:rsid w:val="00A6374D"/>
    <w:rsid w:val="00A6390D"/>
    <w:rsid w:val="00A63963"/>
    <w:rsid w:val="00A640CB"/>
    <w:rsid w:val="00A640D3"/>
    <w:rsid w:val="00A64213"/>
    <w:rsid w:val="00A64D7E"/>
    <w:rsid w:val="00A66E41"/>
    <w:rsid w:val="00A6717F"/>
    <w:rsid w:val="00A7152C"/>
    <w:rsid w:val="00A717CE"/>
    <w:rsid w:val="00A71B6B"/>
    <w:rsid w:val="00A729FB"/>
    <w:rsid w:val="00A72E09"/>
    <w:rsid w:val="00A7332D"/>
    <w:rsid w:val="00A7343C"/>
    <w:rsid w:val="00A73FC1"/>
    <w:rsid w:val="00A755EC"/>
    <w:rsid w:val="00A7643D"/>
    <w:rsid w:val="00A76E68"/>
    <w:rsid w:val="00A7717F"/>
    <w:rsid w:val="00A774E0"/>
    <w:rsid w:val="00A82010"/>
    <w:rsid w:val="00A8395B"/>
    <w:rsid w:val="00A83D80"/>
    <w:rsid w:val="00A83DE8"/>
    <w:rsid w:val="00A84C4E"/>
    <w:rsid w:val="00A84ECA"/>
    <w:rsid w:val="00A90009"/>
    <w:rsid w:val="00A90E92"/>
    <w:rsid w:val="00A92CAD"/>
    <w:rsid w:val="00A92E60"/>
    <w:rsid w:val="00A9323E"/>
    <w:rsid w:val="00A9472F"/>
    <w:rsid w:val="00A9786B"/>
    <w:rsid w:val="00A97DEC"/>
    <w:rsid w:val="00A97EE2"/>
    <w:rsid w:val="00AA26ED"/>
    <w:rsid w:val="00AA31BD"/>
    <w:rsid w:val="00AA3594"/>
    <w:rsid w:val="00AA403D"/>
    <w:rsid w:val="00AA583C"/>
    <w:rsid w:val="00AA5FE3"/>
    <w:rsid w:val="00AA619A"/>
    <w:rsid w:val="00AA76F7"/>
    <w:rsid w:val="00AA772B"/>
    <w:rsid w:val="00AB0250"/>
    <w:rsid w:val="00AB0691"/>
    <w:rsid w:val="00AB0C30"/>
    <w:rsid w:val="00AB12B2"/>
    <w:rsid w:val="00AB1B97"/>
    <w:rsid w:val="00AB3509"/>
    <w:rsid w:val="00AB5492"/>
    <w:rsid w:val="00AB5825"/>
    <w:rsid w:val="00AB5E95"/>
    <w:rsid w:val="00AB7629"/>
    <w:rsid w:val="00AB7EDF"/>
    <w:rsid w:val="00AC088A"/>
    <w:rsid w:val="00AC25FE"/>
    <w:rsid w:val="00AC3840"/>
    <w:rsid w:val="00AC55B3"/>
    <w:rsid w:val="00AC58DC"/>
    <w:rsid w:val="00AC5D61"/>
    <w:rsid w:val="00AC6E76"/>
    <w:rsid w:val="00AC7580"/>
    <w:rsid w:val="00AC75AF"/>
    <w:rsid w:val="00AC7865"/>
    <w:rsid w:val="00AC7EC9"/>
    <w:rsid w:val="00AC7F71"/>
    <w:rsid w:val="00AD0408"/>
    <w:rsid w:val="00AD06E3"/>
    <w:rsid w:val="00AD06ED"/>
    <w:rsid w:val="00AD0C2E"/>
    <w:rsid w:val="00AD12B3"/>
    <w:rsid w:val="00AD1496"/>
    <w:rsid w:val="00AD1636"/>
    <w:rsid w:val="00AD165B"/>
    <w:rsid w:val="00AD1A9E"/>
    <w:rsid w:val="00AD25A8"/>
    <w:rsid w:val="00AD300A"/>
    <w:rsid w:val="00AD3220"/>
    <w:rsid w:val="00AD5296"/>
    <w:rsid w:val="00AD5BCB"/>
    <w:rsid w:val="00AD5CAA"/>
    <w:rsid w:val="00AD5D35"/>
    <w:rsid w:val="00AD6B83"/>
    <w:rsid w:val="00AD6D0C"/>
    <w:rsid w:val="00AD729B"/>
    <w:rsid w:val="00AD73DB"/>
    <w:rsid w:val="00AD77DB"/>
    <w:rsid w:val="00AE049C"/>
    <w:rsid w:val="00AE07FE"/>
    <w:rsid w:val="00AE0905"/>
    <w:rsid w:val="00AE0CE7"/>
    <w:rsid w:val="00AE1120"/>
    <w:rsid w:val="00AE1D2E"/>
    <w:rsid w:val="00AE29B8"/>
    <w:rsid w:val="00AE3A34"/>
    <w:rsid w:val="00AE41C9"/>
    <w:rsid w:val="00AE71C9"/>
    <w:rsid w:val="00AF33AE"/>
    <w:rsid w:val="00AF3655"/>
    <w:rsid w:val="00AF37D2"/>
    <w:rsid w:val="00AF3D1D"/>
    <w:rsid w:val="00AF3E94"/>
    <w:rsid w:val="00AF4EFD"/>
    <w:rsid w:val="00AF5382"/>
    <w:rsid w:val="00AF58C8"/>
    <w:rsid w:val="00AF58FB"/>
    <w:rsid w:val="00AF608C"/>
    <w:rsid w:val="00AF6A24"/>
    <w:rsid w:val="00AF6F87"/>
    <w:rsid w:val="00AF7021"/>
    <w:rsid w:val="00AF7D2C"/>
    <w:rsid w:val="00B02663"/>
    <w:rsid w:val="00B02EA2"/>
    <w:rsid w:val="00B0391D"/>
    <w:rsid w:val="00B03AF4"/>
    <w:rsid w:val="00B03D01"/>
    <w:rsid w:val="00B043B6"/>
    <w:rsid w:val="00B0480E"/>
    <w:rsid w:val="00B059CF"/>
    <w:rsid w:val="00B06805"/>
    <w:rsid w:val="00B07220"/>
    <w:rsid w:val="00B076AC"/>
    <w:rsid w:val="00B07996"/>
    <w:rsid w:val="00B07CFA"/>
    <w:rsid w:val="00B11D58"/>
    <w:rsid w:val="00B12134"/>
    <w:rsid w:val="00B1242B"/>
    <w:rsid w:val="00B13735"/>
    <w:rsid w:val="00B148A2"/>
    <w:rsid w:val="00B150CE"/>
    <w:rsid w:val="00B17C82"/>
    <w:rsid w:val="00B20505"/>
    <w:rsid w:val="00B21201"/>
    <w:rsid w:val="00B21C1E"/>
    <w:rsid w:val="00B224CB"/>
    <w:rsid w:val="00B23128"/>
    <w:rsid w:val="00B23845"/>
    <w:rsid w:val="00B24BDC"/>
    <w:rsid w:val="00B24F96"/>
    <w:rsid w:val="00B26544"/>
    <w:rsid w:val="00B26790"/>
    <w:rsid w:val="00B26ACF"/>
    <w:rsid w:val="00B26DE8"/>
    <w:rsid w:val="00B276ED"/>
    <w:rsid w:val="00B302A6"/>
    <w:rsid w:val="00B303DB"/>
    <w:rsid w:val="00B3257B"/>
    <w:rsid w:val="00B32BE5"/>
    <w:rsid w:val="00B330D7"/>
    <w:rsid w:val="00B340C5"/>
    <w:rsid w:val="00B35D43"/>
    <w:rsid w:val="00B36450"/>
    <w:rsid w:val="00B37C93"/>
    <w:rsid w:val="00B414BE"/>
    <w:rsid w:val="00B42A33"/>
    <w:rsid w:val="00B43A2D"/>
    <w:rsid w:val="00B43CD9"/>
    <w:rsid w:val="00B43F75"/>
    <w:rsid w:val="00B44E51"/>
    <w:rsid w:val="00B50B89"/>
    <w:rsid w:val="00B50F2E"/>
    <w:rsid w:val="00B516DD"/>
    <w:rsid w:val="00B529C9"/>
    <w:rsid w:val="00B53225"/>
    <w:rsid w:val="00B56011"/>
    <w:rsid w:val="00B563B8"/>
    <w:rsid w:val="00B566F9"/>
    <w:rsid w:val="00B5792D"/>
    <w:rsid w:val="00B57C56"/>
    <w:rsid w:val="00B57C8D"/>
    <w:rsid w:val="00B601CD"/>
    <w:rsid w:val="00B60AE0"/>
    <w:rsid w:val="00B61E57"/>
    <w:rsid w:val="00B62909"/>
    <w:rsid w:val="00B62D39"/>
    <w:rsid w:val="00B63571"/>
    <w:rsid w:val="00B63797"/>
    <w:rsid w:val="00B63EBC"/>
    <w:rsid w:val="00B63EC1"/>
    <w:rsid w:val="00B64E29"/>
    <w:rsid w:val="00B66669"/>
    <w:rsid w:val="00B6701B"/>
    <w:rsid w:val="00B7002D"/>
    <w:rsid w:val="00B70354"/>
    <w:rsid w:val="00B708C8"/>
    <w:rsid w:val="00B71F91"/>
    <w:rsid w:val="00B72A61"/>
    <w:rsid w:val="00B73351"/>
    <w:rsid w:val="00B73862"/>
    <w:rsid w:val="00B75F96"/>
    <w:rsid w:val="00B77A87"/>
    <w:rsid w:val="00B80F87"/>
    <w:rsid w:val="00B8247F"/>
    <w:rsid w:val="00B82C68"/>
    <w:rsid w:val="00B85622"/>
    <w:rsid w:val="00B85CF1"/>
    <w:rsid w:val="00B8687E"/>
    <w:rsid w:val="00B927C7"/>
    <w:rsid w:val="00B92C27"/>
    <w:rsid w:val="00B93183"/>
    <w:rsid w:val="00B94439"/>
    <w:rsid w:val="00B94998"/>
    <w:rsid w:val="00B9531F"/>
    <w:rsid w:val="00B95980"/>
    <w:rsid w:val="00BA01B2"/>
    <w:rsid w:val="00BA095F"/>
    <w:rsid w:val="00BA09DE"/>
    <w:rsid w:val="00BA1414"/>
    <w:rsid w:val="00BA1DA1"/>
    <w:rsid w:val="00BA2020"/>
    <w:rsid w:val="00BA227C"/>
    <w:rsid w:val="00BA3A14"/>
    <w:rsid w:val="00BA5124"/>
    <w:rsid w:val="00BA578B"/>
    <w:rsid w:val="00BA5C28"/>
    <w:rsid w:val="00BA663B"/>
    <w:rsid w:val="00BA734F"/>
    <w:rsid w:val="00BA7CFB"/>
    <w:rsid w:val="00BB0DDD"/>
    <w:rsid w:val="00BB180B"/>
    <w:rsid w:val="00BB1EA9"/>
    <w:rsid w:val="00BB448D"/>
    <w:rsid w:val="00BB68F3"/>
    <w:rsid w:val="00BB6C62"/>
    <w:rsid w:val="00BC0C57"/>
    <w:rsid w:val="00BC1381"/>
    <w:rsid w:val="00BC1D4C"/>
    <w:rsid w:val="00BC2A99"/>
    <w:rsid w:val="00BC2B98"/>
    <w:rsid w:val="00BC374B"/>
    <w:rsid w:val="00BC3A9A"/>
    <w:rsid w:val="00BC3C85"/>
    <w:rsid w:val="00BC3D4B"/>
    <w:rsid w:val="00BC4866"/>
    <w:rsid w:val="00BC48FE"/>
    <w:rsid w:val="00BC4D21"/>
    <w:rsid w:val="00BC6EFF"/>
    <w:rsid w:val="00BC70A6"/>
    <w:rsid w:val="00BC7274"/>
    <w:rsid w:val="00BC76A1"/>
    <w:rsid w:val="00BC7D71"/>
    <w:rsid w:val="00BD08AB"/>
    <w:rsid w:val="00BD0CAF"/>
    <w:rsid w:val="00BD1398"/>
    <w:rsid w:val="00BD5794"/>
    <w:rsid w:val="00BD58D0"/>
    <w:rsid w:val="00BD5B93"/>
    <w:rsid w:val="00BD5DD5"/>
    <w:rsid w:val="00BD68E9"/>
    <w:rsid w:val="00BD6D75"/>
    <w:rsid w:val="00BE0613"/>
    <w:rsid w:val="00BE0930"/>
    <w:rsid w:val="00BE0DC9"/>
    <w:rsid w:val="00BE1AF8"/>
    <w:rsid w:val="00BE1EEB"/>
    <w:rsid w:val="00BE2CD4"/>
    <w:rsid w:val="00BE3227"/>
    <w:rsid w:val="00BE3D05"/>
    <w:rsid w:val="00BE499B"/>
    <w:rsid w:val="00BE5DC1"/>
    <w:rsid w:val="00BE62D1"/>
    <w:rsid w:val="00BE6CF7"/>
    <w:rsid w:val="00BE7CAF"/>
    <w:rsid w:val="00BF0200"/>
    <w:rsid w:val="00BF0A1F"/>
    <w:rsid w:val="00BF0ABC"/>
    <w:rsid w:val="00BF310F"/>
    <w:rsid w:val="00BF4FF1"/>
    <w:rsid w:val="00BF5F84"/>
    <w:rsid w:val="00C00337"/>
    <w:rsid w:val="00C009F7"/>
    <w:rsid w:val="00C00AC5"/>
    <w:rsid w:val="00C00BA6"/>
    <w:rsid w:val="00C00BDF"/>
    <w:rsid w:val="00C00F61"/>
    <w:rsid w:val="00C015F8"/>
    <w:rsid w:val="00C03701"/>
    <w:rsid w:val="00C03A51"/>
    <w:rsid w:val="00C041AE"/>
    <w:rsid w:val="00C04971"/>
    <w:rsid w:val="00C058FA"/>
    <w:rsid w:val="00C05C3F"/>
    <w:rsid w:val="00C06108"/>
    <w:rsid w:val="00C06802"/>
    <w:rsid w:val="00C073A8"/>
    <w:rsid w:val="00C0742E"/>
    <w:rsid w:val="00C07C06"/>
    <w:rsid w:val="00C12EDF"/>
    <w:rsid w:val="00C12F64"/>
    <w:rsid w:val="00C14B66"/>
    <w:rsid w:val="00C14DFF"/>
    <w:rsid w:val="00C15BE5"/>
    <w:rsid w:val="00C15D87"/>
    <w:rsid w:val="00C15EB0"/>
    <w:rsid w:val="00C1709A"/>
    <w:rsid w:val="00C1743C"/>
    <w:rsid w:val="00C20444"/>
    <w:rsid w:val="00C20ED9"/>
    <w:rsid w:val="00C2129E"/>
    <w:rsid w:val="00C2305A"/>
    <w:rsid w:val="00C2337B"/>
    <w:rsid w:val="00C2341F"/>
    <w:rsid w:val="00C23926"/>
    <w:rsid w:val="00C2505B"/>
    <w:rsid w:val="00C2525E"/>
    <w:rsid w:val="00C26A1F"/>
    <w:rsid w:val="00C2781D"/>
    <w:rsid w:val="00C3048A"/>
    <w:rsid w:val="00C30732"/>
    <w:rsid w:val="00C33EB2"/>
    <w:rsid w:val="00C33EC2"/>
    <w:rsid w:val="00C35239"/>
    <w:rsid w:val="00C367C4"/>
    <w:rsid w:val="00C37B35"/>
    <w:rsid w:val="00C410F4"/>
    <w:rsid w:val="00C41BAF"/>
    <w:rsid w:val="00C42BD7"/>
    <w:rsid w:val="00C432BA"/>
    <w:rsid w:val="00C44061"/>
    <w:rsid w:val="00C45FBA"/>
    <w:rsid w:val="00C46CB8"/>
    <w:rsid w:val="00C47083"/>
    <w:rsid w:val="00C4797E"/>
    <w:rsid w:val="00C5025A"/>
    <w:rsid w:val="00C541FF"/>
    <w:rsid w:val="00C55A18"/>
    <w:rsid w:val="00C5721C"/>
    <w:rsid w:val="00C57BDB"/>
    <w:rsid w:val="00C6032E"/>
    <w:rsid w:val="00C60F4F"/>
    <w:rsid w:val="00C61834"/>
    <w:rsid w:val="00C62753"/>
    <w:rsid w:val="00C63570"/>
    <w:rsid w:val="00C635E0"/>
    <w:rsid w:val="00C63D3B"/>
    <w:rsid w:val="00C63F85"/>
    <w:rsid w:val="00C652A5"/>
    <w:rsid w:val="00C66A88"/>
    <w:rsid w:val="00C66BC8"/>
    <w:rsid w:val="00C671F8"/>
    <w:rsid w:val="00C67F3C"/>
    <w:rsid w:val="00C7151A"/>
    <w:rsid w:val="00C717D5"/>
    <w:rsid w:val="00C729D2"/>
    <w:rsid w:val="00C737F1"/>
    <w:rsid w:val="00C73A66"/>
    <w:rsid w:val="00C73B16"/>
    <w:rsid w:val="00C73ECD"/>
    <w:rsid w:val="00C7434D"/>
    <w:rsid w:val="00C75264"/>
    <w:rsid w:val="00C76E0C"/>
    <w:rsid w:val="00C77435"/>
    <w:rsid w:val="00C800DB"/>
    <w:rsid w:val="00C803D6"/>
    <w:rsid w:val="00C8075E"/>
    <w:rsid w:val="00C81AD2"/>
    <w:rsid w:val="00C822D1"/>
    <w:rsid w:val="00C825A6"/>
    <w:rsid w:val="00C84929"/>
    <w:rsid w:val="00C84933"/>
    <w:rsid w:val="00C85821"/>
    <w:rsid w:val="00C86812"/>
    <w:rsid w:val="00C86BFF"/>
    <w:rsid w:val="00C86F54"/>
    <w:rsid w:val="00C878A7"/>
    <w:rsid w:val="00C87BE8"/>
    <w:rsid w:val="00C87E41"/>
    <w:rsid w:val="00C900F0"/>
    <w:rsid w:val="00C909C3"/>
    <w:rsid w:val="00C9116D"/>
    <w:rsid w:val="00C912B9"/>
    <w:rsid w:val="00C9160B"/>
    <w:rsid w:val="00C921B6"/>
    <w:rsid w:val="00C943D9"/>
    <w:rsid w:val="00C94801"/>
    <w:rsid w:val="00C94917"/>
    <w:rsid w:val="00C9521D"/>
    <w:rsid w:val="00C95223"/>
    <w:rsid w:val="00C95902"/>
    <w:rsid w:val="00C95F15"/>
    <w:rsid w:val="00C967EF"/>
    <w:rsid w:val="00C96940"/>
    <w:rsid w:val="00C969D1"/>
    <w:rsid w:val="00C97377"/>
    <w:rsid w:val="00CA06D2"/>
    <w:rsid w:val="00CA14B5"/>
    <w:rsid w:val="00CA2127"/>
    <w:rsid w:val="00CA3101"/>
    <w:rsid w:val="00CA34AC"/>
    <w:rsid w:val="00CA421A"/>
    <w:rsid w:val="00CA488A"/>
    <w:rsid w:val="00CA4D6C"/>
    <w:rsid w:val="00CA4F9E"/>
    <w:rsid w:val="00CA54A5"/>
    <w:rsid w:val="00CA5F33"/>
    <w:rsid w:val="00CA6860"/>
    <w:rsid w:val="00CA68E0"/>
    <w:rsid w:val="00CA7D47"/>
    <w:rsid w:val="00CB1435"/>
    <w:rsid w:val="00CB2411"/>
    <w:rsid w:val="00CB2771"/>
    <w:rsid w:val="00CB4C37"/>
    <w:rsid w:val="00CB59E3"/>
    <w:rsid w:val="00CB5A1B"/>
    <w:rsid w:val="00CB7ABB"/>
    <w:rsid w:val="00CC1626"/>
    <w:rsid w:val="00CC1BFA"/>
    <w:rsid w:val="00CC2DE5"/>
    <w:rsid w:val="00CC3251"/>
    <w:rsid w:val="00CC3EEB"/>
    <w:rsid w:val="00CC4362"/>
    <w:rsid w:val="00CC5A1C"/>
    <w:rsid w:val="00CC5BB5"/>
    <w:rsid w:val="00CC61DA"/>
    <w:rsid w:val="00CC6AC3"/>
    <w:rsid w:val="00CC789A"/>
    <w:rsid w:val="00CC7AC4"/>
    <w:rsid w:val="00CD12CC"/>
    <w:rsid w:val="00CD1545"/>
    <w:rsid w:val="00CD2241"/>
    <w:rsid w:val="00CD356E"/>
    <w:rsid w:val="00CD371D"/>
    <w:rsid w:val="00CD3BD0"/>
    <w:rsid w:val="00CD3EF1"/>
    <w:rsid w:val="00CD4B0B"/>
    <w:rsid w:val="00CD6166"/>
    <w:rsid w:val="00CD622E"/>
    <w:rsid w:val="00CD68D0"/>
    <w:rsid w:val="00CE0591"/>
    <w:rsid w:val="00CE08D2"/>
    <w:rsid w:val="00CE0DCF"/>
    <w:rsid w:val="00CE0F03"/>
    <w:rsid w:val="00CE1BDE"/>
    <w:rsid w:val="00CE2310"/>
    <w:rsid w:val="00CE2727"/>
    <w:rsid w:val="00CE286C"/>
    <w:rsid w:val="00CE3BA9"/>
    <w:rsid w:val="00CE6B39"/>
    <w:rsid w:val="00CE70E2"/>
    <w:rsid w:val="00CE75A2"/>
    <w:rsid w:val="00CE7F24"/>
    <w:rsid w:val="00CF0EA7"/>
    <w:rsid w:val="00CF14E6"/>
    <w:rsid w:val="00CF344F"/>
    <w:rsid w:val="00CF37D5"/>
    <w:rsid w:val="00CF3FFD"/>
    <w:rsid w:val="00CF41F9"/>
    <w:rsid w:val="00CF4737"/>
    <w:rsid w:val="00CF4A29"/>
    <w:rsid w:val="00CF50D3"/>
    <w:rsid w:val="00CF5531"/>
    <w:rsid w:val="00CF59DC"/>
    <w:rsid w:val="00CF5C7B"/>
    <w:rsid w:val="00CF639B"/>
    <w:rsid w:val="00CF646A"/>
    <w:rsid w:val="00CF74FA"/>
    <w:rsid w:val="00CF7735"/>
    <w:rsid w:val="00D00D62"/>
    <w:rsid w:val="00D01A03"/>
    <w:rsid w:val="00D04E92"/>
    <w:rsid w:val="00D06122"/>
    <w:rsid w:val="00D0676C"/>
    <w:rsid w:val="00D06F60"/>
    <w:rsid w:val="00D07685"/>
    <w:rsid w:val="00D1079E"/>
    <w:rsid w:val="00D118BC"/>
    <w:rsid w:val="00D11B70"/>
    <w:rsid w:val="00D11E4D"/>
    <w:rsid w:val="00D12DD5"/>
    <w:rsid w:val="00D13B47"/>
    <w:rsid w:val="00D147D7"/>
    <w:rsid w:val="00D16801"/>
    <w:rsid w:val="00D17619"/>
    <w:rsid w:val="00D176A9"/>
    <w:rsid w:val="00D20AB4"/>
    <w:rsid w:val="00D21126"/>
    <w:rsid w:val="00D21828"/>
    <w:rsid w:val="00D21964"/>
    <w:rsid w:val="00D21C01"/>
    <w:rsid w:val="00D22032"/>
    <w:rsid w:val="00D22703"/>
    <w:rsid w:val="00D22CAF"/>
    <w:rsid w:val="00D234D9"/>
    <w:rsid w:val="00D23A8D"/>
    <w:rsid w:val="00D2411C"/>
    <w:rsid w:val="00D24551"/>
    <w:rsid w:val="00D24C54"/>
    <w:rsid w:val="00D259D6"/>
    <w:rsid w:val="00D2724F"/>
    <w:rsid w:val="00D30D64"/>
    <w:rsid w:val="00D31B01"/>
    <w:rsid w:val="00D32BD8"/>
    <w:rsid w:val="00D33326"/>
    <w:rsid w:val="00D34EDB"/>
    <w:rsid w:val="00D37A71"/>
    <w:rsid w:val="00D40365"/>
    <w:rsid w:val="00D40DFB"/>
    <w:rsid w:val="00D4132A"/>
    <w:rsid w:val="00D41459"/>
    <w:rsid w:val="00D4273C"/>
    <w:rsid w:val="00D434AF"/>
    <w:rsid w:val="00D43800"/>
    <w:rsid w:val="00D43AF4"/>
    <w:rsid w:val="00D4610B"/>
    <w:rsid w:val="00D464E2"/>
    <w:rsid w:val="00D47BB3"/>
    <w:rsid w:val="00D504A2"/>
    <w:rsid w:val="00D53735"/>
    <w:rsid w:val="00D53D07"/>
    <w:rsid w:val="00D53FA2"/>
    <w:rsid w:val="00D541F8"/>
    <w:rsid w:val="00D56BFE"/>
    <w:rsid w:val="00D56DE1"/>
    <w:rsid w:val="00D57778"/>
    <w:rsid w:val="00D6158C"/>
    <w:rsid w:val="00D64AF5"/>
    <w:rsid w:val="00D66B20"/>
    <w:rsid w:val="00D67137"/>
    <w:rsid w:val="00D70D0F"/>
    <w:rsid w:val="00D710D4"/>
    <w:rsid w:val="00D71243"/>
    <w:rsid w:val="00D72833"/>
    <w:rsid w:val="00D72E91"/>
    <w:rsid w:val="00D730F2"/>
    <w:rsid w:val="00D74295"/>
    <w:rsid w:val="00D7539B"/>
    <w:rsid w:val="00D7546B"/>
    <w:rsid w:val="00D75A19"/>
    <w:rsid w:val="00D76409"/>
    <w:rsid w:val="00D7714F"/>
    <w:rsid w:val="00D77298"/>
    <w:rsid w:val="00D779B6"/>
    <w:rsid w:val="00D80C61"/>
    <w:rsid w:val="00D81490"/>
    <w:rsid w:val="00D81772"/>
    <w:rsid w:val="00D82C45"/>
    <w:rsid w:val="00D86D35"/>
    <w:rsid w:val="00D876A0"/>
    <w:rsid w:val="00D879BC"/>
    <w:rsid w:val="00D9385B"/>
    <w:rsid w:val="00D93E8F"/>
    <w:rsid w:val="00D94428"/>
    <w:rsid w:val="00D94484"/>
    <w:rsid w:val="00D94808"/>
    <w:rsid w:val="00D94963"/>
    <w:rsid w:val="00D94C22"/>
    <w:rsid w:val="00D94EB8"/>
    <w:rsid w:val="00D951B7"/>
    <w:rsid w:val="00D9530E"/>
    <w:rsid w:val="00D956E9"/>
    <w:rsid w:val="00D959A9"/>
    <w:rsid w:val="00D9623C"/>
    <w:rsid w:val="00D96789"/>
    <w:rsid w:val="00D96C63"/>
    <w:rsid w:val="00D96C96"/>
    <w:rsid w:val="00D97580"/>
    <w:rsid w:val="00DA1045"/>
    <w:rsid w:val="00DA1118"/>
    <w:rsid w:val="00DA1CE7"/>
    <w:rsid w:val="00DA1FA0"/>
    <w:rsid w:val="00DA209A"/>
    <w:rsid w:val="00DA3D0B"/>
    <w:rsid w:val="00DA5890"/>
    <w:rsid w:val="00DA630B"/>
    <w:rsid w:val="00DA6561"/>
    <w:rsid w:val="00DA7328"/>
    <w:rsid w:val="00DB0918"/>
    <w:rsid w:val="00DB1C63"/>
    <w:rsid w:val="00DB240B"/>
    <w:rsid w:val="00DB248E"/>
    <w:rsid w:val="00DB26CD"/>
    <w:rsid w:val="00DB3451"/>
    <w:rsid w:val="00DB3676"/>
    <w:rsid w:val="00DB3B9A"/>
    <w:rsid w:val="00DB4256"/>
    <w:rsid w:val="00DB4709"/>
    <w:rsid w:val="00DB6AA7"/>
    <w:rsid w:val="00DB7F34"/>
    <w:rsid w:val="00DC12A3"/>
    <w:rsid w:val="00DC20A8"/>
    <w:rsid w:val="00DC2D70"/>
    <w:rsid w:val="00DC40EA"/>
    <w:rsid w:val="00DC5AAB"/>
    <w:rsid w:val="00DC7E37"/>
    <w:rsid w:val="00DD07B5"/>
    <w:rsid w:val="00DD0EDB"/>
    <w:rsid w:val="00DD257C"/>
    <w:rsid w:val="00DD29B2"/>
    <w:rsid w:val="00DE03D2"/>
    <w:rsid w:val="00DE0871"/>
    <w:rsid w:val="00DE08CB"/>
    <w:rsid w:val="00DE0D83"/>
    <w:rsid w:val="00DE0E20"/>
    <w:rsid w:val="00DE16ED"/>
    <w:rsid w:val="00DE1F07"/>
    <w:rsid w:val="00DE2092"/>
    <w:rsid w:val="00DE239C"/>
    <w:rsid w:val="00DE2469"/>
    <w:rsid w:val="00DE2E9A"/>
    <w:rsid w:val="00DE307E"/>
    <w:rsid w:val="00DE373A"/>
    <w:rsid w:val="00DE61F1"/>
    <w:rsid w:val="00DE6A8A"/>
    <w:rsid w:val="00DE756C"/>
    <w:rsid w:val="00DE7991"/>
    <w:rsid w:val="00DF00B4"/>
    <w:rsid w:val="00DF1982"/>
    <w:rsid w:val="00DF227C"/>
    <w:rsid w:val="00DF32AB"/>
    <w:rsid w:val="00DF38B5"/>
    <w:rsid w:val="00DF475F"/>
    <w:rsid w:val="00DF4804"/>
    <w:rsid w:val="00DF4B45"/>
    <w:rsid w:val="00DF6C43"/>
    <w:rsid w:val="00DF6F78"/>
    <w:rsid w:val="00DF7726"/>
    <w:rsid w:val="00E00F28"/>
    <w:rsid w:val="00E00FA2"/>
    <w:rsid w:val="00E011ED"/>
    <w:rsid w:val="00E02880"/>
    <w:rsid w:val="00E043F1"/>
    <w:rsid w:val="00E04EEC"/>
    <w:rsid w:val="00E05050"/>
    <w:rsid w:val="00E051F8"/>
    <w:rsid w:val="00E058DA"/>
    <w:rsid w:val="00E05A6E"/>
    <w:rsid w:val="00E05EC6"/>
    <w:rsid w:val="00E0751A"/>
    <w:rsid w:val="00E075F8"/>
    <w:rsid w:val="00E117CD"/>
    <w:rsid w:val="00E11AFE"/>
    <w:rsid w:val="00E125C0"/>
    <w:rsid w:val="00E1336E"/>
    <w:rsid w:val="00E13A55"/>
    <w:rsid w:val="00E15941"/>
    <w:rsid w:val="00E16137"/>
    <w:rsid w:val="00E1640D"/>
    <w:rsid w:val="00E170D8"/>
    <w:rsid w:val="00E2211E"/>
    <w:rsid w:val="00E22425"/>
    <w:rsid w:val="00E23DB2"/>
    <w:rsid w:val="00E2468A"/>
    <w:rsid w:val="00E25403"/>
    <w:rsid w:val="00E2652C"/>
    <w:rsid w:val="00E266EB"/>
    <w:rsid w:val="00E3166C"/>
    <w:rsid w:val="00E317E9"/>
    <w:rsid w:val="00E31A75"/>
    <w:rsid w:val="00E31CEC"/>
    <w:rsid w:val="00E320B9"/>
    <w:rsid w:val="00E32D23"/>
    <w:rsid w:val="00E33072"/>
    <w:rsid w:val="00E33374"/>
    <w:rsid w:val="00E33CDB"/>
    <w:rsid w:val="00E34D28"/>
    <w:rsid w:val="00E35A5B"/>
    <w:rsid w:val="00E3708F"/>
    <w:rsid w:val="00E379E6"/>
    <w:rsid w:val="00E37CB0"/>
    <w:rsid w:val="00E40C3D"/>
    <w:rsid w:val="00E42477"/>
    <w:rsid w:val="00E44218"/>
    <w:rsid w:val="00E469F6"/>
    <w:rsid w:val="00E5383E"/>
    <w:rsid w:val="00E53AB1"/>
    <w:rsid w:val="00E53E45"/>
    <w:rsid w:val="00E5452E"/>
    <w:rsid w:val="00E5582E"/>
    <w:rsid w:val="00E56A52"/>
    <w:rsid w:val="00E57019"/>
    <w:rsid w:val="00E57251"/>
    <w:rsid w:val="00E577A1"/>
    <w:rsid w:val="00E60202"/>
    <w:rsid w:val="00E615AD"/>
    <w:rsid w:val="00E6180E"/>
    <w:rsid w:val="00E61CA4"/>
    <w:rsid w:val="00E623FE"/>
    <w:rsid w:val="00E62D68"/>
    <w:rsid w:val="00E6301C"/>
    <w:rsid w:val="00E640A7"/>
    <w:rsid w:val="00E66589"/>
    <w:rsid w:val="00E66F62"/>
    <w:rsid w:val="00E6799E"/>
    <w:rsid w:val="00E67F22"/>
    <w:rsid w:val="00E701FF"/>
    <w:rsid w:val="00E70DA5"/>
    <w:rsid w:val="00E7237B"/>
    <w:rsid w:val="00E72B4C"/>
    <w:rsid w:val="00E742B1"/>
    <w:rsid w:val="00E746A4"/>
    <w:rsid w:val="00E74BA7"/>
    <w:rsid w:val="00E75630"/>
    <w:rsid w:val="00E75BDC"/>
    <w:rsid w:val="00E7728C"/>
    <w:rsid w:val="00E774ED"/>
    <w:rsid w:val="00E77B7E"/>
    <w:rsid w:val="00E77BE1"/>
    <w:rsid w:val="00E77FBA"/>
    <w:rsid w:val="00E80406"/>
    <w:rsid w:val="00E81166"/>
    <w:rsid w:val="00E81E1D"/>
    <w:rsid w:val="00E839CE"/>
    <w:rsid w:val="00E8506A"/>
    <w:rsid w:val="00E8539C"/>
    <w:rsid w:val="00E85A66"/>
    <w:rsid w:val="00E861BD"/>
    <w:rsid w:val="00E86CE9"/>
    <w:rsid w:val="00E86FCA"/>
    <w:rsid w:val="00E878DA"/>
    <w:rsid w:val="00E909B6"/>
    <w:rsid w:val="00E9111E"/>
    <w:rsid w:val="00E91C87"/>
    <w:rsid w:val="00E92833"/>
    <w:rsid w:val="00E94F0D"/>
    <w:rsid w:val="00E955A3"/>
    <w:rsid w:val="00E95E3A"/>
    <w:rsid w:val="00E9737D"/>
    <w:rsid w:val="00EA04DE"/>
    <w:rsid w:val="00EA089B"/>
    <w:rsid w:val="00EA25E1"/>
    <w:rsid w:val="00EA300A"/>
    <w:rsid w:val="00EA5CF1"/>
    <w:rsid w:val="00EA5D1D"/>
    <w:rsid w:val="00EA5F7A"/>
    <w:rsid w:val="00EA61AC"/>
    <w:rsid w:val="00EA6B79"/>
    <w:rsid w:val="00EA6BB2"/>
    <w:rsid w:val="00EA7845"/>
    <w:rsid w:val="00EB002F"/>
    <w:rsid w:val="00EB317F"/>
    <w:rsid w:val="00EB3DC8"/>
    <w:rsid w:val="00EB4797"/>
    <w:rsid w:val="00EB510F"/>
    <w:rsid w:val="00EB5C9F"/>
    <w:rsid w:val="00EB5D6A"/>
    <w:rsid w:val="00EB625C"/>
    <w:rsid w:val="00EC0384"/>
    <w:rsid w:val="00EC12DD"/>
    <w:rsid w:val="00EC13D0"/>
    <w:rsid w:val="00EC1A14"/>
    <w:rsid w:val="00EC2426"/>
    <w:rsid w:val="00EC2B1A"/>
    <w:rsid w:val="00EC374E"/>
    <w:rsid w:val="00EC56E5"/>
    <w:rsid w:val="00EC7545"/>
    <w:rsid w:val="00ED036E"/>
    <w:rsid w:val="00ED0D96"/>
    <w:rsid w:val="00ED1022"/>
    <w:rsid w:val="00ED191A"/>
    <w:rsid w:val="00ED1B28"/>
    <w:rsid w:val="00ED3914"/>
    <w:rsid w:val="00ED3D87"/>
    <w:rsid w:val="00ED4A3C"/>
    <w:rsid w:val="00ED4F15"/>
    <w:rsid w:val="00ED5316"/>
    <w:rsid w:val="00ED5FAA"/>
    <w:rsid w:val="00ED68D7"/>
    <w:rsid w:val="00ED6C9B"/>
    <w:rsid w:val="00EE28F3"/>
    <w:rsid w:val="00EE3147"/>
    <w:rsid w:val="00EE3224"/>
    <w:rsid w:val="00EE402D"/>
    <w:rsid w:val="00EE4ADB"/>
    <w:rsid w:val="00EE5046"/>
    <w:rsid w:val="00EE5493"/>
    <w:rsid w:val="00EE697A"/>
    <w:rsid w:val="00EE7770"/>
    <w:rsid w:val="00EE7BE8"/>
    <w:rsid w:val="00EF001F"/>
    <w:rsid w:val="00EF0498"/>
    <w:rsid w:val="00EF0A0A"/>
    <w:rsid w:val="00EF0F23"/>
    <w:rsid w:val="00EF1544"/>
    <w:rsid w:val="00EF1DA5"/>
    <w:rsid w:val="00EF351A"/>
    <w:rsid w:val="00EF3BCC"/>
    <w:rsid w:val="00EF3F8E"/>
    <w:rsid w:val="00EF5916"/>
    <w:rsid w:val="00EF6004"/>
    <w:rsid w:val="00EF7DD6"/>
    <w:rsid w:val="00F00B3A"/>
    <w:rsid w:val="00F01877"/>
    <w:rsid w:val="00F01C7B"/>
    <w:rsid w:val="00F021E3"/>
    <w:rsid w:val="00F04014"/>
    <w:rsid w:val="00F04A73"/>
    <w:rsid w:val="00F04A86"/>
    <w:rsid w:val="00F056F6"/>
    <w:rsid w:val="00F05E99"/>
    <w:rsid w:val="00F067E5"/>
    <w:rsid w:val="00F06E59"/>
    <w:rsid w:val="00F06F62"/>
    <w:rsid w:val="00F07618"/>
    <w:rsid w:val="00F0789C"/>
    <w:rsid w:val="00F12099"/>
    <w:rsid w:val="00F12CC8"/>
    <w:rsid w:val="00F1352E"/>
    <w:rsid w:val="00F1372E"/>
    <w:rsid w:val="00F13A5F"/>
    <w:rsid w:val="00F1481D"/>
    <w:rsid w:val="00F156C0"/>
    <w:rsid w:val="00F17283"/>
    <w:rsid w:val="00F17525"/>
    <w:rsid w:val="00F207F6"/>
    <w:rsid w:val="00F20C71"/>
    <w:rsid w:val="00F215F2"/>
    <w:rsid w:val="00F21E31"/>
    <w:rsid w:val="00F2254E"/>
    <w:rsid w:val="00F2277B"/>
    <w:rsid w:val="00F257F2"/>
    <w:rsid w:val="00F26675"/>
    <w:rsid w:val="00F27769"/>
    <w:rsid w:val="00F27BDA"/>
    <w:rsid w:val="00F31567"/>
    <w:rsid w:val="00F32199"/>
    <w:rsid w:val="00F32E64"/>
    <w:rsid w:val="00F333B7"/>
    <w:rsid w:val="00F337D6"/>
    <w:rsid w:val="00F33FD7"/>
    <w:rsid w:val="00F352D1"/>
    <w:rsid w:val="00F36BFB"/>
    <w:rsid w:val="00F37625"/>
    <w:rsid w:val="00F41917"/>
    <w:rsid w:val="00F42054"/>
    <w:rsid w:val="00F4266F"/>
    <w:rsid w:val="00F426C1"/>
    <w:rsid w:val="00F429A7"/>
    <w:rsid w:val="00F42D54"/>
    <w:rsid w:val="00F4368A"/>
    <w:rsid w:val="00F43887"/>
    <w:rsid w:val="00F45F32"/>
    <w:rsid w:val="00F46BDA"/>
    <w:rsid w:val="00F50488"/>
    <w:rsid w:val="00F50D1F"/>
    <w:rsid w:val="00F512AC"/>
    <w:rsid w:val="00F51ABD"/>
    <w:rsid w:val="00F51B8E"/>
    <w:rsid w:val="00F52732"/>
    <w:rsid w:val="00F52956"/>
    <w:rsid w:val="00F52DBC"/>
    <w:rsid w:val="00F57B35"/>
    <w:rsid w:val="00F60138"/>
    <w:rsid w:val="00F60318"/>
    <w:rsid w:val="00F60AF4"/>
    <w:rsid w:val="00F61A72"/>
    <w:rsid w:val="00F62CD6"/>
    <w:rsid w:val="00F62DC2"/>
    <w:rsid w:val="00F6543B"/>
    <w:rsid w:val="00F65587"/>
    <w:rsid w:val="00F658A7"/>
    <w:rsid w:val="00F66349"/>
    <w:rsid w:val="00F67453"/>
    <w:rsid w:val="00F756BC"/>
    <w:rsid w:val="00F75D7D"/>
    <w:rsid w:val="00F75E6C"/>
    <w:rsid w:val="00F75E92"/>
    <w:rsid w:val="00F75FBF"/>
    <w:rsid w:val="00F761B5"/>
    <w:rsid w:val="00F7690A"/>
    <w:rsid w:val="00F77606"/>
    <w:rsid w:val="00F80644"/>
    <w:rsid w:val="00F815A8"/>
    <w:rsid w:val="00F827F2"/>
    <w:rsid w:val="00F8424B"/>
    <w:rsid w:val="00F84CFC"/>
    <w:rsid w:val="00F84F50"/>
    <w:rsid w:val="00F84FA2"/>
    <w:rsid w:val="00F851B3"/>
    <w:rsid w:val="00F85377"/>
    <w:rsid w:val="00F859D3"/>
    <w:rsid w:val="00F859E2"/>
    <w:rsid w:val="00F85F6D"/>
    <w:rsid w:val="00F86262"/>
    <w:rsid w:val="00F90AFD"/>
    <w:rsid w:val="00F936F5"/>
    <w:rsid w:val="00F93A29"/>
    <w:rsid w:val="00F963DE"/>
    <w:rsid w:val="00FA1676"/>
    <w:rsid w:val="00FA1A01"/>
    <w:rsid w:val="00FA219E"/>
    <w:rsid w:val="00FA3131"/>
    <w:rsid w:val="00FA441D"/>
    <w:rsid w:val="00FA4DA4"/>
    <w:rsid w:val="00FB07F3"/>
    <w:rsid w:val="00FB14BC"/>
    <w:rsid w:val="00FB1A06"/>
    <w:rsid w:val="00FB2F91"/>
    <w:rsid w:val="00FB5D12"/>
    <w:rsid w:val="00FB6B57"/>
    <w:rsid w:val="00FB7118"/>
    <w:rsid w:val="00FB7723"/>
    <w:rsid w:val="00FB777B"/>
    <w:rsid w:val="00FB77FE"/>
    <w:rsid w:val="00FB7989"/>
    <w:rsid w:val="00FC109B"/>
    <w:rsid w:val="00FC1BCC"/>
    <w:rsid w:val="00FC2E95"/>
    <w:rsid w:val="00FC447C"/>
    <w:rsid w:val="00FC48FE"/>
    <w:rsid w:val="00FC5F89"/>
    <w:rsid w:val="00FC71A1"/>
    <w:rsid w:val="00FD0ADB"/>
    <w:rsid w:val="00FD218C"/>
    <w:rsid w:val="00FD23A5"/>
    <w:rsid w:val="00FD359F"/>
    <w:rsid w:val="00FD3BB7"/>
    <w:rsid w:val="00FD4787"/>
    <w:rsid w:val="00FD54AD"/>
    <w:rsid w:val="00FD6A96"/>
    <w:rsid w:val="00FD74CD"/>
    <w:rsid w:val="00FE1A6E"/>
    <w:rsid w:val="00FE3E1E"/>
    <w:rsid w:val="00FE3EC1"/>
    <w:rsid w:val="00FE4399"/>
    <w:rsid w:val="00FE56E9"/>
    <w:rsid w:val="00FE5897"/>
    <w:rsid w:val="00FE6565"/>
    <w:rsid w:val="00FE6B9B"/>
    <w:rsid w:val="00FF2211"/>
    <w:rsid w:val="00FF3595"/>
    <w:rsid w:val="00FF3C1F"/>
    <w:rsid w:val="00FF5186"/>
    <w:rsid w:val="00FF5851"/>
    <w:rsid w:val="00FF59C3"/>
    <w:rsid w:val="00FF6AE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1BCB3CC"/>
  <w15:docId w15:val="{0EE8871C-C1DC-4693-8953-B9DA9D839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5DD5"/>
    <w:pPr>
      <w:spacing w:after="200" w:line="276" w:lineRule="auto"/>
      <w:jc w:val="both"/>
    </w:pPr>
    <w:rPr>
      <w:sz w:val="22"/>
      <w:szCs w:val="22"/>
      <w:lang w:eastAsia="en-US"/>
    </w:rPr>
  </w:style>
  <w:style w:type="paragraph" w:styleId="Titre1">
    <w:name w:val="heading 1"/>
    <w:basedOn w:val="Normal"/>
    <w:next w:val="Normal"/>
    <w:link w:val="Titre1Car"/>
    <w:autoRedefine/>
    <w:uiPriority w:val="9"/>
    <w:qFormat/>
    <w:rsid w:val="00BC1381"/>
    <w:pPr>
      <w:keepNext/>
      <w:numPr>
        <w:numId w:val="10"/>
      </w:numPr>
      <w:spacing w:before="240" w:after="60"/>
      <w:outlineLvl w:val="0"/>
    </w:pPr>
    <w:rPr>
      <w:rFonts w:eastAsia="Times New Roman"/>
      <w:b/>
      <w:bCs/>
      <w:kern w:val="32"/>
      <w:sz w:val="32"/>
      <w:szCs w:val="32"/>
      <w:lang w:eastAsia="fr-FR"/>
    </w:rPr>
  </w:style>
  <w:style w:type="paragraph" w:styleId="Titre2">
    <w:name w:val="heading 2"/>
    <w:basedOn w:val="Normal"/>
    <w:next w:val="Normal"/>
    <w:link w:val="Titre2Car"/>
    <w:autoRedefine/>
    <w:uiPriority w:val="9"/>
    <w:qFormat/>
    <w:rsid w:val="00326D6D"/>
    <w:pPr>
      <w:keepNext/>
      <w:numPr>
        <w:ilvl w:val="1"/>
        <w:numId w:val="10"/>
      </w:numPr>
      <w:tabs>
        <w:tab w:val="left" w:pos="567"/>
      </w:tabs>
      <w:spacing w:after="0" w:line="240" w:lineRule="auto"/>
      <w:ind w:left="576"/>
      <w:jc w:val="left"/>
      <w:outlineLvl w:val="1"/>
    </w:pPr>
    <w:rPr>
      <w:rFonts w:asciiTheme="minorHAnsi" w:eastAsia="Times New Roman" w:hAnsiTheme="minorHAnsi"/>
      <w:b/>
      <w:bCs/>
      <w:iCs/>
      <w:sz w:val="28"/>
      <w:szCs w:val="28"/>
    </w:rPr>
  </w:style>
  <w:style w:type="paragraph" w:styleId="Titre3">
    <w:name w:val="heading 3"/>
    <w:basedOn w:val="Titre2"/>
    <w:next w:val="Normal"/>
    <w:link w:val="Titre3Car"/>
    <w:autoRedefine/>
    <w:uiPriority w:val="9"/>
    <w:qFormat/>
    <w:rsid w:val="00326D6D"/>
    <w:pPr>
      <w:numPr>
        <w:ilvl w:val="2"/>
      </w:numPr>
      <w:ind w:left="720"/>
      <w:outlineLvl w:val="2"/>
    </w:pPr>
  </w:style>
  <w:style w:type="paragraph" w:styleId="Titre4">
    <w:name w:val="heading 4"/>
    <w:basedOn w:val="Normal"/>
    <w:next w:val="Normal"/>
    <w:link w:val="Titre4Car"/>
    <w:autoRedefine/>
    <w:uiPriority w:val="9"/>
    <w:unhideWhenUsed/>
    <w:qFormat/>
    <w:rsid w:val="00326D6D"/>
    <w:pPr>
      <w:keepNext/>
      <w:numPr>
        <w:ilvl w:val="3"/>
        <w:numId w:val="10"/>
      </w:numPr>
      <w:spacing w:before="360" w:after="180"/>
      <w:outlineLvl w:val="3"/>
    </w:pPr>
    <w:rPr>
      <w:rFonts w:eastAsia="Times New Roman"/>
      <w:bCs/>
      <w:sz w:val="24"/>
      <w:szCs w:val="28"/>
    </w:rPr>
  </w:style>
  <w:style w:type="paragraph" w:styleId="Titre5">
    <w:name w:val="heading 5"/>
    <w:basedOn w:val="Normal"/>
    <w:next w:val="Normal"/>
    <w:link w:val="Titre5Car"/>
    <w:uiPriority w:val="9"/>
    <w:unhideWhenUsed/>
    <w:qFormat/>
    <w:rsid w:val="001800EB"/>
    <w:pPr>
      <w:keepNext/>
      <w:keepLines/>
      <w:numPr>
        <w:ilvl w:val="4"/>
        <w:numId w:val="10"/>
      </w:numPr>
      <w:spacing w:after="0" w:line="240" w:lineRule="auto"/>
      <w:ind w:left="1008"/>
      <w:jc w:val="left"/>
      <w:outlineLvl w:val="4"/>
    </w:pPr>
    <w:rPr>
      <w:rFonts w:eastAsia="Times New Roman"/>
      <w:u w:val="single"/>
    </w:rPr>
  </w:style>
  <w:style w:type="paragraph" w:styleId="Titre6">
    <w:name w:val="heading 6"/>
    <w:basedOn w:val="Normal"/>
    <w:next w:val="Normal"/>
    <w:link w:val="Titre6Car"/>
    <w:uiPriority w:val="9"/>
    <w:semiHidden/>
    <w:unhideWhenUsed/>
    <w:qFormat/>
    <w:rsid w:val="00B150CE"/>
    <w:pPr>
      <w:keepNext/>
      <w:keepLines/>
      <w:numPr>
        <w:ilvl w:val="5"/>
        <w:numId w:val="10"/>
      </w:numPr>
      <w:spacing w:before="200" w:after="0"/>
      <w:jc w:val="left"/>
      <w:outlineLvl w:val="5"/>
    </w:pPr>
    <w:rPr>
      <w:rFonts w:ascii="Cambria" w:eastAsia="Times New Roman" w:hAnsi="Cambria"/>
      <w:i/>
      <w:iCs/>
      <w:color w:val="243F60"/>
    </w:rPr>
  </w:style>
  <w:style w:type="paragraph" w:styleId="Titre7">
    <w:name w:val="heading 7"/>
    <w:basedOn w:val="Normal"/>
    <w:next w:val="Normal"/>
    <w:link w:val="Titre7Car"/>
    <w:uiPriority w:val="9"/>
    <w:unhideWhenUsed/>
    <w:qFormat/>
    <w:rsid w:val="00B150CE"/>
    <w:pPr>
      <w:keepNext/>
      <w:keepLines/>
      <w:numPr>
        <w:ilvl w:val="6"/>
        <w:numId w:val="10"/>
      </w:numPr>
      <w:spacing w:before="200" w:after="0"/>
      <w:jc w:val="left"/>
      <w:outlineLvl w:val="6"/>
    </w:pPr>
    <w:rPr>
      <w:rFonts w:ascii="Cambria" w:eastAsia="Times New Roman" w:hAnsi="Cambria"/>
      <w:i/>
      <w:iCs/>
      <w:color w:val="404040"/>
    </w:rPr>
  </w:style>
  <w:style w:type="paragraph" w:styleId="Titre8">
    <w:name w:val="heading 8"/>
    <w:basedOn w:val="Normal"/>
    <w:next w:val="Normal"/>
    <w:link w:val="Titre8Car"/>
    <w:uiPriority w:val="9"/>
    <w:semiHidden/>
    <w:unhideWhenUsed/>
    <w:qFormat/>
    <w:rsid w:val="00B72A61"/>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B72A61"/>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671F8"/>
    <w:pPr>
      <w:tabs>
        <w:tab w:val="center" w:pos="4536"/>
        <w:tab w:val="right" w:pos="9072"/>
      </w:tabs>
    </w:pPr>
  </w:style>
  <w:style w:type="character" w:customStyle="1" w:styleId="En-tteCar">
    <w:name w:val="En-tête Car"/>
    <w:link w:val="En-tte"/>
    <w:uiPriority w:val="99"/>
    <w:rsid w:val="00C671F8"/>
    <w:rPr>
      <w:sz w:val="22"/>
      <w:szCs w:val="22"/>
      <w:lang w:eastAsia="en-US"/>
    </w:rPr>
  </w:style>
  <w:style w:type="paragraph" w:styleId="Pieddepage">
    <w:name w:val="footer"/>
    <w:basedOn w:val="Normal"/>
    <w:link w:val="PieddepageCar"/>
    <w:uiPriority w:val="99"/>
    <w:unhideWhenUsed/>
    <w:rsid w:val="00C671F8"/>
    <w:pPr>
      <w:tabs>
        <w:tab w:val="center" w:pos="4536"/>
        <w:tab w:val="right" w:pos="9072"/>
      </w:tabs>
    </w:pPr>
  </w:style>
  <w:style w:type="character" w:customStyle="1" w:styleId="PieddepageCar">
    <w:name w:val="Pied de page Car"/>
    <w:link w:val="Pieddepage"/>
    <w:uiPriority w:val="99"/>
    <w:rsid w:val="00C671F8"/>
    <w:rPr>
      <w:sz w:val="22"/>
      <w:szCs w:val="22"/>
      <w:lang w:eastAsia="en-US"/>
    </w:rPr>
  </w:style>
  <w:style w:type="paragraph" w:styleId="Textedebulles">
    <w:name w:val="Balloon Text"/>
    <w:basedOn w:val="Normal"/>
    <w:link w:val="TextedebullesCar"/>
    <w:uiPriority w:val="99"/>
    <w:semiHidden/>
    <w:unhideWhenUsed/>
    <w:rsid w:val="00C671F8"/>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C671F8"/>
    <w:rPr>
      <w:rFonts w:ascii="Tahoma" w:hAnsi="Tahoma" w:cs="Tahoma"/>
      <w:sz w:val="16"/>
      <w:szCs w:val="16"/>
      <w:lang w:eastAsia="en-US"/>
    </w:rPr>
  </w:style>
  <w:style w:type="character" w:customStyle="1" w:styleId="Titre1Car">
    <w:name w:val="Titre 1 Car"/>
    <w:link w:val="Titre1"/>
    <w:uiPriority w:val="9"/>
    <w:rsid w:val="00BC1381"/>
    <w:rPr>
      <w:rFonts w:eastAsia="Times New Roman"/>
      <w:b/>
      <w:bCs/>
      <w:kern w:val="32"/>
      <w:sz w:val="32"/>
      <w:szCs w:val="32"/>
    </w:rPr>
  </w:style>
  <w:style w:type="character" w:customStyle="1" w:styleId="Titre2Car">
    <w:name w:val="Titre 2 Car"/>
    <w:link w:val="Titre2"/>
    <w:uiPriority w:val="9"/>
    <w:rsid w:val="00326D6D"/>
    <w:rPr>
      <w:rFonts w:asciiTheme="minorHAnsi" w:eastAsia="Times New Roman" w:hAnsiTheme="minorHAnsi"/>
      <w:b/>
      <w:bCs/>
      <w:iCs/>
      <w:sz w:val="28"/>
      <w:szCs w:val="28"/>
      <w:lang w:eastAsia="en-US"/>
    </w:rPr>
  </w:style>
  <w:style w:type="character" w:customStyle="1" w:styleId="Titre3Car">
    <w:name w:val="Titre 3 Car"/>
    <w:link w:val="Titre3"/>
    <w:uiPriority w:val="9"/>
    <w:rsid w:val="00326D6D"/>
    <w:rPr>
      <w:rFonts w:asciiTheme="minorHAnsi" w:eastAsia="Times New Roman" w:hAnsiTheme="minorHAnsi"/>
      <w:b/>
      <w:bCs/>
      <w:iCs/>
      <w:sz w:val="28"/>
      <w:szCs w:val="28"/>
      <w:lang w:eastAsia="en-US"/>
    </w:rPr>
  </w:style>
  <w:style w:type="numbering" w:customStyle="1" w:styleId="Style1">
    <w:name w:val="Style1"/>
    <w:uiPriority w:val="99"/>
    <w:rsid w:val="008E68CA"/>
    <w:pPr>
      <w:numPr>
        <w:numId w:val="1"/>
      </w:numPr>
    </w:pPr>
  </w:style>
  <w:style w:type="character" w:styleId="Numrodepage">
    <w:name w:val="page number"/>
    <w:basedOn w:val="Policepardfaut"/>
    <w:rsid w:val="00CF3FFD"/>
  </w:style>
  <w:style w:type="paragraph" w:styleId="Notedebasdepage">
    <w:name w:val="footnote text"/>
    <w:basedOn w:val="Normal"/>
    <w:link w:val="NotedebasdepageCar"/>
    <w:uiPriority w:val="99"/>
    <w:rsid w:val="00CF3FFD"/>
    <w:pPr>
      <w:spacing w:after="0" w:line="240" w:lineRule="auto"/>
      <w:jc w:val="left"/>
    </w:pPr>
    <w:rPr>
      <w:rFonts w:ascii="Times New Roman" w:eastAsia="Times New Roman" w:hAnsi="Times New Roman"/>
      <w:sz w:val="20"/>
      <w:szCs w:val="20"/>
      <w:lang w:eastAsia="fr-FR"/>
    </w:rPr>
  </w:style>
  <w:style w:type="character" w:customStyle="1" w:styleId="NotedebasdepageCar">
    <w:name w:val="Note de bas de page Car"/>
    <w:link w:val="Notedebasdepage"/>
    <w:uiPriority w:val="99"/>
    <w:rsid w:val="00CF3FFD"/>
    <w:rPr>
      <w:rFonts w:ascii="Times New Roman" w:eastAsia="Times New Roman" w:hAnsi="Times New Roman"/>
    </w:rPr>
  </w:style>
  <w:style w:type="character" w:styleId="Appelnotedebasdep">
    <w:name w:val="footnote reference"/>
    <w:uiPriority w:val="99"/>
    <w:rsid w:val="00CF3FFD"/>
    <w:rPr>
      <w:vertAlign w:val="superscript"/>
    </w:rPr>
  </w:style>
  <w:style w:type="paragraph" w:customStyle="1" w:styleId="Car">
    <w:name w:val="Car"/>
    <w:basedOn w:val="Normal"/>
    <w:semiHidden/>
    <w:rsid w:val="004469DB"/>
    <w:pPr>
      <w:spacing w:after="160" w:line="240" w:lineRule="exact"/>
      <w:ind w:left="539" w:firstLine="578"/>
      <w:jc w:val="left"/>
    </w:pPr>
    <w:rPr>
      <w:rFonts w:ascii="Verdana" w:eastAsia="Times New Roman" w:hAnsi="Verdana"/>
      <w:sz w:val="20"/>
      <w:szCs w:val="20"/>
      <w:lang w:val="en-US"/>
    </w:rPr>
  </w:style>
  <w:style w:type="paragraph" w:styleId="En-ttedetabledesmatires">
    <w:name w:val="TOC Heading"/>
    <w:basedOn w:val="Titre1"/>
    <w:next w:val="Normal"/>
    <w:uiPriority w:val="39"/>
    <w:qFormat/>
    <w:rsid w:val="00BC4866"/>
    <w:pPr>
      <w:keepLines/>
      <w:spacing w:before="480"/>
      <w:outlineLvl w:val="9"/>
    </w:pPr>
    <w:rPr>
      <w:rFonts w:ascii="Cambria" w:hAnsi="Cambria"/>
      <w:color w:val="365F91"/>
      <w:kern w:val="0"/>
      <w:sz w:val="28"/>
      <w:szCs w:val="28"/>
    </w:rPr>
  </w:style>
  <w:style w:type="paragraph" w:styleId="TM1">
    <w:name w:val="toc 1"/>
    <w:basedOn w:val="Normal"/>
    <w:next w:val="Normal"/>
    <w:autoRedefine/>
    <w:uiPriority w:val="39"/>
    <w:unhideWhenUsed/>
    <w:qFormat/>
    <w:rsid w:val="001800EB"/>
    <w:pPr>
      <w:tabs>
        <w:tab w:val="left" w:pos="440"/>
        <w:tab w:val="right" w:leader="dot" w:pos="9912"/>
      </w:tabs>
      <w:spacing w:after="0" w:line="240" w:lineRule="auto"/>
    </w:pPr>
    <w:rPr>
      <w:sz w:val="24"/>
    </w:rPr>
  </w:style>
  <w:style w:type="paragraph" w:styleId="TM2">
    <w:name w:val="toc 2"/>
    <w:basedOn w:val="Normal"/>
    <w:next w:val="Normal"/>
    <w:autoRedefine/>
    <w:uiPriority w:val="39"/>
    <w:unhideWhenUsed/>
    <w:qFormat/>
    <w:rsid w:val="00706F97"/>
    <w:pPr>
      <w:tabs>
        <w:tab w:val="left" w:pos="880"/>
        <w:tab w:val="left" w:pos="1021"/>
        <w:tab w:val="right" w:leader="dot" w:pos="9912"/>
      </w:tabs>
      <w:spacing w:after="0" w:line="240" w:lineRule="auto"/>
      <w:ind w:left="221"/>
    </w:pPr>
  </w:style>
  <w:style w:type="paragraph" w:styleId="TM3">
    <w:name w:val="toc 3"/>
    <w:basedOn w:val="Normal"/>
    <w:next w:val="Normal"/>
    <w:autoRedefine/>
    <w:uiPriority w:val="39"/>
    <w:unhideWhenUsed/>
    <w:qFormat/>
    <w:rsid w:val="0029154E"/>
    <w:pPr>
      <w:ind w:left="440"/>
    </w:pPr>
    <w:rPr>
      <w:sz w:val="20"/>
    </w:rPr>
  </w:style>
  <w:style w:type="character" w:styleId="Lienhypertexte">
    <w:name w:val="Hyperlink"/>
    <w:uiPriority w:val="99"/>
    <w:unhideWhenUsed/>
    <w:rsid w:val="00BC4866"/>
    <w:rPr>
      <w:color w:val="0000FF"/>
      <w:u w:val="single"/>
    </w:rPr>
  </w:style>
  <w:style w:type="table" w:styleId="Grilledutableau">
    <w:name w:val="Table Grid"/>
    <w:basedOn w:val="TableauNormal"/>
    <w:rsid w:val="0079160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n">
    <w:name w:val="nn"/>
    <w:basedOn w:val="Normal"/>
    <w:rsid w:val="005D197F"/>
    <w:pPr>
      <w:widowControl w:val="0"/>
      <w:tabs>
        <w:tab w:val="left" w:pos="3261"/>
      </w:tabs>
      <w:overflowPunct w:val="0"/>
      <w:autoSpaceDE w:val="0"/>
      <w:autoSpaceDN w:val="0"/>
      <w:adjustRightInd w:val="0"/>
      <w:spacing w:before="240" w:after="240" w:line="240" w:lineRule="auto"/>
      <w:ind w:left="1588"/>
      <w:jc w:val="left"/>
      <w:textAlignment w:val="baseline"/>
    </w:pPr>
    <w:rPr>
      <w:rFonts w:ascii="CG Times" w:eastAsia="Times New Roman" w:hAnsi="CG Times"/>
      <w:b/>
      <w:sz w:val="26"/>
      <w:szCs w:val="20"/>
      <w:lang w:eastAsia="fr-FR"/>
    </w:rPr>
  </w:style>
  <w:style w:type="paragraph" w:customStyle="1" w:styleId="CharCharCar">
    <w:name w:val="Char Char Car"/>
    <w:basedOn w:val="Normal"/>
    <w:semiHidden/>
    <w:rsid w:val="00CF50D3"/>
    <w:pPr>
      <w:spacing w:after="160" w:line="240" w:lineRule="exact"/>
      <w:ind w:left="539" w:firstLine="578"/>
      <w:jc w:val="left"/>
    </w:pPr>
    <w:rPr>
      <w:rFonts w:ascii="Verdana" w:eastAsia="Times New Roman" w:hAnsi="Verdana"/>
      <w:sz w:val="20"/>
      <w:szCs w:val="20"/>
      <w:lang w:val="en-US"/>
    </w:rPr>
  </w:style>
  <w:style w:type="paragraph" w:styleId="TM4">
    <w:name w:val="toc 4"/>
    <w:basedOn w:val="Normal"/>
    <w:next w:val="Normal"/>
    <w:autoRedefine/>
    <w:uiPriority w:val="39"/>
    <w:unhideWhenUsed/>
    <w:rsid w:val="00706F97"/>
    <w:pPr>
      <w:tabs>
        <w:tab w:val="left" w:pos="1540"/>
        <w:tab w:val="right" w:leader="hyphen" w:pos="10338"/>
      </w:tabs>
      <w:spacing w:after="0" w:line="240" w:lineRule="auto"/>
      <w:ind w:left="658"/>
      <w:jc w:val="left"/>
    </w:pPr>
    <w:rPr>
      <w:rFonts w:eastAsia="Times New Roman"/>
      <w:lang w:eastAsia="fr-FR"/>
    </w:rPr>
  </w:style>
  <w:style w:type="paragraph" w:styleId="TM5">
    <w:name w:val="toc 5"/>
    <w:basedOn w:val="Normal"/>
    <w:next w:val="Normal"/>
    <w:autoRedefine/>
    <w:uiPriority w:val="39"/>
    <w:unhideWhenUsed/>
    <w:rsid w:val="00A90E92"/>
    <w:pPr>
      <w:spacing w:after="100"/>
      <w:ind w:left="880"/>
      <w:jc w:val="left"/>
    </w:pPr>
    <w:rPr>
      <w:rFonts w:eastAsia="Times New Roman"/>
      <w:lang w:eastAsia="fr-FR"/>
    </w:rPr>
  </w:style>
  <w:style w:type="paragraph" w:styleId="TM6">
    <w:name w:val="toc 6"/>
    <w:basedOn w:val="Normal"/>
    <w:next w:val="Normal"/>
    <w:autoRedefine/>
    <w:uiPriority w:val="39"/>
    <w:unhideWhenUsed/>
    <w:rsid w:val="00A90E92"/>
    <w:pPr>
      <w:spacing w:after="100"/>
      <w:ind w:left="1100"/>
      <w:jc w:val="left"/>
    </w:pPr>
    <w:rPr>
      <w:rFonts w:eastAsia="Times New Roman"/>
      <w:lang w:eastAsia="fr-FR"/>
    </w:rPr>
  </w:style>
  <w:style w:type="paragraph" w:styleId="TM7">
    <w:name w:val="toc 7"/>
    <w:basedOn w:val="Normal"/>
    <w:next w:val="Normal"/>
    <w:autoRedefine/>
    <w:uiPriority w:val="39"/>
    <w:unhideWhenUsed/>
    <w:rsid w:val="00A90E92"/>
    <w:pPr>
      <w:spacing w:after="100"/>
      <w:ind w:left="1320"/>
      <w:jc w:val="left"/>
    </w:pPr>
    <w:rPr>
      <w:rFonts w:eastAsia="Times New Roman"/>
      <w:lang w:eastAsia="fr-FR"/>
    </w:rPr>
  </w:style>
  <w:style w:type="paragraph" w:styleId="TM8">
    <w:name w:val="toc 8"/>
    <w:basedOn w:val="Normal"/>
    <w:next w:val="Normal"/>
    <w:autoRedefine/>
    <w:uiPriority w:val="39"/>
    <w:unhideWhenUsed/>
    <w:rsid w:val="00A90E92"/>
    <w:pPr>
      <w:spacing w:after="100"/>
      <w:ind w:left="1540"/>
      <w:jc w:val="left"/>
    </w:pPr>
    <w:rPr>
      <w:rFonts w:eastAsia="Times New Roman"/>
      <w:lang w:eastAsia="fr-FR"/>
    </w:rPr>
  </w:style>
  <w:style w:type="paragraph" w:styleId="TM9">
    <w:name w:val="toc 9"/>
    <w:basedOn w:val="Normal"/>
    <w:next w:val="Normal"/>
    <w:autoRedefine/>
    <w:uiPriority w:val="39"/>
    <w:unhideWhenUsed/>
    <w:rsid w:val="00A90E92"/>
    <w:pPr>
      <w:spacing w:after="100"/>
      <w:ind w:left="1760"/>
      <w:jc w:val="left"/>
    </w:pPr>
    <w:rPr>
      <w:rFonts w:eastAsia="Times New Roman"/>
      <w:lang w:eastAsia="fr-FR"/>
    </w:rPr>
  </w:style>
  <w:style w:type="character" w:customStyle="1" w:styleId="Titre4Car">
    <w:name w:val="Titre 4 Car"/>
    <w:link w:val="Titre4"/>
    <w:uiPriority w:val="9"/>
    <w:rsid w:val="00326D6D"/>
    <w:rPr>
      <w:rFonts w:eastAsia="Times New Roman"/>
      <w:bCs/>
      <w:sz w:val="24"/>
      <w:szCs w:val="28"/>
      <w:lang w:eastAsia="en-US"/>
    </w:rPr>
  </w:style>
  <w:style w:type="character" w:styleId="Accentuation">
    <w:name w:val="Emphasis"/>
    <w:uiPriority w:val="20"/>
    <w:qFormat/>
    <w:rsid w:val="00D86D35"/>
    <w:rPr>
      <w:i/>
      <w:iCs/>
    </w:rPr>
  </w:style>
  <w:style w:type="paragraph" w:customStyle="1" w:styleId="Default">
    <w:name w:val="Default"/>
    <w:rsid w:val="00D86D35"/>
    <w:pPr>
      <w:autoSpaceDE w:val="0"/>
      <w:autoSpaceDN w:val="0"/>
      <w:adjustRightInd w:val="0"/>
    </w:pPr>
    <w:rPr>
      <w:rFonts w:cs="Calibri"/>
      <w:color w:val="000000"/>
      <w:sz w:val="24"/>
      <w:szCs w:val="24"/>
    </w:rPr>
  </w:style>
  <w:style w:type="character" w:styleId="lev">
    <w:name w:val="Strong"/>
    <w:uiPriority w:val="22"/>
    <w:qFormat/>
    <w:rsid w:val="00D86D35"/>
    <w:rPr>
      <w:b/>
      <w:bCs/>
    </w:rPr>
  </w:style>
  <w:style w:type="character" w:styleId="Lienhypertextesuivivisit">
    <w:name w:val="FollowedHyperlink"/>
    <w:uiPriority w:val="99"/>
    <w:semiHidden/>
    <w:unhideWhenUsed/>
    <w:rsid w:val="00D86D35"/>
    <w:rPr>
      <w:color w:val="800080"/>
      <w:u w:val="single"/>
    </w:rPr>
  </w:style>
  <w:style w:type="paragraph" w:styleId="Paragraphedeliste">
    <w:name w:val="List Paragraph"/>
    <w:aliases w:val="sommaire 1"/>
    <w:basedOn w:val="Normal"/>
    <w:link w:val="ParagraphedelisteCar"/>
    <w:uiPriority w:val="34"/>
    <w:qFormat/>
    <w:rsid w:val="00D86D35"/>
    <w:pPr>
      <w:spacing w:after="0" w:line="240" w:lineRule="auto"/>
      <w:ind w:left="720"/>
      <w:contextualSpacing/>
      <w:jc w:val="left"/>
    </w:pPr>
    <w:rPr>
      <w:rFonts w:ascii="Times New Roman" w:eastAsia="Times New Roman" w:hAnsi="Times New Roman"/>
      <w:sz w:val="24"/>
      <w:szCs w:val="24"/>
      <w:lang w:eastAsia="fr-FR"/>
    </w:rPr>
  </w:style>
  <w:style w:type="paragraph" w:styleId="NormalWeb">
    <w:name w:val="Normal (Web)"/>
    <w:basedOn w:val="Normal"/>
    <w:uiPriority w:val="99"/>
    <w:unhideWhenUsed/>
    <w:rsid w:val="00D86D35"/>
    <w:pPr>
      <w:spacing w:before="100" w:beforeAutospacing="1" w:after="100" w:afterAutospacing="1" w:line="240" w:lineRule="auto"/>
      <w:jc w:val="left"/>
    </w:pPr>
    <w:rPr>
      <w:rFonts w:ascii="Times New Roman" w:eastAsia="Times New Roman" w:hAnsi="Times New Roman"/>
      <w:sz w:val="24"/>
      <w:szCs w:val="24"/>
      <w:lang w:eastAsia="fr-FR"/>
    </w:rPr>
  </w:style>
  <w:style w:type="paragraph" w:styleId="Sansinterligne">
    <w:name w:val="No Spacing"/>
    <w:basedOn w:val="Normal"/>
    <w:uiPriority w:val="1"/>
    <w:qFormat/>
    <w:rsid w:val="00ED6C9B"/>
    <w:pPr>
      <w:ind w:left="1416"/>
    </w:pPr>
    <w:rPr>
      <w:rFonts w:asciiTheme="minorHAnsi" w:hAnsiTheme="minorHAnsi"/>
      <w:color w:val="000000" w:themeColor="text1"/>
    </w:rPr>
  </w:style>
  <w:style w:type="character" w:styleId="Marquedecommentaire">
    <w:name w:val="annotation reference"/>
    <w:uiPriority w:val="99"/>
    <w:semiHidden/>
    <w:unhideWhenUsed/>
    <w:rsid w:val="00D86D35"/>
    <w:rPr>
      <w:sz w:val="16"/>
      <w:szCs w:val="16"/>
    </w:rPr>
  </w:style>
  <w:style w:type="paragraph" w:styleId="Commentaire">
    <w:name w:val="annotation text"/>
    <w:basedOn w:val="Normal"/>
    <w:link w:val="CommentaireCar"/>
    <w:uiPriority w:val="99"/>
    <w:unhideWhenUsed/>
    <w:rsid w:val="00D86D35"/>
    <w:rPr>
      <w:sz w:val="20"/>
      <w:szCs w:val="20"/>
    </w:rPr>
  </w:style>
  <w:style w:type="character" w:customStyle="1" w:styleId="CommentaireCar">
    <w:name w:val="Commentaire Car"/>
    <w:link w:val="Commentaire"/>
    <w:uiPriority w:val="99"/>
    <w:rsid w:val="00D86D35"/>
    <w:rPr>
      <w:lang w:eastAsia="en-US"/>
    </w:rPr>
  </w:style>
  <w:style w:type="paragraph" w:styleId="Objetducommentaire">
    <w:name w:val="annotation subject"/>
    <w:basedOn w:val="Commentaire"/>
    <w:next w:val="Commentaire"/>
    <w:link w:val="ObjetducommentaireCar"/>
    <w:uiPriority w:val="99"/>
    <w:semiHidden/>
    <w:unhideWhenUsed/>
    <w:rsid w:val="00D86D35"/>
    <w:rPr>
      <w:b/>
      <w:bCs/>
    </w:rPr>
  </w:style>
  <w:style w:type="character" w:customStyle="1" w:styleId="ObjetducommentaireCar">
    <w:name w:val="Objet du commentaire Car"/>
    <w:link w:val="Objetducommentaire"/>
    <w:uiPriority w:val="99"/>
    <w:semiHidden/>
    <w:rsid w:val="00D86D35"/>
    <w:rPr>
      <w:b/>
      <w:bCs/>
      <w:lang w:eastAsia="en-US"/>
    </w:rPr>
  </w:style>
  <w:style w:type="paragraph" w:customStyle="1" w:styleId="s4">
    <w:name w:val="s4"/>
    <w:basedOn w:val="Normal"/>
    <w:uiPriority w:val="99"/>
    <w:rsid w:val="00D86D35"/>
    <w:pPr>
      <w:spacing w:before="100" w:beforeAutospacing="1" w:after="100" w:afterAutospacing="1" w:line="240" w:lineRule="auto"/>
      <w:jc w:val="left"/>
    </w:pPr>
    <w:rPr>
      <w:rFonts w:ascii="Times New Roman" w:hAnsi="Times New Roman"/>
      <w:sz w:val="24"/>
      <w:szCs w:val="24"/>
      <w:lang w:eastAsia="fr-FR"/>
    </w:rPr>
  </w:style>
  <w:style w:type="character" w:customStyle="1" w:styleId="s5">
    <w:name w:val="s5"/>
    <w:rsid w:val="00D86D35"/>
  </w:style>
  <w:style w:type="paragraph" w:customStyle="1" w:styleId="CarCarCar">
    <w:name w:val="Car Car Car"/>
    <w:basedOn w:val="Normal"/>
    <w:semiHidden/>
    <w:rsid w:val="00BD1398"/>
    <w:pPr>
      <w:spacing w:after="160" w:line="240" w:lineRule="exact"/>
      <w:ind w:left="539" w:firstLine="578"/>
      <w:jc w:val="left"/>
    </w:pPr>
    <w:rPr>
      <w:rFonts w:ascii="Verdana" w:eastAsia="Times New Roman" w:hAnsi="Verdana"/>
      <w:sz w:val="20"/>
      <w:szCs w:val="20"/>
      <w:lang w:val="en-US"/>
    </w:rPr>
  </w:style>
  <w:style w:type="numbering" w:customStyle="1" w:styleId="Aucuneliste1">
    <w:name w:val="Aucune liste1"/>
    <w:next w:val="Aucuneliste"/>
    <w:uiPriority w:val="99"/>
    <w:semiHidden/>
    <w:unhideWhenUsed/>
    <w:rsid w:val="00A84ECA"/>
  </w:style>
  <w:style w:type="table" w:customStyle="1" w:styleId="Grilledutableau1">
    <w:name w:val="Grille du tableau1"/>
    <w:basedOn w:val="TableauNormal"/>
    <w:next w:val="Grilledutableau"/>
    <w:rsid w:val="00A84EC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A84ECA"/>
    <w:rPr>
      <w:sz w:val="22"/>
      <w:szCs w:val="22"/>
      <w:lang w:eastAsia="en-US"/>
    </w:rPr>
  </w:style>
  <w:style w:type="paragraph" w:customStyle="1" w:styleId="paragraphetexte-inprincipo">
    <w:name w:val="paragraphetexte-inprincipo"/>
    <w:basedOn w:val="Normal"/>
    <w:rsid w:val="00A84ECA"/>
    <w:pPr>
      <w:spacing w:before="100" w:beforeAutospacing="1" w:after="100" w:afterAutospacing="1" w:line="240" w:lineRule="auto"/>
      <w:jc w:val="left"/>
    </w:pPr>
    <w:rPr>
      <w:rFonts w:ascii="Times New Roman" w:eastAsia="Times New Roman" w:hAnsi="Times New Roman"/>
      <w:sz w:val="24"/>
      <w:szCs w:val="24"/>
      <w:lang w:eastAsia="fr-FR"/>
    </w:rPr>
  </w:style>
  <w:style w:type="paragraph" w:styleId="Notedefin">
    <w:name w:val="endnote text"/>
    <w:basedOn w:val="Normal"/>
    <w:link w:val="NotedefinCar"/>
    <w:uiPriority w:val="99"/>
    <w:semiHidden/>
    <w:unhideWhenUsed/>
    <w:rsid w:val="00F65587"/>
    <w:pPr>
      <w:spacing w:after="0" w:line="240" w:lineRule="auto"/>
    </w:pPr>
    <w:rPr>
      <w:sz w:val="20"/>
      <w:szCs w:val="20"/>
    </w:rPr>
  </w:style>
  <w:style w:type="character" w:customStyle="1" w:styleId="NotedefinCar">
    <w:name w:val="Note de fin Car"/>
    <w:basedOn w:val="Policepardfaut"/>
    <w:link w:val="Notedefin"/>
    <w:uiPriority w:val="99"/>
    <w:semiHidden/>
    <w:rsid w:val="00F65587"/>
    <w:rPr>
      <w:lang w:eastAsia="en-US"/>
    </w:rPr>
  </w:style>
  <w:style w:type="character" w:styleId="Appeldenotedefin">
    <w:name w:val="endnote reference"/>
    <w:basedOn w:val="Policepardfaut"/>
    <w:uiPriority w:val="99"/>
    <w:semiHidden/>
    <w:unhideWhenUsed/>
    <w:rsid w:val="00F65587"/>
    <w:rPr>
      <w:vertAlign w:val="superscript"/>
    </w:rPr>
  </w:style>
  <w:style w:type="character" w:customStyle="1" w:styleId="apple-converted-space">
    <w:name w:val="apple-converted-space"/>
    <w:basedOn w:val="Policepardfaut"/>
    <w:rsid w:val="00B63797"/>
  </w:style>
  <w:style w:type="character" w:styleId="AcronymeHTML">
    <w:name w:val="HTML Acronym"/>
    <w:basedOn w:val="Policepardfaut"/>
    <w:uiPriority w:val="99"/>
    <w:semiHidden/>
    <w:unhideWhenUsed/>
    <w:rsid w:val="00B63797"/>
  </w:style>
  <w:style w:type="paragraph" w:customStyle="1" w:styleId="Textedocumentaire">
    <w:name w:val="Texte documentaire"/>
    <w:basedOn w:val="Normal"/>
    <w:rsid w:val="00B63797"/>
    <w:pPr>
      <w:spacing w:after="0" w:line="240" w:lineRule="auto"/>
      <w:jc w:val="left"/>
    </w:pPr>
    <w:rPr>
      <w:rFonts w:ascii="Arial" w:eastAsia="Times New Roman" w:hAnsi="Arial"/>
      <w:sz w:val="18"/>
      <w:szCs w:val="24"/>
      <w:lang w:eastAsia="fr-FR"/>
    </w:rPr>
  </w:style>
  <w:style w:type="character" w:customStyle="1" w:styleId="ms-rtefontsize-2">
    <w:name w:val="ms-rtefontsize-2"/>
    <w:basedOn w:val="Policepardfaut"/>
    <w:rsid w:val="00083A24"/>
  </w:style>
  <w:style w:type="paragraph" w:customStyle="1" w:styleId="description">
    <w:name w:val="description"/>
    <w:basedOn w:val="Normal"/>
    <w:rsid w:val="00083A24"/>
    <w:pPr>
      <w:spacing w:before="100" w:beforeAutospacing="1" w:after="100" w:afterAutospacing="1" w:line="240" w:lineRule="auto"/>
      <w:jc w:val="left"/>
    </w:pPr>
    <w:rPr>
      <w:rFonts w:ascii="Times New Roman" w:eastAsia="Times New Roman" w:hAnsi="Times New Roman"/>
      <w:sz w:val="24"/>
      <w:szCs w:val="24"/>
      <w:lang w:eastAsia="fr-FR"/>
    </w:rPr>
  </w:style>
  <w:style w:type="paragraph" w:customStyle="1" w:styleId="place-project">
    <w:name w:val="place-project"/>
    <w:basedOn w:val="Normal"/>
    <w:rsid w:val="00083A24"/>
    <w:pPr>
      <w:spacing w:before="100" w:beforeAutospacing="1" w:after="100" w:afterAutospacing="1" w:line="240" w:lineRule="auto"/>
      <w:jc w:val="left"/>
    </w:pPr>
    <w:rPr>
      <w:rFonts w:ascii="Times New Roman" w:eastAsia="Times New Roman" w:hAnsi="Times New Roman"/>
      <w:sz w:val="24"/>
      <w:szCs w:val="24"/>
      <w:lang w:eastAsia="fr-FR"/>
    </w:rPr>
  </w:style>
  <w:style w:type="character" w:customStyle="1" w:styleId="u-hiddenvisually">
    <w:name w:val="u-hiddenvisually"/>
    <w:basedOn w:val="Policepardfaut"/>
    <w:rsid w:val="00083A24"/>
  </w:style>
  <w:style w:type="character" w:customStyle="1" w:styleId="followbutton-bird">
    <w:name w:val="followbutton-bird"/>
    <w:basedOn w:val="Policepardfaut"/>
    <w:rsid w:val="00083A24"/>
  </w:style>
  <w:style w:type="character" w:customStyle="1" w:styleId="tweetauthor-name">
    <w:name w:val="tweetauthor-name"/>
    <w:basedOn w:val="Policepardfaut"/>
    <w:rsid w:val="00083A24"/>
  </w:style>
  <w:style w:type="character" w:customStyle="1" w:styleId="tweetauthor-verifiedbadge">
    <w:name w:val="tweetauthor-verifiedbadge"/>
    <w:basedOn w:val="Policepardfaut"/>
    <w:rsid w:val="00083A24"/>
  </w:style>
  <w:style w:type="character" w:customStyle="1" w:styleId="tweetauthor-screenname">
    <w:name w:val="tweetauthor-screenname"/>
    <w:basedOn w:val="Policepardfaut"/>
    <w:rsid w:val="00083A24"/>
  </w:style>
  <w:style w:type="paragraph" w:customStyle="1" w:styleId="tweet-text">
    <w:name w:val="tweet-text"/>
    <w:basedOn w:val="Normal"/>
    <w:rsid w:val="00083A24"/>
    <w:pPr>
      <w:spacing w:before="100" w:beforeAutospacing="1" w:after="100" w:afterAutospacing="1" w:line="240" w:lineRule="auto"/>
      <w:jc w:val="left"/>
    </w:pPr>
    <w:rPr>
      <w:rFonts w:ascii="Times New Roman" w:eastAsia="Times New Roman" w:hAnsi="Times New Roman"/>
      <w:sz w:val="24"/>
      <w:szCs w:val="24"/>
      <w:lang w:eastAsia="fr-FR"/>
    </w:rPr>
  </w:style>
  <w:style w:type="character" w:customStyle="1" w:styleId="prettylink-prefix">
    <w:name w:val="prettylink-prefix"/>
    <w:basedOn w:val="Policepardfaut"/>
    <w:rsid w:val="00083A24"/>
  </w:style>
  <w:style w:type="character" w:customStyle="1" w:styleId="prettylink-value">
    <w:name w:val="prettylink-value"/>
    <w:basedOn w:val="Policepardfaut"/>
    <w:rsid w:val="00083A24"/>
  </w:style>
  <w:style w:type="character" w:customStyle="1" w:styleId="tweetaction-stat">
    <w:name w:val="tweetaction-stat"/>
    <w:basedOn w:val="Policepardfaut"/>
    <w:rsid w:val="00083A24"/>
  </w:style>
  <w:style w:type="paragraph" w:customStyle="1" w:styleId="xmsonormal">
    <w:name w:val="x_msonormal"/>
    <w:basedOn w:val="Normal"/>
    <w:rsid w:val="00902744"/>
    <w:pPr>
      <w:spacing w:before="100" w:beforeAutospacing="1" w:after="100" w:afterAutospacing="1" w:line="240" w:lineRule="auto"/>
      <w:jc w:val="left"/>
    </w:pPr>
    <w:rPr>
      <w:rFonts w:ascii="Times New Roman" w:eastAsia="Times New Roman" w:hAnsi="Times New Roman"/>
      <w:sz w:val="24"/>
      <w:szCs w:val="24"/>
      <w:lang w:eastAsia="fr-FR"/>
    </w:rPr>
  </w:style>
  <w:style w:type="paragraph" w:customStyle="1" w:styleId="textedocumentaire0">
    <w:name w:val="textedocumentaire"/>
    <w:basedOn w:val="Normal"/>
    <w:rsid w:val="00902744"/>
    <w:pPr>
      <w:spacing w:after="0" w:line="240" w:lineRule="auto"/>
      <w:jc w:val="left"/>
    </w:pPr>
    <w:rPr>
      <w:rFonts w:ascii="Arial" w:eastAsiaTheme="minorHAnsi" w:hAnsi="Arial" w:cs="Arial"/>
      <w:sz w:val="18"/>
      <w:szCs w:val="18"/>
      <w:lang w:eastAsia="fr-FR"/>
    </w:rPr>
  </w:style>
  <w:style w:type="character" w:customStyle="1" w:styleId="ms-rtefontface-1">
    <w:name w:val="ms-rtefontface-1"/>
    <w:basedOn w:val="Policepardfaut"/>
    <w:rsid w:val="00902744"/>
  </w:style>
  <w:style w:type="character" w:customStyle="1" w:styleId="ms-rtethemeforecolor-6-3">
    <w:name w:val="ms-rtethemeforecolor-6-3"/>
    <w:basedOn w:val="Policepardfaut"/>
    <w:rsid w:val="00902744"/>
  </w:style>
  <w:style w:type="paragraph" w:styleId="Corpsdetexte">
    <w:name w:val="Body Text"/>
    <w:basedOn w:val="Normal"/>
    <w:link w:val="CorpsdetexteCar"/>
    <w:uiPriority w:val="1"/>
    <w:qFormat/>
    <w:rsid w:val="00902744"/>
    <w:pPr>
      <w:widowControl w:val="0"/>
      <w:autoSpaceDE w:val="0"/>
      <w:autoSpaceDN w:val="0"/>
      <w:spacing w:before="120" w:after="0" w:line="240" w:lineRule="auto"/>
      <w:jc w:val="left"/>
    </w:pPr>
    <w:rPr>
      <w:rFonts w:asciiTheme="minorHAnsi" w:eastAsia="Tahoma" w:hAnsiTheme="minorHAnsi" w:cs="Tahoma"/>
      <w:lang w:eastAsia="fr-FR" w:bidi="fr-FR"/>
    </w:rPr>
  </w:style>
  <w:style w:type="character" w:customStyle="1" w:styleId="CorpsdetexteCar">
    <w:name w:val="Corps de texte Car"/>
    <w:basedOn w:val="Policepardfaut"/>
    <w:link w:val="Corpsdetexte"/>
    <w:uiPriority w:val="1"/>
    <w:rsid w:val="00902744"/>
    <w:rPr>
      <w:rFonts w:asciiTheme="minorHAnsi" w:eastAsia="Tahoma" w:hAnsiTheme="minorHAnsi" w:cs="Tahoma"/>
      <w:sz w:val="22"/>
      <w:szCs w:val="22"/>
      <w:lang w:bidi="fr-FR"/>
    </w:rPr>
  </w:style>
  <w:style w:type="paragraph" w:styleId="Retraitcorpsdetexte">
    <w:name w:val="Body Text Indent"/>
    <w:basedOn w:val="Normal"/>
    <w:link w:val="RetraitcorpsdetexteCar"/>
    <w:uiPriority w:val="99"/>
    <w:unhideWhenUsed/>
    <w:qFormat/>
    <w:rsid w:val="00AA772B"/>
    <w:pPr>
      <w:spacing w:after="120"/>
      <w:ind w:left="283"/>
    </w:pPr>
  </w:style>
  <w:style w:type="character" w:customStyle="1" w:styleId="RetraitcorpsdetexteCar">
    <w:name w:val="Retrait corps de texte Car"/>
    <w:basedOn w:val="Policepardfaut"/>
    <w:link w:val="Retraitcorpsdetexte"/>
    <w:uiPriority w:val="99"/>
    <w:rsid w:val="00AA772B"/>
    <w:rPr>
      <w:sz w:val="22"/>
      <w:szCs w:val="22"/>
      <w:lang w:eastAsia="en-US"/>
    </w:rPr>
  </w:style>
  <w:style w:type="paragraph" w:styleId="Titre">
    <w:name w:val="Title"/>
    <w:basedOn w:val="Normal"/>
    <w:next w:val="Normal"/>
    <w:link w:val="TitreCar"/>
    <w:uiPriority w:val="10"/>
    <w:qFormat/>
    <w:rsid w:val="00064E4E"/>
    <w:pPr>
      <w:overflowPunct w:val="0"/>
      <w:autoSpaceDE w:val="0"/>
      <w:autoSpaceDN w:val="0"/>
      <w:adjustRightInd w:val="0"/>
      <w:spacing w:before="240" w:after="60" w:line="240" w:lineRule="auto"/>
      <w:jc w:val="center"/>
      <w:textAlignment w:val="baseline"/>
      <w:outlineLvl w:val="0"/>
    </w:pPr>
    <w:rPr>
      <w:rFonts w:ascii="Cambria" w:eastAsia="Times New Roman" w:hAnsi="Cambria"/>
      <w:b/>
      <w:bCs/>
      <w:kern w:val="28"/>
      <w:sz w:val="32"/>
      <w:szCs w:val="32"/>
      <w:lang w:eastAsia="fr-FR"/>
    </w:rPr>
  </w:style>
  <w:style w:type="character" w:customStyle="1" w:styleId="TitreCar">
    <w:name w:val="Titre Car"/>
    <w:basedOn w:val="Policepardfaut"/>
    <w:link w:val="Titre"/>
    <w:uiPriority w:val="10"/>
    <w:rsid w:val="00064E4E"/>
    <w:rPr>
      <w:rFonts w:ascii="Cambria" w:eastAsia="Times New Roman" w:hAnsi="Cambria"/>
      <w:b/>
      <w:bCs/>
      <w:kern w:val="28"/>
      <w:sz w:val="32"/>
      <w:szCs w:val="32"/>
    </w:rPr>
  </w:style>
  <w:style w:type="paragraph" w:styleId="Sous-titre">
    <w:name w:val="Subtitle"/>
    <w:basedOn w:val="Normal"/>
    <w:next w:val="Normal"/>
    <w:link w:val="Sous-titreCar"/>
    <w:uiPriority w:val="2"/>
    <w:qFormat/>
    <w:rsid w:val="00064E4E"/>
    <w:pPr>
      <w:overflowPunct w:val="0"/>
      <w:autoSpaceDE w:val="0"/>
      <w:autoSpaceDN w:val="0"/>
      <w:adjustRightInd w:val="0"/>
      <w:spacing w:after="60" w:line="240" w:lineRule="auto"/>
      <w:jc w:val="center"/>
      <w:textAlignment w:val="baseline"/>
      <w:outlineLvl w:val="1"/>
    </w:pPr>
    <w:rPr>
      <w:rFonts w:ascii="Cambria" w:eastAsia="Times New Roman" w:hAnsi="Cambria"/>
      <w:sz w:val="24"/>
      <w:szCs w:val="24"/>
      <w:lang w:eastAsia="fr-FR"/>
    </w:rPr>
  </w:style>
  <w:style w:type="character" w:customStyle="1" w:styleId="Sous-titreCar">
    <w:name w:val="Sous-titre Car"/>
    <w:basedOn w:val="Policepardfaut"/>
    <w:link w:val="Sous-titre"/>
    <w:uiPriority w:val="2"/>
    <w:rsid w:val="00064E4E"/>
    <w:rPr>
      <w:rFonts w:ascii="Cambria" w:eastAsia="Times New Roman" w:hAnsi="Cambria"/>
      <w:sz w:val="24"/>
      <w:szCs w:val="24"/>
    </w:rPr>
  </w:style>
  <w:style w:type="character" w:styleId="Rfrenceple">
    <w:name w:val="Subtle Reference"/>
    <w:basedOn w:val="Policepardfaut"/>
    <w:uiPriority w:val="31"/>
    <w:qFormat/>
    <w:rsid w:val="00064E4E"/>
    <w:rPr>
      <w:smallCaps/>
      <w:color w:val="5A5A5A" w:themeColor="text1" w:themeTint="A5"/>
    </w:rPr>
  </w:style>
  <w:style w:type="paragraph" w:customStyle="1" w:styleId="Pa5">
    <w:name w:val="Pa5"/>
    <w:basedOn w:val="Normal"/>
    <w:next w:val="Normal"/>
    <w:uiPriority w:val="99"/>
    <w:rsid w:val="00064E4E"/>
    <w:pPr>
      <w:autoSpaceDE w:val="0"/>
      <w:autoSpaceDN w:val="0"/>
      <w:adjustRightInd w:val="0"/>
      <w:spacing w:after="0" w:line="181" w:lineRule="atLeast"/>
      <w:jc w:val="left"/>
    </w:pPr>
    <w:rPr>
      <w:rFonts w:ascii="HelveticaNeueLT Std Cn" w:eastAsiaTheme="minorHAnsi" w:hAnsi="HelveticaNeueLT Std Cn" w:cstheme="minorBidi"/>
      <w:sz w:val="24"/>
      <w:szCs w:val="24"/>
    </w:rPr>
  </w:style>
  <w:style w:type="paragraph" w:customStyle="1" w:styleId="Pa7">
    <w:name w:val="Pa7"/>
    <w:basedOn w:val="Normal"/>
    <w:next w:val="Normal"/>
    <w:uiPriority w:val="99"/>
    <w:rsid w:val="00064E4E"/>
    <w:pPr>
      <w:autoSpaceDE w:val="0"/>
      <w:autoSpaceDN w:val="0"/>
      <w:adjustRightInd w:val="0"/>
      <w:spacing w:after="0" w:line="181" w:lineRule="atLeast"/>
      <w:jc w:val="left"/>
    </w:pPr>
    <w:rPr>
      <w:rFonts w:ascii="HelveticaNeueLT Std Cn" w:eastAsiaTheme="minorHAnsi" w:hAnsi="HelveticaNeueLT Std Cn" w:cstheme="minorBidi"/>
      <w:sz w:val="24"/>
      <w:szCs w:val="24"/>
    </w:rPr>
  </w:style>
  <w:style w:type="paragraph" w:customStyle="1" w:styleId="Pa8">
    <w:name w:val="Pa8"/>
    <w:basedOn w:val="Normal"/>
    <w:next w:val="Normal"/>
    <w:uiPriority w:val="99"/>
    <w:rsid w:val="00064E4E"/>
    <w:pPr>
      <w:autoSpaceDE w:val="0"/>
      <w:autoSpaceDN w:val="0"/>
      <w:adjustRightInd w:val="0"/>
      <w:spacing w:after="0" w:line="181" w:lineRule="atLeast"/>
      <w:jc w:val="left"/>
    </w:pPr>
    <w:rPr>
      <w:rFonts w:ascii="HelveticaNeueLT Std Cn" w:eastAsiaTheme="minorHAnsi" w:hAnsi="HelveticaNeueLT Std Cn" w:cstheme="minorBidi"/>
      <w:sz w:val="24"/>
      <w:szCs w:val="24"/>
    </w:rPr>
  </w:style>
  <w:style w:type="paragraph" w:customStyle="1" w:styleId="Pilier3Puces2">
    <w:name w:val="Pilier3_Puces 2"/>
    <w:basedOn w:val="Normal"/>
    <w:uiPriority w:val="29"/>
    <w:qFormat/>
    <w:rsid w:val="00B150CE"/>
    <w:pPr>
      <w:numPr>
        <w:numId w:val="2"/>
      </w:numPr>
      <w:spacing w:before="120" w:after="120"/>
    </w:pPr>
    <w:rPr>
      <w:rFonts w:ascii="Arial" w:eastAsia="Times New Roman" w:hAnsi="Arial"/>
      <w:color w:val="000000" w:themeColor="text1"/>
      <w:sz w:val="20"/>
      <w:szCs w:val="20"/>
      <w:lang w:eastAsia="fr-FR"/>
    </w:rPr>
  </w:style>
  <w:style w:type="character" w:customStyle="1" w:styleId="Titre5Car">
    <w:name w:val="Titre 5 Car"/>
    <w:basedOn w:val="Policepardfaut"/>
    <w:link w:val="Titre5"/>
    <w:uiPriority w:val="9"/>
    <w:rsid w:val="001800EB"/>
    <w:rPr>
      <w:rFonts w:eastAsia="Times New Roman"/>
      <w:sz w:val="22"/>
      <w:szCs w:val="22"/>
      <w:u w:val="single"/>
      <w:lang w:eastAsia="en-US"/>
    </w:rPr>
  </w:style>
  <w:style w:type="character" w:customStyle="1" w:styleId="Titre6Car">
    <w:name w:val="Titre 6 Car"/>
    <w:basedOn w:val="Policepardfaut"/>
    <w:link w:val="Titre6"/>
    <w:uiPriority w:val="9"/>
    <w:semiHidden/>
    <w:rsid w:val="00B150CE"/>
    <w:rPr>
      <w:rFonts w:ascii="Cambria" w:eastAsia="Times New Roman" w:hAnsi="Cambria"/>
      <w:i/>
      <w:iCs/>
      <w:color w:val="243F60"/>
      <w:sz w:val="22"/>
      <w:szCs w:val="22"/>
      <w:lang w:eastAsia="en-US"/>
    </w:rPr>
  </w:style>
  <w:style w:type="character" w:customStyle="1" w:styleId="Titre7Car">
    <w:name w:val="Titre 7 Car"/>
    <w:basedOn w:val="Policepardfaut"/>
    <w:link w:val="Titre7"/>
    <w:uiPriority w:val="9"/>
    <w:rsid w:val="00B150CE"/>
    <w:rPr>
      <w:rFonts w:ascii="Cambria" w:eastAsia="Times New Roman" w:hAnsi="Cambria"/>
      <w:i/>
      <w:iCs/>
      <w:color w:val="404040"/>
      <w:sz w:val="22"/>
      <w:szCs w:val="22"/>
      <w:lang w:eastAsia="en-US"/>
    </w:rPr>
  </w:style>
  <w:style w:type="paragraph" w:customStyle="1" w:styleId="CAA-HTB">
    <w:name w:val="CAA-HTB"/>
    <w:rsid w:val="00B150CE"/>
    <w:rPr>
      <w:rFonts w:ascii="Century Gothic" w:hAnsi="Century Gothic"/>
      <w:color w:val="333333"/>
      <w:sz w:val="16"/>
      <w:szCs w:val="22"/>
      <w:lang w:eastAsia="en-US"/>
    </w:rPr>
  </w:style>
  <w:style w:type="paragraph" w:customStyle="1" w:styleId="CAAFN">
    <w:name w:val="CAA_FN"/>
    <w:rsid w:val="00B150CE"/>
    <w:pPr>
      <w:jc w:val="right"/>
    </w:pPr>
    <w:rPr>
      <w:rFonts w:ascii="Century Gothic" w:hAnsi="Century Gothic"/>
      <w:color w:val="5F5F5F"/>
      <w:sz w:val="15"/>
      <w:szCs w:val="15"/>
      <w:lang w:eastAsia="en-US"/>
    </w:rPr>
  </w:style>
  <w:style w:type="paragraph" w:customStyle="1" w:styleId="CAA-N">
    <w:name w:val="CAA-N"/>
    <w:qFormat/>
    <w:rsid w:val="00B150CE"/>
    <w:pPr>
      <w:spacing w:after="100"/>
      <w:jc w:val="both"/>
    </w:pPr>
    <w:rPr>
      <w:rFonts w:ascii="Century Gothic" w:hAnsi="Century Gothic"/>
      <w:color w:val="333333"/>
      <w:sz w:val="15"/>
      <w:szCs w:val="16"/>
      <w:lang w:eastAsia="en-US"/>
    </w:rPr>
  </w:style>
  <w:style w:type="paragraph" w:customStyle="1" w:styleId="CAA-T3">
    <w:name w:val="CAA-T3"/>
    <w:basedOn w:val="Titre5"/>
    <w:next w:val="CAA-N"/>
    <w:qFormat/>
    <w:rsid w:val="00B150CE"/>
    <w:pPr>
      <w:keepLines w:val="0"/>
      <w:numPr>
        <w:numId w:val="3"/>
      </w:numPr>
      <w:tabs>
        <w:tab w:val="num" w:pos="360"/>
      </w:tabs>
      <w:suppressAutoHyphens/>
      <w:spacing w:before="120" w:after="120" w:line="200" w:lineRule="atLeast"/>
      <w:ind w:left="0" w:firstLine="0"/>
    </w:pPr>
    <w:rPr>
      <w:rFonts w:ascii="Arial" w:hAnsi="Arial"/>
      <w:b/>
      <w:bCs/>
      <w:iCs/>
      <w:color w:val="000000"/>
      <w:sz w:val="18"/>
      <w:szCs w:val="26"/>
      <w:lang w:eastAsia="fr-FR"/>
    </w:rPr>
  </w:style>
  <w:style w:type="paragraph" w:customStyle="1" w:styleId="CAA-FN">
    <w:name w:val="CAA-FN"/>
    <w:next w:val="CAA-N"/>
    <w:rsid w:val="00B150CE"/>
    <w:pPr>
      <w:spacing w:after="120"/>
      <w:ind w:left="142" w:hanging="142"/>
      <w:jc w:val="both"/>
    </w:pPr>
    <w:rPr>
      <w:rFonts w:ascii="Century Gothic" w:hAnsi="Century Gothic"/>
      <w:i/>
      <w:color w:val="5F5F5F"/>
      <w:sz w:val="13"/>
      <w:szCs w:val="13"/>
      <w:lang w:eastAsia="en-US"/>
    </w:rPr>
  </w:style>
  <w:style w:type="paragraph" w:customStyle="1" w:styleId="CAA-T5-RP">
    <w:name w:val="CAA-T5-RP"/>
    <w:basedOn w:val="Normal"/>
    <w:next w:val="CAA-N"/>
    <w:qFormat/>
    <w:rsid w:val="00B150CE"/>
    <w:pPr>
      <w:spacing w:before="60" w:after="120" w:line="240" w:lineRule="auto"/>
      <w:jc w:val="left"/>
    </w:pPr>
    <w:rPr>
      <w:rFonts w:ascii="Century Gothic" w:hAnsi="Century Gothic"/>
      <w:sz w:val="16"/>
      <w:szCs w:val="16"/>
      <w:lang w:val="fr-CA"/>
    </w:rPr>
  </w:style>
  <w:style w:type="paragraph" w:customStyle="1" w:styleId="DMETW8815BIPFRPlctsFiFR">
    <w:name w:val="DM_ETW_8815_BIP_FR_PlctsFi_FR"/>
    <w:rsid w:val="00B150CE"/>
    <w:rPr>
      <w:rFonts w:ascii="Times New Roman" w:eastAsia="Times New Roman" w:hAnsi="Times New Roman"/>
    </w:rPr>
  </w:style>
  <w:style w:type="paragraph" w:customStyle="1" w:styleId="DMETW8815BIPFRSensisibilitFR">
    <w:name w:val="DM_ETW_8815_BIP_FR_Sensisibilité_FR"/>
    <w:rsid w:val="00B150CE"/>
    <w:rPr>
      <w:rFonts w:ascii="Times New Roman" w:eastAsia="Times New Roman" w:hAnsi="Times New Roman"/>
    </w:rPr>
  </w:style>
  <w:style w:type="paragraph" w:customStyle="1" w:styleId="DMETW8815BIPFRRisqueChangeFR">
    <w:name w:val="DM_ETW_8815_BIP_FR_RisqueChange_FR"/>
    <w:rsid w:val="00B150CE"/>
    <w:rPr>
      <w:rFonts w:ascii="Times New Roman" w:eastAsia="Times New Roman" w:hAnsi="Times New Roman"/>
    </w:rPr>
  </w:style>
  <w:style w:type="table" w:customStyle="1" w:styleId="TableauGrille1Clair-Accentuation31">
    <w:name w:val="Tableau Grille 1 Clair - Accentuation 31"/>
    <w:basedOn w:val="TableauNormal"/>
    <w:uiPriority w:val="46"/>
    <w:rsid w:val="00B150CE"/>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character" w:customStyle="1" w:styleId="ParagraphedelisteCar">
    <w:name w:val="Paragraphe de liste Car"/>
    <w:aliases w:val="sommaire 1 Car"/>
    <w:basedOn w:val="Policepardfaut"/>
    <w:link w:val="Paragraphedeliste"/>
    <w:uiPriority w:val="34"/>
    <w:rsid w:val="00B150CE"/>
    <w:rPr>
      <w:rFonts w:ascii="Times New Roman" w:eastAsia="Times New Roman" w:hAnsi="Times New Roman"/>
      <w:sz w:val="24"/>
      <w:szCs w:val="24"/>
    </w:rPr>
  </w:style>
  <w:style w:type="paragraph" w:customStyle="1" w:styleId="BodyTextContinued">
    <w:name w:val="Body Text Continued"/>
    <w:basedOn w:val="Normal"/>
    <w:next w:val="Corpsdetexte"/>
    <w:uiPriority w:val="1"/>
    <w:semiHidden/>
    <w:rsid w:val="00B150CE"/>
    <w:pPr>
      <w:spacing w:after="240" w:line="240" w:lineRule="auto"/>
      <w:jc w:val="left"/>
    </w:pPr>
    <w:rPr>
      <w:rFonts w:ascii="Times New Roman" w:eastAsia="Times New Roman" w:hAnsi="Times New Roman"/>
      <w:sz w:val="24"/>
      <w:szCs w:val="20"/>
      <w:lang w:val="en-US"/>
    </w:rPr>
  </w:style>
  <w:style w:type="paragraph" w:styleId="Citation">
    <w:name w:val="Quote"/>
    <w:basedOn w:val="Normal"/>
    <w:next w:val="Corpsdetexte"/>
    <w:link w:val="CitationCar"/>
    <w:qFormat/>
    <w:rsid w:val="00B150CE"/>
    <w:pPr>
      <w:spacing w:after="240" w:line="240" w:lineRule="auto"/>
      <w:ind w:left="1440" w:right="1440"/>
      <w:jc w:val="left"/>
    </w:pPr>
    <w:rPr>
      <w:rFonts w:ascii="Times New Roman" w:eastAsia="SimSun" w:hAnsi="Times New Roman" w:cs="Arial"/>
      <w:iCs/>
      <w:sz w:val="24"/>
      <w:lang w:val="en-US"/>
    </w:rPr>
  </w:style>
  <w:style w:type="character" w:customStyle="1" w:styleId="CitationCar">
    <w:name w:val="Citation Car"/>
    <w:basedOn w:val="Policepardfaut"/>
    <w:link w:val="Citation"/>
    <w:rsid w:val="00B150CE"/>
    <w:rPr>
      <w:rFonts w:ascii="Times New Roman" w:eastAsia="SimSun" w:hAnsi="Times New Roman" w:cs="Arial"/>
      <w:iCs/>
      <w:sz w:val="24"/>
      <w:szCs w:val="22"/>
      <w:lang w:val="en-US" w:eastAsia="en-US"/>
    </w:rPr>
  </w:style>
  <w:style w:type="paragraph" w:styleId="Retrait1religne">
    <w:name w:val="Body Text First Indent"/>
    <w:basedOn w:val="Normal"/>
    <w:link w:val="Retrait1religneCar"/>
    <w:qFormat/>
    <w:rsid w:val="00B150CE"/>
    <w:pPr>
      <w:spacing w:after="240" w:line="240" w:lineRule="auto"/>
      <w:ind w:firstLine="1440"/>
      <w:jc w:val="left"/>
    </w:pPr>
    <w:rPr>
      <w:rFonts w:ascii="Times New Roman" w:eastAsia="SimSun" w:hAnsi="Times New Roman" w:cs="Arial"/>
      <w:sz w:val="24"/>
      <w:lang w:val="en-US"/>
    </w:rPr>
  </w:style>
  <w:style w:type="character" w:customStyle="1" w:styleId="Retrait1religneCar">
    <w:name w:val="Retrait 1re ligne Car"/>
    <w:basedOn w:val="CorpsdetexteCar"/>
    <w:link w:val="Retrait1religne"/>
    <w:rsid w:val="00B150CE"/>
    <w:rPr>
      <w:rFonts w:ascii="Times New Roman" w:eastAsia="SimSun" w:hAnsi="Times New Roman" w:cs="Arial"/>
      <w:sz w:val="24"/>
      <w:szCs w:val="22"/>
      <w:lang w:val="en-US" w:eastAsia="en-US" w:bidi="fr-FR"/>
    </w:rPr>
  </w:style>
  <w:style w:type="paragraph" w:customStyle="1" w:styleId="DocId">
    <w:name w:val="DocId"/>
    <w:basedOn w:val="Pieddepage"/>
    <w:rsid w:val="00B150CE"/>
    <w:pPr>
      <w:tabs>
        <w:tab w:val="clear" w:pos="4536"/>
        <w:tab w:val="clear" w:pos="9072"/>
        <w:tab w:val="center" w:pos="4513"/>
        <w:tab w:val="center" w:pos="9000"/>
        <w:tab w:val="right" w:pos="9027"/>
      </w:tabs>
      <w:spacing w:after="0" w:line="240" w:lineRule="auto"/>
      <w:jc w:val="left"/>
    </w:pPr>
    <w:rPr>
      <w:rFonts w:ascii="Times New Roman" w:eastAsia="SimSun" w:hAnsi="Times New Roman" w:cs="Arial"/>
      <w:sz w:val="16"/>
      <w:szCs w:val="16"/>
      <w:lang w:val="en-US"/>
    </w:rPr>
  </w:style>
  <w:style w:type="paragraph" w:customStyle="1" w:styleId="CG-Title-Left-Underscore">
    <w:name w:val="CG-Title-Left-Underscore"/>
    <w:basedOn w:val="Normal"/>
    <w:next w:val="Normal"/>
    <w:uiPriority w:val="99"/>
    <w:rsid w:val="00B150CE"/>
    <w:pPr>
      <w:keepNext/>
      <w:spacing w:after="240" w:line="240" w:lineRule="auto"/>
      <w:jc w:val="left"/>
    </w:pPr>
    <w:rPr>
      <w:rFonts w:ascii="Times New Roman" w:eastAsia="MS Mincho" w:hAnsi="Times New Roman"/>
      <w:sz w:val="20"/>
      <w:szCs w:val="24"/>
      <w:u w:val="single"/>
      <w:lang w:val="en-US"/>
    </w:rPr>
  </w:style>
  <w:style w:type="paragraph" w:customStyle="1" w:styleId="BoldItalic">
    <w:name w:val="BoldItalic"/>
    <w:basedOn w:val="Normal"/>
    <w:rsid w:val="00B150CE"/>
    <w:pPr>
      <w:spacing w:after="240" w:line="240" w:lineRule="auto"/>
    </w:pPr>
    <w:rPr>
      <w:rFonts w:ascii="Times New Roman" w:eastAsia="Times New Roman" w:hAnsi="Times New Roman"/>
      <w:b/>
      <w:i/>
      <w:sz w:val="20"/>
      <w:szCs w:val="20"/>
      <w:lang w:val="en-US"/>
    </w:rPr>
  </w:style>
  <w:style w:type="paragraph" w:customStyle="1" w:styleId="CG-SingleSp113">
    <w:name w:val="CG-Single Sp 1.13"/>
    <w:basedOn w:val="Normal"/>
    <w:rsid w:val="00B150CE"/>
    <w:pPr>
      <w:spacing w:after="240" w:line="240" w:lineRule="auto"/>
      <w:ind w:firstLine="720"/>
    </w:pPr>
    <w:rPr>
      <w:rFonts w:ascii="Times New Roman" w:eastAsia="MS Mincho" w:hAnsi="Times New Roman"/>
      <w:sz w:val="20"/>
      <w:szCs w:val="24"/>
      <w:lang w:val="en-US"/>
    </w:rPr>
  </w:style>
  <w:style w:type="paragraph" w:customStyle="1" w:styleId="CG-Title-Center-Bold">
    <w:name w:val="CG-Title-Center-Bold"/>
    <w:aliases w:val="t1"/>
    <w:basedOn w:val="Normal"/>
    <w:next w:val="Normal"/>
    <w:rsid w:val="00B150CE"/>
    <w:pPr>
      <w:keepNext/>
      <w:spacing w:after="240" w:line="240" w:lineRule="auto"/>
      <w:jc w:val="center"/>
    </w:pPr>
    <w:rPr>
      <w:rFonts w:ascii="Times New Roman" w:eastAsia="Times New Roman" w:hAnsi="Times New Roman"/>
      <w:b/>
      <w:sz w:val="24"/>
      <w:szCs w:val="20"/>
      <w:lang w:val="en-US"/>
    </w:rPr>
  </w:style>
  <w:style w:type="paragraph" w:customStyle="1" w:styleId="paraBody">
    <w:name w:val="para: Body"/>
    <w:aliases w:val="b,Body,Text,b10pt,body,B,byA,by 14pt,by,Body1,Text1,Body2,Text2,31,newBody,zpref 3 lev 1,heading2,Title1,26,by + After:  10 pt,Line spacing:  Multiple 1.2 li,Line spacing:  Multiple 1.2 li + Frutiger 55 Roman...,Indent1,After:  7 pt"/>
    <w:basedOn w:val="Normal"/>
    <w:link w:val="BodyChar1"/>
    <w:rsid w:val="00B150CE"/>
    <w:pPr>
      <w:spacing w:before="240" w:after="0" w:line="240" w:lineRule="auto"/>
    </w:pPr>
    <w:rPr>
      <w:rFonts w:ascii="Times New Roman" w:eastAsia="Times New Roman" w:hAnsi="Times New Roman"/>
      <w:sz w:val="20"/>
      <w:szCs w:val="20"/>
      <w:lang w:val="en-US"/>
    </w:rPr>
  </w:style>
  <w:style w:type="character" w:customStyle="1" w:styleId="BodyChar1">
    <w:name w:val="Body Char1"/>
    <w:aliases w:val="Body1 Char,Text1 Char,2 Char,heading2 Char,by Char,b10pt Char,body Char,B Char,byA Char,by 14pt Char,b Char,Text Char,31 Char,Heading 2 Char1,Major Char1,Niveau 1 1 Char1,Paragraafkop Char1,Reset numbering Char1,h2 Char1"/>
    <w:link w:val="paraBody"/>
    <w:rsid w:val="00B150CE"/>
    <w:rPr>
      <w:rFonts w:ascii="Times New Roman" w:eastAsia="Times New Roman" w:hAnsi="Times New Roman"/>
      <w:lang w:val="en-US" w:eastAsia="en-US"/>
    </w:rPr>
  </w:style>
  <w:style w:type="paragraph" w:customStyle="1" w:styleId="CG-TitleInTOC1">
    <w:name w:val="CG-Title In TOC 1"/>
    <w:basedOn w:val="Normal"/>
    <w:uiPriority w:val="99"/>
    <w:rsid w:val="00B150CE"/>
    <w:pPr>
      <w:keepNext/>
      <w:spacing w:after="240" w:line="240" w:lineRule="auto"/>
      <w:jc w:val="center"/>
    </w:pPr>
    <w:rPr>
      <w:rFonts w:ascii="Times New Roman" w:eastAsia="MS Mincho" w:hAnsi="Times New Roman"/>
      <w:b/>
      <w:sz w:val="20"/>
      <w:szCs w:val="24"/>
      <w:lang w:val="en-US"/>
    </w:rPr>
  </w:style>
  <w:style w:type="paragraph" w:customStyle="1" w:styleId="CG-SingleSp05">
    <w:name w:val="CG-Single Sp 0.5"/>
    <w:aliases w:val="s2,!Body Text .5(J),Second Heading 2,Second Heading,!Body Text .5s2(J),bt,CG-Single Sp 0.51,s21,CG-Bullet Two,MBP_Bd Single Sp .5 L,dx-Bd Single Sp .5,CG-Single Sp 0,s9,S...,S2,CG-Bullet_0,!Body Text,5(J),5s2(J),Second Heading 9"/>
    <w:basedOn w:val="Normal"/>
    <w:rsid w:val="00B150CE"/>
    <w:pPr>
      <w:spacing w:after="240" w:line="240" w:lineRule="auto"/>
      <w:ind w:firstLine="720"/>
    </w:pPr>
    <w:rPr>
      <w:rFonts w:ascii="Times New Roman" w:eastAsia="MS Mincho" w:hAnsi="Times New Roman"/>
      <w:sz w:val="20"/>
      <w:szCs w:val="24"/>
      <w:lang w:val="en-US"/>
    </w:rPr>
  </w:style>
  <w:style w:type="paragraph" w:customStyle="1" w:styleId="CG-Title-LeftInd-Italic">
    <w:name w:val="CG-Title-Left Ind-Italic"/>
    <w:basedOn w:val="Normal"/>
    <w:next w:val="Normal"/>
    <w:rsid w:val="00B150CE"/>
    <w:pPr>
      <w:keepNext/>
      <w:spacing w:after="240" w:line="240" w:lineRule="auto"/>
      <w:ind w:left="720"/>
      <w:jc w:val="left"/>
    </w:pPr>
    <w:rPr>
      <w:rFonts w:ascii="Times New Roman" w:eastAsia="MS Mincho" w:hAnsi="Times New Roman"/>
      <w:i/>
      <w:sz w:val="20"/>
      <w:szCs w:val="24"/>
      <w:lang w:val="en-US"/>
    </w:rPr>
  </w:style>
  <w:style w:type="paragraph" w:customStyle="1" w:styleId="BodyUSOC">
    <w:name w:val="Body_US_OC"/>
    <w:basedOn w:val="Normal"/>
    <w:link w:val="BodyUSOCChar"/>
    <w:rsid w:val="00B150CE"/>
    <w:pPr>
      <w:spacing w:after="120" w:line="240" w:lineRule="exact"/>
      <w:ind w:firstLine="432"/>
    </w:pPr>
    <w:rPr>
      <w:rFonts w:ascii="Times New Roman" w:eastAsia="Times New Roman" w:hAnsi="Times New Roman"/>
      <w:sz w:val="21"/>
      <w:szCs w:val="20"/>
      <w:lang w:val="en-GB"/>
    </w:rPr>
  </w:style>
  <w:style w:type="paragraph" w:customStyle="1" w:styleId="L3HafterL2H">
    <w:name w:val="L3H after L2H"/>
    <w:basedOn w:val="Normal"/>
    <w:next w:val="BodyUSOC"/>
    <w:rsid w:val="00B150CE"/>
    <w:pPr>
      <w:keepNext/>
      <w:spacing w:after="60" w:line="240" w:lineRule="exact"/>
    </w:pPr>
    <w:rPr>
      <w:rFonts w:ascii="Times New Roman" w:eastAsia="Times New Roman" w:hAnsi="Times New Roman"/>
      <w:i/>
      <w:sz w:val="21"/>
      <w:szCs w:val="20"/>
      <w:lang w:val="en-GB"/>
    </w:rPr>
  </w:style>
  <w:style w:type="character" w:customStyle="1" w:styleId="BodyUSOCChar">
    <w:name w:val="Body_US_OC Char"/>
    <w:link w:val="BodyUSOC"/>
    <w:rsid w:val="00B150CE"/>
    <w:rPr>
      <w:rFonts w:ascii="Times New Roman" w:eastAsia="Times New Roman" w:hAnsi="Times New Roman"/>
      <w:sz w:val="21"/>
      <w:lang w:val="en-GB" w:eastAsia="en-US"/>
    </w:rPr>
  </w:style>
  <w:style w:type="paragraph" w:customStyle="1" w:styleId="TEXTECOURANT2colonnesTEXTE2016">
    <w:name w:val="TEXTE COURANT / 2 colonnes (TEXTE / 2016)"/>
    <w:basedOn w:val="Normal"/>
    <w:uiPriority w:val="99"/>
    <w:rsid w:val="00B150CE"/>
    <w:pPr>
      <w:autoSpaceDE w:val="0"/>
      <w:autoSpaceDN w:val="0"/>
      <w:spacing w:after="40" w:line="200" w:lineRule="atLeast"/>
    </w:pPr>
    <w:rPr>
      <w:rFonts w:ascii="HelveticaNeueLT Std Lt" w:hAnsi="HelveticaNeueLT Std Lt"/>
      <w:color w:val="000000"/>
      <w:sz w:val="16"/>
      <w:szCs w:val="16"/>
    </w:rPr>
  </w:style>
  <w:style w:type="paragraph" w:customStyle="1" w:styleId="PUCE1TEXTE2016">
    <w:name w:val="&gt; PUCE 1 (TEXTE / 2016)"/>
    <w:basedOn w:val="Normal"/>
    <w:uiPriority w:val="99"/>
    <w:rsid w:val="00B150CE"/>
    <w:pPr>
      <w:tabs>
        <w:tab w:val="left" w:pos="142"/>
      </w:tabs>
      <w:autoSpaceDE w:val="0"/>
      <w:autoSpaceDN w:val="0"/>
      <w:adjustRightInd w:val="0"/>
      <w:spacing w:after="17" w:line="200" w:lineRule="atLeast"/>
      <w:ind w:left="142" w:hanging="142"/>
    </w:pPr>
    <w:rPr>
      <w:rFonts w:ascii="HelveticaNeueLT Std Lt" w:hAnsi="HelveticaNeueLT Std Lt" w:cs="HelveticaNeueLT Std Lt"/>
      <w:color w:val="000000"/>
      <w:sz w:val="16"/>
      <w:szCs w:val="16"/>
    </w:rPr>
  </w:style>
  <w:style w:type="paragraph" w:styleId="PrformatHTML">
    <w:name w:val="HTML Preformatted"/>
    <w:basedOn w:val="Normal"/>
    <w:link w:val="PrformatHTMLCar"/>
    <w:uiPriority w:val="99"/>
    <w:unhideWhenUsed/>
    <w:rsid w:val="00B15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val="en-US"/>
    </w:rPr>
  </w:style>
  <w:style w:type="character" w:customStyle="1" w:styleId="PrformatHTMLCar">
    <w:name w:val="Préformaté HTML Car"/>
    <w:basedOn w:val="Policepardfaut"/>
    <w:link w:val="PrformatHTML"/>
    <w:uiPriority w:val="99"/>
    <w:rsid w:val="00B150CE"/>
    <w:rPr>
      <w:rFonts w:ascii="Courier New" w:eastAsia="Times New Roman" w:hAnsi="Courier New" w:cs="Courier New"/>
      <w:lang w:val="en-US" w:eastAsia="en-US"/>
    </w:rPr>
  </w:style>
  <w:style w:type="paragraph" w:customStyle="1" w:styleId="DMETW68726BIPFRPlctsFiFR">
    <w:name w:val="DM_ETW_68726_BIP_FR_PlctsFi_FR"/>
    <w:rsid w:val="00B150CE"/>
    <w:rPr>
      <w:rFonts w:ascii="Times New Roman" w:eastAsia="Times New Roman" w:hAnsi="Times New Roman"/>
    </w:rPr>
  </w:style>
  <w:style w:type="paragraph" w:customStyle="1" w:styleId="DMETW68726BIPFRSensisibilitFR">
    <w:name w:val="DM_ETW_68726_BIP_FR_Sensisibilité_FR"/>
    <w:rsid w:val="00B150CE"/>
    <w:rPr>
      <w:rFonts w:ascii="Times New Roman" w:eastAsia="Times New Roman" w:hAnsi="Times New Roman"/>
    </w:rPr>
  </w:style>
  <w:style w:type="paragraph" w:customStyle="1" w:styleId="DMETW68726BIPFRRisqueChangeFR">
    <w:name w:val="DM_ETW_68726_BIP_FR_RisqueChange_FR"/>
    <w:rsid w:val="00B150CE"/>
    <w:rPr>
      <w:rFonts w:ascii="Times New Roman" w:eastAsia="Times New Roman" w:hAnsi="Times New Roman"/>
    </w:rPr>
  </w:style>
  <w:style w:type="paragraph" w:customStyle="1" w:styleId="Textenormal">
    <w:name w:val="Texte normal"/>
    <w:basedOn w:val="Normal"/>
    <w:qFormat/>
    <w:rsid w:val="00B150CE"/>
    <w:pPr>
      <w:overflowPunct w:val="0"/>
      <w:autoSpaceDE w:val="0"/>
      <w:autoSpaceDN w:val="0"/>
      <w:adjustRightInd w:val="0"/>
      <w:spacing w:before="120" w:after="120" w:line="240" w:lineRule="auto"/>
      <w:textAlignment w:val="baseline"/>
    </w:pPr>
    <w:rPr>
      <w:rFonts w:ascii="Arial Narrow" w:eastAsia="Times New Roman" w:hAnsi="Arial Narrow"/>
      <w:iCs/>
      <w:sz w:val="20"/>
      <w:szCs w:val="20"/>
      <w:lang w:eastAsia="fr-FR"/>
    </w:rPr>
  </w:style>
  <w:style w:type="character" w:styleId="Titredulivre">
    <w:name w:val="Book Title"/>
    <w:basedOn w:val="Policepardfaut"/>
    <w:uiPriority w:val="33"/>
    <w:qFormat/>
    <w:rsid w:val="00AD5CAA"/>
    <w:rPr>
      <w:b/>
      <w:bCs/>
      <w:smallCaps/>
      <w:spacing w:val="5"/>
    </w:rPr>
  </w:style>
  <w:style w:type="character" w:customStyle="1" w:styleId="Titre8Car">
    <w:name w:val="Titre 8 Car"/>
    <w:basedOn w:val="Policepardfaut"/>
    <w:link w:val="Titre8"/>
    <w:uiPriority w:val="9"/>
    <w:semiHidden/>
    <w:rsid w:val="00B72A61"/>
    <w:rPr>
      <w:rFonts w:asciiTheme="majorHAnsi" w:eastAsiaTheme="majorEastAsia" w:hAnsiTheme="majorHAnsi" w:cstheme="majorBidi"/>
      <w:color w:val="404040" w:themeColor="text1" w:themeTint="BF"/>
      <w:lang w:eastAsia="en-US"/>
    </w:rPr>
  </w:style>
  <w:style w:type="character" w:customStyle="1" w:styleId="Titre9Car">
    <w:name w:val="Titre 9 Car"/>
    <w:basedOn w:val="Policepardfaut"/>
    <w:link w:val="Titre9"/>
    <w:uiPriority w:val="9"/>
    <w:semiHidden/>
    <w:rsid w:val="00B72A61"/>
    <w:rPr>
      <w:rFonts w:asciiTheme="majorHAnsi" w:eastAsiaTheme="majorEastAsia" w:hAnsiTheme="majorHAnsi" w:cstheme="majorBidi"/>
      <w:i/>
      <w:iCs/>
      <w:color w:val="404040" w:themeColor="text1" w:themeTint="BF"/>
      <w:lang w:eastAsia="en-US"/>
    </w:rPr>
  </w:style>
  <w:style w:type="paragraph" w:customStyle="1" w:styleId="Corpsdetexte211">
    <w:name w:val="Corps de texte 211"/>
    <w:basedOn w:val="Normal"/>
    <w:rsid w:val="00B72A61"/>
    <w:pPr>
      <w:spacing w:after="0" w:line="240" w:lineRule="auto"/>
      <w:ind w:left="142" w:hanging="142"/>
    </w:pPr>
    <w:rPr>
      <w:rFonts w:ascii="Times New Roman" w:eastAsiaTheme="minorHAnsi" w:hAnsi="Times New Roman"/>
      <w:sz w:val="24"/>
      <w:szCs w:val="24"/>
      <w:lang w:eastAsia="fr-FR"/>
    </w:rPr>
  </w:style>
  <w:style w:type="paragraph" w:customStyle="1" w:styleId="textedocumentaire00">
    <w:name w:val="textedocumentaire0"/>
    <w:basedOn w:val="Normal"/>
    <w:rsid w:val="00B72A61"/>
    <w:pPr>
      <w:spacing w:after="0" w:line="240" w:lineRule="auto"/>
      <w:jc w:val="left"/>
    </w:pPr>
    <w:rPr>
      <w:rFonts w:ascii="Arial" w:eastAsiaTheme="minorHAnsi" w:hAnsi="Arial" w:cs="Arial"/>
      <w:sz w:val="18"/>
      <w:szCs w:val="18"/>
      <w:lang w:eastAsia="fr-FR"/>
    </w:rPr>
  </w:style>
  <w:style w:type="character" w:customStyle="1" w:styleId="ms-rtethemeforecolor-5-5">
    <w:name w:val="ms-rtethemeforecolor-5-5"/>
    <w:basedOn w:val="Policepardfaut"/>
    <w:rsid w:val="002A1A57"/>
  </w:style>
  <w:style w:type="paragraph" w:customStyle="1" w:styleId="Pa2">
    <w:name w:val="Pa2"/>
    <w:basedOn w:val="Default"/>
    <w:next w:val="Default"/>
    <w:uiPriority w:val="99"/>
    <w:rsid w:val="000269E2"/>
    <w:pPr>
      <w:spacing w:line="241" w:lineRule="atLeast"/>
    </w:pPr>
    <w:rPr>
      <w:rFonts w:ascii="Eldwin" w:eastAsiaTheme="minorHAnsi" w:hAnsi="Eldwin" w:cstheme="minorBidi"/>
      <w:color w:val="auto"/>
      <w:lang w:eastAsia="en-US"/>
    </w:rPr>
  </w:style>
  <w:style w:type="character" w:customStyle="1" w:styleId="A10">
    <w:name w:val="A10"/>
    <w:uiPriority w:val="99"/>
    <w:rsid w:val="000269E2"/>
    <w:rPr>
      <w:rFonts w:ascii="Webdings" w:hAnsi="Webdings" w:cs="Webdings"/>
      <w:b/>
      <w:bCs/>
      <w:color w:val="000000"/>
      <w:sz w:val="20"/>
      <w:szCs w:val="20"/>
    </w:rPr>
  </w:style>
  <w:style w:type="character" w:customStyle="1" w:styleId="fwb">
    <w:name w:val="fwb"/>
    <w:basedOn w:val="Policepardfaut"/>
    <w:rsid w:val="008C3156"/>
  </w:style>
  <w:style w:type="character" w:customStyle="1" w:styleId="fsm">
    <w:name w:val="fsm"/>
    <w:basedOn w:val="Policepardfaut"/>
    <w:rsid w:val="008C3156"/>
  </w:style>
  <w:style w:type="character" w:customStyle="1" w:styleId="timestampcontent">
    <w:name w:val="timestampcontent"/>
    <w:basedOn w:val="Policepardfaut"/>
    <w:rsid w:val="008C3156"/>
  </w:style>
  <w:style w:type="character" w:customStyle="1" w:styleId="6spk">
    <w:name w:val="_6spk"/>
    <w:basedOn w:val="Policepardfaut"/>
    <w:rsid w:val="008C3156"/>
  </w:style>
  <w:style w:type="character" w:customStyle="1" w:styleId="dixit-entry-author">
    <w:name w:val="dixit-entry-author"/>
    <w:basedOn w:val="Policepardfaut"/>
    <w:rsid w:val="00892DED"/>
  </w:style>
  <w:style w:type="paragraph" w:styleId="Textebrut">
    <w:name w:val="Plain Text"/>
    <w:basedOn w:val="Normal"/>
    <w:link w:val="TextebrutCar"/>
    <w:uiPriority w:val="99"/>
    <w:unhideWhenUsed/>
    <w:rsid w:val="00892DED"/>
    <w:pPr>
      <w:spacing w:after="0" w:line="240" w:lineRule="auto"/>
      <w:jc w:val="left"/>
    </w:pPr>
    <w:rPr>
      <w:rFonts w:eastAsiaTheme="minorHAnsi" w:cs="Calibri"/>
      <w:lang w:eastAsia="fr-FR"/>
    </w:rPr>
  </w:style>
  <w:style w:type="character" w:customStyle="1" w:styleId="TextebrutCar">
    <w:name w:val="Texte brut Car"/>
    <w:basedOn w:val="Policepardfaut"/>
    <w:link w:val="Textebrut"/>
    <w:uiPriority w:val="99"/>
    <w:rsid w:val="00892DED"/>
    <w:rPr>
      <w:rFonts w:eastAsiaTheme="minorHAnsi" w:cs="Calibri"/>
      <w:sz w:val="22"/>
      <w:szCs w:val="22"/>
    </w:rPr>
  </w:style>
  <w:style w:type="character" w:customStyle="1" w:styleId="h1">
    <w:name w:val="h1"/>
    <w:basedOn w:val="Policepardfaut"/>
    <w:rsid w:val="009C76F5"/>
  </w:style>
  <w:style w:type="character" w:customStyle="1" w:styleId="h2">
    <w:name w:val="h2"/>
    <w:basedOn w:val="Policepardfaut"/>
    <w:rsid w:val="009C76F5"/>
  </w:style>
  <w:style w:type="character" w:customStyle="1" w:styleId="h3">
    <w:name w:val="h3"/>
    <w:basedOn w:val="Policepardfaut"/>
    <w:rsid w:val="00C96940"/>
  </w:style>
  <w:style w:type="character" w:customStyle="1" w:styleId="lead">
    <w:name w:val="lead"/>
    <w:basedOn w:val="Policepardfaut"/>
    <w:rsid w:val="00C96940"/>
  </w:style>
  <w:style w:type="paragraph" w:customStyle="1" w:styleId="pushservice-title">
    <w:name w:val="pushservice-title"/>
    <w:basedOn w:val="Normal"/>
    <w:rsid w:val="00C96940"/>
    <w:pPr>
      <w:spacing w:before="100" w:beforeAutospacing="1" w:after="100" w:afterAutospacing="1" w:line="240" w:lineRule="auto"/>
      <w:jc w:val="left"/>
    </w:pPr>
    <w:rPr>
      <w:rFonts w:ascii="Times New Roman" w:eastAsia="Times New Roman" w:hAnsi="Times New Roman"/>
      <w:sz w:val="24"/>
      <w:szCs w:val="24"/>
      <w:lang w:eastAsia="fr-FR"/>
    </w:rPr>
  </w:style>
  <w:style w:type="character" w:customStyle="1" w:styleId="richtext-legal">
    <w:name w:val="richtext-legal"/>
    <w:basedOn w:val="Policepardfaut"/>
    <w:rsid w:val="00C96940"/>
  </w:style>
  <w:style w:type="character" w:customStyle="1" w:styleId="p">
    <w:name w:val="p"/>
    <w:basedOn w:val="Policepardfaut"/>
    <w:rsid w:val="00C96940"/>
  </w:style>
  <w:style w:type="paragraph" w:customStyle="1" w:styleId="xcorpsdetexte211">
    <w:name w:val="x_corpsdetexte211"/>
    <w:basedOn w:val="Normal"/>
    <w:rsid w:val="007C228E"/>
    <w:pPr>
      <w:spacing w:after="0" w:line="240" w:lineRule="auto"/>
      <w:jc w:val="left"/>
    </w:pPr>
    <w:rPr>
      <w:rFonts w:ascii="Times New Roman" w:eastAsiaTheme="minorHAnsi" w:hAnsi="Times New Roman"/>
      <w:sz w:val="24"/>
      <w:szCs w:val="24"/>
      <w:lang w:eastAsia="fr-FR"/>
    </w:rPr>
  </w:style>
  <w:style w:type="paragraph" w:customStyle="1" w:styleId="ml-credit-p">
    <w:name w:val="ml-credit-p"/>
    <w:basedOn w:val="Normal"/>
    <w:rsid w:val="009E54D2"/>
    <w:pPr>
      <w:spacing w:before="100" w:beforeAutospacing="1" w:after="100" w:afterAutospacing="1" w:line="240" w:lineRule="auto"/>
      <w:jc w:val="left"/>
    </w:pPr>
    <w:rPr>
      <w:rFonts w:ascii="Times New Roman" w:eastAsia="Times New Roman" w:hAnsi="Times New Roman"/>
      <w:sz w:val="24"/>
      <w:szCs w:val="24"/>
      <w:lang w:eastAsia="fr-FR"/>
    </w:rPr>
  </w:style>
  <w:style w:type="character" w:customStyle="1" w:styleId="richtext-chapeau">
    <w:name w:val="richtext-chapeau"/>
    <w:basedOn w:val="Policepardfaut"/>
    <w:rsid w:val="00007A6E"/>
  </w:style>
  <w:style w:type="character" w:customStyle="1" w:styleId="ms-rtethemeforecolor-2-0">
    <w:name w:val="ms-rtethemeforecolor-2-0"/>
    <w:basedOn w:val="Policepardfaut"/>
    <w:rsid w:val="00434F35"/>
  </w:style>
  <w:style w:type="paragraph" w:customStyle="1" w:styleId="my-3">
    <w:name w:val="my-3"/>
    <w:basedOn w:val="Normal"/>
    <w:rsid w:val="003B6DB3"/>
    <w:pPr>
      <w:spacing w:before="100" w:beforeAutospacing="1" w:after="100" w:afterAutospacing="1" w:line="240" w:lineRule="auto"/>
      <w:jc w:val="left"/>
    </w:pPr>
    <w:rPr>
      <w:rFonts w:ascii="Times New Roman" w:eastAsia="Times New Roman" w:hAnsi="Times New Roman"/>
      <w:sz w:val="24"/>
      <w:szCs w:val="24"/>
      <w:lang w:eastAsia="fr-FR"/>
    </w:rPr>
  </w:style>
  <w:style w:type="paragraph" w:customStyle="1" w:styleId="muitypography-root-498">
    <w:name w:val="muitypography-root-498"/>
    <w:basedOn w:val="Normal"/>
    <w:rsid w:val="00237116"/>
    <w:pPr>
      <w:spacing w:before="100" w:beforeAutospacing="1" w:after="100" w:afterAutospacing="1" w:line="240" w:lineRule="auto"/>
      <w:jc w:val="left"/>
    </w:pPr>
    <w:rPr>
      <w:rFonts w:ascii="Times New Roman" w:eastAsia="Times New Roman" w:hAnsi="Times New Roman"/>
      <w:sz w:val="24"/>
      <w:szCs w:val="24"/>
      <w:lang w:eastAsia="fr-FR"/>
    </w:rPr>
  </w:style>
  <w:style w:type="paragraph" w:customStyle="1" w:styleId="TexteTextes">
    <w:name w:val="Texte (Textes)"/>
    <w:basedOn w:val="Normal"/>
    <w:link w:val="TexteTextesCar"/>
    <w:uiPriority w:val="99"/>
    <w:rsid w:val="00DF00B4"/>
    <w:pPr>
      <w:widowControl w:val="0"/>
      <w:suppressAutoHyphens/>
      <w:autoSpaceDE w:val="0"/>
      <w:autoSpaceDN w:val="0"/>
      <w:adjustRightInd w:val="0"/>
      <w:spacing w:after="57" w:line="210" w:lineRule="atLeast"/>
      <w:textAlignment w:val="center"/>
    </w:pPr>
    <w:rPr>
      <w:rFonts w:ascii="HelveticaNeueLT Std Cn" w:eastAsiaTheme="minorEastAsia" w:hAnsi="HelveticaNeueLT Std Cn" w:cs="HelveticaNeueLT Std Cn"/>
      <w:color w:val="000000"/>
      <w:spacing w:val="-3"/>
      <w:sz w:val="18"/>
      <w:szCs w:val="18"/>
      <w:lang w:eastAsia="fr-FR"/>
    </w:rPr>
  </w:style>
  <w:style w:type="character" w:customStyle="1" w:styleId="TexteTextesCar">
    <w:name w:val="Texte (Textes) Car"/>
    <w:basedOn w:val="Policepardfaut"/>
    <w:link w:val="TexteTextes"/>
    <w:uiPriority w:val="99"/>
    <w:rsid w:val="00DF00B4"/>
    <w:rPr>
      <w:rFonts w:ascii="HelveticaNeueLT Std Cn" w:eastAsiaTheme="minorEastAsia" w:hAnsi="HelveticaNeueLT Std Cn" w:cs="HelveticaNeueLT Std Cn"/>
      <w:color w:val="000000"/>
      <w:spacing w:val="-3"/>
      <w:sz w:val="18"/>
      <w:szCs w:val="18"/>
    </w:rPr>
  </w:style>
  <w:style w:type="character" w:customStyle="1" w:styleId="indicateur-langue">
    <w:name w:val="indicateur-langue"/>
    <w:basedOn w:val="Policepardfaut"/>
    <w:rsid w:val="002F3C7E"/>
  </w:style>
  <w:style w:type="character" w:customStyle="1" w:styleId="bidi">
    <w:name w:val="bidi"/>
    <w:basedOn w:val="Policepardfaut"/>
    <w:rsid w:val="007515C5"/>
  </w:style>
  <w:style w:type="character" w:customStyle="1" w:styleId="rpk1">
    <w:name w:val="_rp_k1"/>
    <w:basedOn w:val="Policepardfaut"/>
    <w:rsid w:val="007515C5"/>
  </w:style>
  <w:style w:type="character" w:customStyle="1" w:styleId="rpu1">
    <w:name w:val="_rp_u1"/>
    <w:basedOn w:val="Policepardfaut"/>
    <w:rsid w:val="007515C5"/>
  </w:style>
  <w:style w:type="character" w:customStyle="1" w:styleId="allowtextselection">
    <w:name w:val="allowtextselection"/>
    <w:basedOn w:val="Policepardfaut"/>
    <w:rsid w:val="007515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37649">
      <w:bodyDiv w:val="1"/>
      <w:marLeft w:val="0"/>
      <w:marRight w:val="0"/>
      <w:marTop w:val="0"/>
      <w:marBottom w:val="0"/>
      <w:divBdr>
        <w:top w:val="none" w:sz="0" w:space="0" w:color="auto"/>
        <w:left w:val="none" w:sz="0" w:space="0" w:color="auto"/>
        <w:bottom w:val="none" w:sz="0" w:space="0" w:color="auto"/>
        <w:right w:val="none" w:sz="0" w:space="0" w:color="auto"/>
      </w:divBdr>
    </w:div>
    <w:div w:id="22825614">
      <w:bodyDiv w:val="1"/>
      <w:marLeft w:val="0"/>
      <w:marRight w:val="0"/>
      <w:marTop w:val="0"/>
      <w:marBottom w:val="0"/>
      <w:divBdr>
        <w:top w:val="none" w:sz="0" w:space="0" w:color="auto"/>
        <w:left w:val="none" w:sz="0" w:space="0" w:color="auto"/>
        <w:bottom w:val="none" w:sz="0" w:space="0" w:color="auto"/>
        <w:right w:val="none" w:sz="0" w:space="0" w:color="auto"/>
      </w:divBdr>
    </w:div>
    <w:div w:id="32925976">
      <w:bodyDiv w:val="1"/>
      <w:marLeft w:val="0"/>
      <w:marRight w:val="0"/>
      <w:marTop w:val="0"/>
      <w:marBottom w:val="0"/>
      <w:divBdr>
        <w:top w:val="none" w:sz="0" w:space="0" w:color="auto"/>
        <w:left w:val="none" w:sz="0" w:space="0" w:color="auto"/>
        <w:bottom w:val="none" w:sz="0" w:space="0" w:color="auto"/>
        <w:right w:val="none" w:sz="0" w:space="0" w:color="auto"/>
      </w:divBdr>
    </w:div>
    <w:div w:id="41222366">
      <w:bodyDiv w:val="1"/>
      <w:marLeft w:val="0"/>
      <w:marRight w:val="0"/>
      <w:marTop w:val="0"/>
      <w:marBottom w:val="0"/>
      <w:divBdr>
        <w:top w:val="none" w:sz="0" w:space="0" w:color="auto"/>
        <w:left w:val="none" w:sz="0" w:space="0" w:color="auto"/>
        <w:bottom w:val="none" w:sz="0" w:space="0" w:color="auto"/>
        <w:right w:val="none" w:sz="0" w:space="0" w:color="auto"/>
      </w:divBdr>
      <w:divsChild>
        <w:div w:id="69036391">
          <w:marLeft w:val="0"/>
          <w:marRight w:val="0"/>
          <w:marTop w:val="0"/>
          <w:marBottom w:val="180"/>
          <w:divBdr>
            <w:top w:val="none" w:sz="0" w:space="0" w:color="auto"/>
            <w:left w:val="none" w:sz="0" w:space="0" w:color="auto"/>
            <w:bottom w:val="none" w:sz="0" w:space="0" w:color="auto"/>
            <w:right w:val="none" w:sz="0" w:space="0" w:color="auto"/>
          </w:divBdr>
        </w:div>
        <w:div w:id="1655064648">
          <w:marLeft w:val="0"/>
          <w:marRight w:val="0"/>
          <w:marTop w:val="0"/>
          <w:marBottom w:val="0"/>
          <w:divBdr>
            <w:top w:val="single" w:sz="2" w:space="14" w:color="E7E7E7"/>
            <w:left w:val="single" w:sz="6" w:space="9" w:color="E7E7E7"/>
            <w:bottom w:val="single" w:sz="6" w:space="9" w:color="E7E7E7"/>
            <w:right w:val="single" w:sz="6" w:space="9" w:color="E7E7E7"/>
          </w:divBdr>
          <w:divsChild>
            <w:div w:id="2064060992">
              <w:marLeft w:val="0"/>
              <w:marRight w:val="225"/>
              <w:marTop w:val="0"/>
              <w:marBottom w:val="105"/>
              <w:divBdr>
                <w:top w:val="none" w:sz="0" w:space="0" w:color="auto"/>
                <w:left w:val="none" w:sz="0" w:space="0" w:color="auto"/>
                <w:bottom w:val="none" w:sz="0" w:space="0" w:color="auto"/>
                <w:right w:val="none" w:sz="0" w:space="0" w:color="auto"/>
              </w:divBdr>
              <w:divsChild>
                <w:div w:id="1170028498">
                  <w:marLeft w:val="0"/>
                  <w:marRight w:val="0"/>
                  <w:marTop w:val="0"/>
                  <w:marBottom w:val="0"/>
                  <w:divBdr>
                    <w:top w:val="none" w:sz="0" w:space="0" w:color="auto"/>
                    <w:left w:val="none" w:sz="0" w:space="0" w:color="auto"/>
                    <w:bottom w:val="none" w:sz="0" w:space="0" w:color="auto"/>
                    <w:right w:val="none" w:sz="0" w:space="0" w:color="auto"/>
                  </w:divBdr>
                  <w:divsChild>
                    <w:div w:id="123308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723058">
              <w:marLeft w:val="0"/>
              <w:marRight w:val="0"/>
              <w:marTop w:val="0"/>
              <w:marBottom w:val="30"/>
              <w:divBdr>
                <w:top w:val="none" w:sz="0" w:space="0" w:color="auto"/>
                <w:left w:val="none" w:sz="0" w:space="0" w:color="auto"/>
                <w:bottom w:val="none" w:sz="0" w:space="0" w:color="auto"/>
                <w:right w:val="none" w:sz="0" w:space="0" w:color="auto"/>
              </w:divBdr>
            </w:div>
            <w:div w:id="2106218511">
              <w:marLeft w:val="0"/>
              <w:marRight w:val="0"/>
              <w:marTop w:val="0"/>
              <w:marBottom w:val="0"/>
              <w:divBdr>
                <w:top w:val="none" w:sz="0" w:space="0" w:color="auto"/>
                <w:left w:val="none" w:sz="0" w:space="0" w:color="auto"/>
                <w:bottom w:val="none" w:sz="0" w:space="0" w:color="auto"/>
                <w:right w:val="none" w:sz="0" w:space="0" w:color="auto"/>
              </w:divBdr>
            </w:div>
            <w:div w:id="1169439927">
              <w:marLeft w:val="0"/>
              <w:marRight w:val="0"/>
              <w:marTop w:val="150"/>
              <w:marBottom w:val="300"/>
              <w:divBdr>
                <w:top w:val="none" w:sz="0" w:space="0" w:color="auto"/>
                <w:left w:val="none" w:sz="0" w:space="0" w:color="auto"/>
                <w:bottom w:val="none" w:sz="0" w:space="0" w:color="auto"/>
                <w:right w:val="none" w:sz="0" w:space="0" w:color="auto"/>
              </w:divBdr>
              <w:divsChild>
                <w:div w:id="149156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56220">
      <w:bodyDiv w:val="1"/>
      <w:marLeft w:val="0"/>
      <w:marRight w:val="0"/>
      <w:marTop w:val="0"/>
      <w:marBottom w:val="0"/>
      <w:divBdr>
        <w:top w:val="none" w:sz="0" w:space="0" w:color="auto"/>
        <w:left w:val="none" w:sz="0" w:space="0" w:color="auto"/>
        <w:bottom w:val="none" w:sz="0" w:space="0" w:color="auto"/>
        <w:right w:val="none" w:sz="0" w:space="0" w:color="auto"/>
      </w:divBdr>
    </w:div>
    <w:div w:id="60756905">
      <w:bodyDiv w:val="1"/>
      <w:marLeft w:val="0"/>
      <w:marRight w:val="0"/>
      <w:marTop w:val="0"/>
      <w:marBottom w:val="0"/>
      <w:divBdr>
        <w:top w:val="none" w:sz="0" w:space="0" w:color="auto"/>
        <w:left w:val="none" w:sz="0" w:space="0" w:color="auto"/>
        <w:bottom w:val="none" w:sz="0" w:space="0" w:color="auto"/>
        <w:right w:val="none" w:sz="0" w:space="0" w:color="auto"/>
      </w:divBdr>
    </w:div>
    <w:div w:id="62727511">
      <w:bodyDiv w:val="1"/>
      <w:marLeft w:val="0"/>
      <w:marRight w:val="0"/>
      <w:marTop w:val="0"/>
      <w:marBottom w:val="0"/>
      <w:divBdr>
        <w:top w:val="none" w:sz="0" w:space="0" w:color="auto"/>
        <w:left w:val="none" w:sz="0" w:space="0" w:color="auto"/>
        <w:bottom w:val="none" w:sz="0" w:space="0" w:color="auto"/>
        <w:right w:val="none" w:sz="0" w:space="0" w:color="auto"/>
      </w:divBdr>
    </w:div>
    <w:div w:id="65610865">
      <w:bodyDiv w:val="1"/>
      <w:marLeft w:val="0"/>
      <w:marRight w:val="0"/>
      <w:marTop w:val="0"/>
      <w:marBottom w:val="0"/>
      <w:divBdr>
        <w:top w:val="none" w:sz="0" w:space="0" w:color="auto"/>
        <w:left w:val="none" w:sz="0" w:space="0" w:color="auto"/>
        <w:bottom w:val="none" w:sz="0" w:space="0" w:color="auto"/>
        <w:right w:val="none" w:sz="0" w:space="0" w:color="auto"/>
      </w:divBdr>
    </w:div>
    <w:div w:id="84543287">
      <w:bodyDiv w:val="1"/>
      <w:marLeft w:val="0"/>
      <w:marRight w:val="0"/>
      <w:marTop w:val="0"/>
      <w:marBottom w:val="0"/>
      <w:divBdr>
        <w:top w:val="none" w:sz="0" w:space="0" w:color="auto"/>
        <w:left w:val="none" w:sz="0" w:space="0" w:color="auto"/>
        <w:bottom w:val="none" w:sz="0" w:space="0" w:color="auto"/>
        <w:right w:val="none" w:sz="0" w:space="0" w:color="auto"/>
      </w:divBdr>
    </w:div>
    <w:div w:id="98261401">
      <w:bodyDiv w:val="1"/>
      <w:marLeft w:val="0"/>
      <w:marRight w:val="0"/>
      <w:marTop w:val="0"/>
      <w:marBottom w:val="0"/>
      <w:divBdr>
        <w:top w:val="none" w:sz="0" w:space="0" w:color="auto"/>
        <w:left w:val="none" w:sz="0" w:space="0" w:color="auto"/>
        <w:bottom w:val="none" w:sz="0" w:space="0" w:color="auto"/>
        <w:right w:val="none" w:sz="0" w:space="0" w:color="auto"/>
      </w:divBdr>
    </w:div>
    <w:div w:id="106970092">
      <w:bodyDiv w:val="1"/>
      <w:marLeft w:val="0"/>
      <w:marRight w:val="0"/>
      <w:marTop w:val="0"/>
      <w:marBottom w:val="0"/>
      <w:divBdr>
        <w:top w:val="none" w:sz="0" w:space="0" w:color="auto"/>
        <w:left w:val="none" w:sz="0" w:space="0" w:color="auto"/>
        <w:bottom w:val="none" w:sz="0" w:space="0" w:color="auto"/>
        <w:right w:val="none" w:sz="0" w:space="0" w:color="auto"/>
      </w:divBdr>
    </w:div>
    <w:div w:id="108202330">
      <w:bodyDiv w:val="1"/>
      <w:marLeft w:val="0"/>
      <w:marRight w:val="0"/>
      <w:marTop w:val="0"/>
      <w:marBottom w:val="0"/>
      <w:divBdr>
        <w:top w:val="none" w:sz="0" w:space="0" w:color="auto"/>
        <w:left w:val="none" w:sz="0" w:space="0" w:color="auto"/>
        <w:bottom w:val="none" w:sz="0" w:space="0" w:color="auto"/>
        <w:right w:val="none" w:sz="0" w:space="0" w:color="auto"/>
      </w:divBdr>
    </w:div>
    <w:div w:id="129515018">
      <w:bodyDiv w:val="1"/>
      <w:marLeft w:val="0"/>
      <w:marRight w:val="0"/>
      <w:marTop w:val="0"/>
      <w:marBottom w:val="0"/>
      <w:divBdr>
        <w:top w:val="none" w:sz="0" w:space="0" w:color="auto"/>
        <w:left w:val="none" w:sz="0" w:space="0" w:color="auto"/>
        <w:bottom w:val="none" w:sz="0" w:space="0" w:color="auto"/>
        <w:right w:val="none" w:sz="0" w:space="0" w:color="auto"/>
      </w:divBdr>
    </w:div>
    <w:div w:id="141388586">
      <w:bodyDiv w:val="1"/>
      <w:marLeft w:val="0"/>
      <w:marRight w:val="0"/>
      <w:marTop w:val="0"/>
      <w:marBottom w:val="0"/>
      <w:divBdr>
        <w:top w:val="none" w:sz="0" w:space="0" w:color="auto"/>
        <w:left w:val="none" w:sz="0" w:space="0" w:color="auto"/>
        <w:bottom w:val="none" w:sz="0" w:space="0" w:color="auto"/>
        <w:right w:val="none" w:sz="0" w:space="0" w:color="auto"/>
      </w:divBdr>
    </w:div>
    <w:div w:id="145128794">
      <w:bodyDiv w:val="1"/>
      <w:marLeft w:val="0"/>
      <w:marRight w:val="0"/>
      <w:marTop w:val="0"/>
      <w:marBottom w:val="0"/>
      <w:divBdr>
        <w:top w:val="none" w:sz="0" w:space="0" w:color="auto"/>
        <w:left w:val="none" w:sz="0" w:space="0" w:color="auto"/>
        <w:bottom w:val="none" w:sz="0" w:space="0" w:color="auto"/>
        <w:right w:val="none" w:sz="0" w:space="0" w:color="auto"/>
      </w:divBdr>
      <w:divsChild>
        <w:div w:id="177280381">
          <w:marLeft w:val="547"/>
          <w:marRight w:val="0"/>
          <w:marTop w:val="48"/>
          <w:marBottom w:val="0"/>
          <w:divBdr>
            <w:top w:val="none" w:sz="0" w:space="0" w:color="auto"/>
            <w:left w:val="none" w:sz="0" w:space="0" w:color="auto"/>
            <w:bottom w:val="none" w:sz="0" w:space="0" w:color="auto"/>
            <w:right w:val="none" w:sz="0" w:space="0" w:color="auto"/>
          </w:divBdr>
        </w:div>
        <w:div w:id="1796871518">
          <w:marLeft w:val="547"/>
          <w:marRight w:val="0"/>
          <w:marTop w:val="48"/>
          <w:marBottom w:val="0"/>
          <w:divBdr>
            <w:top w:val="none" w:sz="0" w:space="0" w:color="auto"/>
            <w:left w:val="none" w:sz="0" w:space="0" w:color="auto"/>
            <w:bottom w:val="none" w:sz="0" w:space="0" w:color="auto"/>
            <w:right w:val="none" w:sz="0" w:space="0" w:color="auto"/>
          </w:divBdr>
        </w:div>
        <w:div w:id="1156384376">
          <w:marLeft w:val="547"/>
          <w:marRight w:val="0"/>
          <w:marTop w:val="48"/>
          <w:marBottom w:val="0"/>
          <w:divBdr>
            <w:top w:val="none" w:sz="0" w:space="0" w:color="auto"/>
            <w:left w:val="none" w:sz="0" w:space="0" w:color="auto"/>
            <w:bottom w:val="none" w:sz="0" w:space="0" w:color="auto"/>
            <w:right w:val="none" w:sz="0" w:space="0" w:color="auto"/>
          </w:divBdr>
        </w:div>
        <w:div w:id="1066689260">
          <w:marLeft w:val="547"/>
          <w:marRight w:val="0"/>
          <w:marTop w:val="48"/>
          <w:marBottom w:val="0"/>
          <w:divBdr>
            <w:top w:val="none" w:sz="0" w:space="0" w:color="auto"/>
            <w:left w:val="none" w:sz="0" w:space="0" w:color="auto"/>
            <w:bottom w:val="none" w:sz="0" w:space="0" w:color="auto"/>
            <w:right w:val="none" w:sz="0" w:space="0" w:color="auto"/>
          </w:divBdr>
        </w:div>
        <w:div w:id="683241438">
          <w:marLeft w:val="547"/>
          <w:marRight w:val="0"/>
          <w:marTop w:val="48"/>
          <w:marBottom w:val="0"/>
          <w:divBdr>
            <w:top w:val="none" w:sz="0" w:space="0" w:color="auto"/>
            <w:left w:val="none" w:sz="0" w:space="0" w:color="auto"/>
            <w:bottom w:val="none" w:sz="0" w:space="0" w:color="auto"/>
            <w:right w:val="none" w:sz="0" w:space="0" w:color="auto"/>
          </w:divBdr>
        </w:div>
        <w:div w:id="1556773896">
          <w:marLeft w:val="547"/>
          <w:marRight w:val="0"/>
          <w:marTop w:val="48"/>
          <w:marBottom w:val="0"/>
          <w:divBdr>
            <w:top w:val="none" w:sz="0" w:space="0" w:color="auto"/>
            <w:left w:val="none" w:sz="0" w:space="0" w:color="auto"/>
            <w:bottom w:val="none" w:sz="0" w:space="0" w:color="auto"/>
            <w:right w:val="none" w:sz="0" w:space="0" w:color="auto"/>
          </w:divBdr>
        </w:div>
        <w:div w:id="889267404">
          <w:marLeft w:val="547"/>
          <w:marRight w:val="0"/>
          <w:marTop w:val="48"/>
          <w:marBottom w:val="0"/>
          <w:divBdr>
            <w:top w:val="none" w:sz="0" w:space="0" w:color="auto"/>
            <w:left w:val="none" w:sz="0" w:space="0" w:color="auto"/>
            <w:bottom w:val="none" w:sz="0" w:space="0" w:color="auto"/>
            <w:right w:val="none" w:sz="0" w:space="0" w:color="auto"/>
          </w:divBdr>
        </w:div>
        <w:div w:id="837115979">
          <w:marLeft w:val="547"/>
          <w:marRight w:val="0"/>
          <w:marTop w:val="48"/>
          <w:marBottom w:val="0"/>
          <w:divBdr>
            <w:top w:val="none" w:sz="0" w:space="0" w:color="auto"/>
            <w:left w:val="none" w:sz="0" w:space="0" w:color="auto"/>
            <w:bottom w:val="none" w:sz="0" w:space="0" w:color="auto"/>
            <w:right w:val="none" w:sz="0" w:space="0" w:color="auto"/>
          </w:divBdr>
        </w:div>
        <w:div w:id="1429616964">
          <w:marLeft w:val="547"/>
          <w:marRight w:val="0"/>
          <w:marTop w:val="48"/>
          <w:marBottom w:val="0"/>
          <w:divBdr>
            <w:top w:val="none" w:sz="0" w:space="0" w:color="auto"/>
            <w:left w:val="none" w:sz="0" w:space="0" w:color="auto"/>
            <w:bottom w:val="none" w:sz="0" w:space="0" w:color="auto"/>
            <w:right w:val="none" w:sz="0" w:space="0" w:color="auto"/>
          </w:divBdr>
        </w:div>
      </w:divsChild>
    </w:div>
    <w:div w:id="148522352">
      <w:bodyDiv w:val="1"/>
      <w:marLeft w:val="0"/>
      <w:marRight w:val="0"/>
      <w:marTop w:val="0"/>
      <w:marBottom w:val="0"/>
      <w:divBdr>
        <w:top w:val="none" w:sz="0" w:space="0" w:color="auto"/>
        <w:left w:val="none" w:sz="0" w:space="0" w:color="auto"/>
        <w:bottom w:val="none" w:sz="0" w:space="0" w:color="auto"/>
        <w:right w:val="none" w:sz="0" w:space="0" w:color="auto"/>
      </w:divBdr>
    </w:div>
    <w:div w:id="151873999">
      <w:bodyDiv w:val="1"/>
      <w:marLeft w:val="0"/>
      <w:marRight w:val="0"/>
      <w:marTop w:val="0"/>
      <w:marBottom w:val="0"/>
      <w:divBdr>
        <w:top w:val="none" w:sz="0" w:space="0" w:color="auto"/>
        <w:left w:val="none" w:sz="0" w:space="0" w:color="auto"/>
        <w:bottom w:val="none" w:sz="0" w:space="0" w:color="auto"/>
        <w:right w:val="none" w:sz="0" w:space="0" w:color="auto"/>
      </w:divBdr>
      <w:divsChild>
        <w:div w:id="1998263391">
          <w:marLeft w:val="0"/>
          <w:marRight w:val="0"/>
          <w:marTop w:val="0"/>
          <w:marBottom w:val="0"/>
          <w:divBdr>
            <w:top w:val="none" w:sz="0" w:space="0" w:color="auto"/>
            <w:left w:val="none" w:sz="0" w:space="0" w:color="auto"/>
            <w:bottom w:val="none" w:sz="0" w:space="0" w:color="auto"/>
            <w:right w:val="none" w:sz="0" w:space="0" w:color="auto"/>
          </w:divBdr>
        </w:div>
      </w:divsChild>
    </w:div>
    <w:div w:id="166140300">
      <w:bodyDiv w:val="1"/>
      <w:marLeft w:val="0"/>
      <w:marRight w:val="0"/>
      <w:marTop w:val="0"/>
      <w:marBottom w:val="0"/>
      <w:divBdr>
        <w:top w:val="none" w:sz="0" w:space="0" w:color="auto"/>
        <w:left w:val="none" w:sz="0" w:space="0" w:color="auto"/>
        <w:bottom w:val="none" w:sz="0" w:space="0" w:color="auto"/>
        <w:right w:val="none" w:sz="0" w:space="0" w:color="auto"/>
      </w:divBdr>
    </w:div>
    <w:div w:id="174343024">
      <w:bodyDiv w:val="1"/>
      <w:marLeft w:val="0"/>
      <w:marRight w:val="0"/>
      <w:marTop w:val="0"/>
      <w:marBottom w:val="0"/>
      <w:divBdr>
        <w:top w:val="none" w:sz="0" w:space="0" w:color="auto"/>
        <w:left w:val="none" w:sz="0" w:space="0" w:color="auto"/>
        <w:bottom w:val="none" w:sz="0" w:space="0" w:color="auto"/>
        <w:right w:val="none" w:sz="0" w:space="0" w:color="auto"/>
      </w:divBdr>
    </w:div>
    <w:div w:id="187790748">
      <w:bodyDiv w:val="1"/>
      <w:marLeft w:val="0"/>
      <w:marRight w:val="0"/>
      <w:marTop w:val="0"/>
      <w:marBottom w:val="0"/>
      <w:divBdr>
        <w:top w:val="none" w:sz="0" w:space="0" w:color="auto"/>
        <w:left w:val="none" w:sz="0" w:space="0" w:color="auto"/>
        <w:bottom w:val="none" w:sz="0" w:space="0" w:color="auto"/>
        <w:right w:val="none" w:sz="0" w:space="0" w:color="auto"/>
      </w:divBdr>
    </w:div>
    <w:div w:id="188616180">
      <w:bodyDiv w:val="1"/>
      <w:marLeft w:val="0"/>
      <w:marRight w:val="0"/>
      <w:marTop w:val="0"/>
      <w:marBottom w:val="0"/>
      <w:divBdr>
        <w:top w:val="none" w:sz="0" w:space="0" w:color="auto"/>
        <w:left w:val="none" w:sz="0" w:space="0" w:color="auto"/>
        <w:bottom w:val="none" w:sz="0" w:space="0" w:color="auto"/>
        <w:right w:val="none" w:sz="0" w:space="0" w:color="auto"/>
      </w:divBdr>
    </w:div>
    <w:div w:id="189882450">
      <w:bodyDiv w:val="1"/>
      <w:marLeft w:val="0"/>
      <w:marRight w:val="0"/>
      <w:marTop w:val="0"/>
      <w:marBottom w:val="0"/>
      <w:divBdr>
        <w:top w:val="none" w:sz="0" w:space="0" w:color="auto"/>
        <w:left w:val="none" w:sz="0" w:space="0" w:color="auto"/>
        <w:bottom w:val="none" w:sz="0" w:space="0" w:color="auto"/>
        <w:right w:val="none" w:sz="0" w:space="0" w:color="auto"/>
      </w:divBdr>
    </w:div>
    <w:div w:id="193811677">
      <w:bodyDiv w:val="1"/>
      <w:marLeft w:val="0"/>
      <w:marRight w:val="0"/>
      <w:marTop w:val="0"/>
      <w:marBottom w:val="0"/>
      <w:divBdr>
        <w:top w:val="none" w:sz="0" w:space="0" w:color="auto"/>
        <w:left w:val="none" w:sz="0" w:space="0" w:color="auto"/>
        <w:bottom w:val="none" w:sz="0" w:space="0" w:color="auto"/>
        <w:right w:val="none" w:sz="0" w:space="0" w:color="auto"/>
      </w:divBdr>
      <w:divsChild>
        <w:div w:id="590043349">
          <w:marLeft w:val="0"/>
          <w:marRight w:val="0"/>
          <w:marTop w:val="0"/>
          <w:marBottom w:val="0"/>
          <w:divBdr>
            <w:top w:val="none" w:sz="0" w:space="0" w:color="auto"/>
            <w:left w:val="none" w:sz="0" w:space="0" w:color="auto"/>
            <w:bottom w:val="none" w:sz="0" w:space="0" w:color="auto"/>
            <w:right w:val="none" w:sz="0" w:space="0" w:color="auto"/>
          </w:divBdr>
        </w:div>
        <w:div w:id="2140151280">
          <w:marLeft w:val="0"/>
          <w:marRight w:val="0"/>
          <w:marTop w:val="0"/>
          <w:marBottom w:val="0"/>
          <w:divBdr>
            <w:top w:val="none" w:sz="0" w:space="0" w:color="auto"/>
            <w:left w:val="none" w:sz="0" w:space="0" w:color="auto"/>
            <w:bottom w:val="none" w:sz="0" w:space="0" w:color="auto"/>
            <w:right w:val="none" w:sz="0" w:space="0" w:color="auto"/>
          </w:divBdr>
        </w:div>
        <w:div w:id="408117610">
          <w:marLeft w:val="0"/>
          <w:marRight w:val="0"/>
          <w:marTop w:val="0"/>
          <w:marBottom w:val="0"/>
          <w:divBdr>
            <w:top w:val="none" w:sz="0" w:space="0" w:color="auto"/>
            <w:left w:val="none" w:sz="0" w:space="0" w:color="auto"/>
            <w:bottom w:val="none" w:sz="0" w:space="0" w:color="auto"/>
            <w:right w:val="none" w:sz="0" w:space="0" w:color="auto"/>
          </w:divBdr>
        </w:div>
        <w:div w:id="883443003">
          <w:marLeft w:val="0"/>
          <w:marRight w:val="0"/>
          <w:marTop w:val="0"/>
          <w:marBottom w:val="0"/>
          <w:divBdr>
            <w:top w:val="none" w:sz="0" w:space="0" w:color="auto"/>
            <w:left w:val="none" w:sz="0" w:space="0" w:color="auto"/>
            <w:bottom w:val="none" w:sz="0" w:space="0" w:color="auto"/>
            <w:right w:val="none" w:sz="0" w:space="0" w:color="auto"/>
          </w:divBdr>
        </w:div>
      </w:divsChild>
    </w:div>
    <w:div w:id="194270107">
      <w:bodyDiv w:val="1"/>
      <w:marLeft w:val="0"/>
      <w:marRight w:val="0"/>
      <w:marTop w:val="0"/>
      <w:marBottom w:val="0"/>
      <w:divBdr>
        <w:top w:val="none" w:sz="0" w:space="0" w:color="auto"/>
        <w:left w:val="none" w:sz="0" w:space="0" w:color="auto"/>
        <w:bottom w:val="none" w:sz="0" w:space="0" w:color="auto"/>
        <w:right w:val="none" w:sz="0" w:space="0" w:color="auto"/>
      </w:divBdr>
      <w:divsChild>
        <w:div w:id="997879399">
          <w:marLeft w:val="446"/>
          <w:marRight w:val="0"/>
          <w:marTop w:val="0"/>
          <w:marBottom w:val="0"/>
          <w:divBdr>
            <w:top w:val="none" w:sz="0" w:space="0" w:color="auto"/>
            <w:left w:val="none" w:sz="0" w:space="0" w:color="auto"/>
            <w:bottom w:val="none" w:sz="0" w:space="0" w:color="auto"/>
            <w:right w:val="none" w:sz="0" w:space="0" w:color="auto"/>
          </w:divBdr>
        </w:div>
        <w:div w:id="429391919">
          <w:marLeft w:val="446"/>
          <w:marRight w:val="0"/>
          <w:marTop w:val="0"/>
          <w:marBottom w:val="0"/>
          <w:divBdr>
            <w:top w:val="none" w:sz="0" w:space="0" w:color="auto"/>
            <w:left w:val="none" w:sz="0" w:space="0" w:color="auto"/>
            <w:bottom w:val="none" w:sz="0" w:space="0" w:color="auto"/>
            <w:right w:val="none" w:sz="0" w:space="0" w:color="auto"/>
          </w:divBdr>
        </w:div>
        <w:div w:id="1892767026">
          <w:marLeft w:val="446"/>
          <w:marRight w:val="0"/>
          <w:marTop w:val="0"/>
          <w:marBottom w:val="0"/>
          <w:divBdr>
            <w:top w:val="none" w:sz="0" w:space="0" w:color="auto"/>
            <w:left w:val="none" w:sz="0" w:space="0" w:color="auto"/>
            <w:bottom w:val="none" w:sz="0" w:space="0" w:color="auto"/>
            <w:right w:val="none" w:sz="0" w:space="0" w:color="auto"/>
          </w:divBdr>
        </w:div>
      </w:divsChild>
    </w:div>
    <w:div w:id="217712051">
      <w:bodyDiv w:val="1"/>
      <w:marLeft w:val="0"/>
      <w:marRight w:val="0"/>
      <w:marTop w:val="0"/>
      <w:marBottom w:val="0"/>
      <w:divBdr>
        <w:top w:val="none" w:sz="0" w:space="0" w:color="auto"/>
        <w:left w:val="none" w:sz="0" w:space="0" w:color="auto"/>
        <w:bottom w:val="none" w:sz="0" w:space="0" w:color="auto"/>
        <w:right w:val="none" w:sz="0" w:space="0" w:color="auto"/>
      </w:divBdr>
    </w:div>
    <w:div w:id="220488382">
      <w:bodyDiv w:val="1"/>
      <w:marLeft w:val="0"/>
      <w:marRight w:val="0"/>
      <w:marTop w:val="0"/>
      <w:marBottom w:val="0"/>
      <w:divBdr>
        <w:top w:val="none" w:sz="0" w:space="0" w:color="auto"/>
        <w:left w:val="none" w:sz="0" w:space="0" w:color="auto"/>
        <w:bottom w:val="none" w:sz="0" w:space="0" w:color="auto"/>
        <w:right w:val="none" w:sz="0" w:space="0" w:color="auto"/>
      </w:divBdr>
    </w:div>
    <w:div w:id="236286321">
      <w:bodyDiv w:val="1"/>
      <w:marLeft w:val="0"/>
      <w:marRight w:val="0"/>
      <w:marTop w:val="0"/>
      <w:marBottom w:val="0"/>
      <w:divBdr>
        <w:top w:val="none" w:sz="0" w:space="0" w:color="auto"/>
        <w:left w:val="none" w:sz="0" w:space="0" w:color="auto"/>
        <w:bottom w:val="none" w:sz="0" w:space="0" w:color="auto"/>
        <w:right w:val="none" w:sz="0" w:space="0" w:color="auto"/>
      </w:divBdr>
    </w:div>
    <w:div w:id="273563721">
      <w:bodyDiv w:val="1"/>
      <w:marLeft w:val="0"/>
      <w:marRight w:val="0"/>
      <w:marTop w:val="0"/>
      <w:marBottom w:val="0"/>
      <w:divBdr>
        <w:top w:val="none" w:sz="0" w:space="0" w:color="auto"/>
        <w:left w:val="none" w:sz="0" w:space="0" w:color="auto"/>
        <w:bottom w:val="none" w:sz="0" w:space="0" w:color="auto"/>
        <w:right w:val="none" w:sz="0" w:space="0" w:color="auto"/>
      </w:divBdr>
    </w:div>
    <w:div w:id="297808178">
      <w:bodyDiv w:val="1"/>
      <w:marLeft w:val="0"/>
      <w:marRight w:val="0"/>
      <w:marTop w:val="0"/>
      <w:marBottom w:val="0"/>
      <w:divBdr>
        <w:top w:val="none" w:sz="0" w:space="0" w:color="auto"/>
        <w:left w:val="none" w:sz="0" w:space="0" w:color="auto"/>
        <w:bottom w:val="none" w:sz="0" w:space="0" w:color="auto"/>
        <w:right w:val="none" w:sz="0" w:space="0" w:color="auto"/>
      </w:divBdr>
    </w:div>
    <w:div w:id="303852400">
      <w:bodyDiv w:val="1"/>
      <w:marLeft w:val="0"/>
      <w:marRight w:val="0"/>
      <w:marTop w:val="0"/>
      <w:marBottom w:val="0"/>
      <w:divBdr>
        <w:top w:val="none" w:sz="0" w:space="0" w:color="auto"/>
        <w:left w:val="none" w:sz="0" w:space="0" w:color="auto"/>
        <w:bottom w:val="none" w:sz="0" w:space="0" w:color="auto"/>
        <w:right w:val="none" w:sz="0" w:space="0" w:color="auto"/>
      </w:divBdr>
      <w:divsChild>
        <w:div w:id="512915702">
          <w:marLeft w:val="0"/>
          <w:marRight w:val="0"/>
          <w:marTop w:val="0"/>
          <w:marBottom w:val="0"/>
          <w:divBdr>
            <w:top w:val="none" w:sz="0" w:space="0" w:color="auto"/>
            <w:left w:val="none" w:sz="0" w:space="0" w:color="auto"/>
            <w:bottom w:val="none" w:sz="0" w:space="0" w:color="auto"/>
            <w:right w:val="none" w:sz="0" w:space="0" w:color="auto"/>
          </w:divBdr>
          <w:divsChild>
            <w:div w:id="674385289">
              <w:marLeft w:val="0"/>
              <w:marRight w:val="0"/>
              <w:marTop w:val="0"/>
              <w:marBottom w:val="0"/>
              <w:divBdr>
                <w:top w:val="none" w:sz="0" w:space="0" w:color="auto"/>
                <w:left w:val="none" w:sz="0" w:space="0" w:color="auto"/>
                <w:bottom w:val="none" w:sz="0" w:space="0" w:color="auto"/>
                <w:right w:val="none" w:sz="0" w:space="0" w:color="auto"/>
              </w:divBdr>
              <w:divsChild>
                <w:div w:id="151993219">
                  <w:marLeft w:val="0"/>
                  <w:marRight w:val="0"/>
                  <w:marTop w:val="0"/>
                  <w:marBottom w:val="0"/>
                  <w:divBdr>
                    <w:top w:val="none" w:sz="0" w:space="0" w:color="auto"/>
                    <w:left w:val="none" w:sz="0" w:space="0" w:color="auto"/>
                    <w:bottom w:val="none" w:sz="0" w:space="0" w:color="auto"/>
                    <w:right w:val="none" w:sz="0" w:space="0" w:color="auto"/>
                  </w:divBdr>
                  <w:divsChild>
                    <w:div w:id="238948657">
                      <w:marLeft w:val="0"/>
                      <w:marRight w:val="0"/>
                      <w:marTop w:val="0"/>
                      <w:marBottom w:val="0"/>
                      <w:divBdr>
                        <w:top w:val="none" w:sz="0" w:space="0" w:color="auto"/>
                        <w:left w:val="none" w:sz="0" w:space="0" w:color="auto"/>
                        <w:bottom w:val="none" w:sz="0" w:space="0" w:color="auto"/>
                        <w:right w:val="none" w:sz="0" w:space="0" w:color="auto"/>
                      </w:divBdr>
                      <w:divsChild>
                        <w:div w:id="1115294267">
                          <w:marLeft w:val="0"/>
                          <w:marRight w:val="0"/>
                          <w:marTop w:val="0"/>
                          <w:marBottom w:val="0"/>
                          <w:divBdr>
                            <w:top w:val="none" w:sz="0" w:space="0" w:color="auto"/>
                            <w:left w:val="none" w:sz="0" w:space="0" w:color="auto"/>
                            <w:bottom w:val="none" w:sz="0" w:space="0" w:color="auto"/>
                            <w:right w:val="none" w:sz="0" w:space="0" w:color="auto"/>
                          </w:divBdr>
                          <w:divsChild>
                            <w:div w:id="96365257">
                              <w:marLeft w:val="0"/>
                              <w:marRight w:val="0"/>
                              <w:marTop w:val="0"/>
                              <w:marBottom w:val="0"/>
                              <w:divBdr>
                                <w:top w:val="none" w:sz="0" w:space="0" w:color="auto"/>
                                <w:left w:val="none" w:sz="0" w:space="0" w:color="auto"/>
                                <w:bottom w:val="none" w:sz="0" w:space="0" w:color="auto"/>
                                <w:right w:val="none" w:sz="0" w:space="0" w:color="auto"/>
                              </w:divBdr>
                              <w:divsChild>
                                <w:div w:id="299727480">
                                  <w:marLeft w:val="0"/>
                                  <w:marRight w:val="0"/>
                                  <w:marTop w:val="0"/>
                                  <w:marBottom w:val="0"/>
                                  <w:divBdr>
                                    <w:top w:val="none" w:sz="0" w:space="0" w:color="auto"/>
                                    <w:left w:val="none" w:sz="0" w:space="0" w:color="auto"/>
                                    <w:bottom w:val="none" w:sz="0" w:space="0" w:color="auto"/>
                                    <w:right w:val="none" w:sz="0" w:space="0" w:color="auto"/>
                                  </w:divBdr>
                                  <w:divsChild>
                                    <w:div w:id="92511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5940683">
          <w:marLeft w:val="0"/>
          <w:marRight w:val="0"/>
          <w:marTop w:val="90"/>
          <w:marBottom w:val="0"/>
          <w:divBdr>
            <w:top w:val="none" w:sz="0" w:space="0" w:color="auto"/>
            <w:left w:val="none" w:sz="0" w:space="0" w:color="auto"/>
            <w:bottom w:val="none" w:sz="0" w:space="0" w:color="auto"/>
            <w:right w:val="none" w:sz="0" w:space="0" w:color="auto"/>
          </w:divBdr>
        </w:div>
      </w:divsChild>
    </w:div>
    <w:div w:id="304700772">
      <w:bodyDiv w:val="1"/>
      <w:marLeft w:val="0"/>
      <w:marRight w:val="0"/>
      <w:marTop w:val="0"/>
      <w:marBottom w:val="0"/>
      <w:divBdr>
        <w:top w:val="none" w:sz="0" w:space="0" w:color="auto"/>
        <w:left w:val="none" w:sz="0" w:space="0" w:color="auto"/>
        <w:bottom w:val="none" w:sz="0" w:space="0" w:color="auto"/>
        <w:right w:val="none" w:sz="0" w:space="0" w:color="auto"/>
      </w:divBdr>
    </w:div>
    <w:div w:id="307173758">
      <w:bodyDiv w:val="1"/>
      <w:marLeft w:val="0"/>
      <w:marRight w:val="0"/>
      <w:marTop w:val="0"/>
      <w:marBottom w:val="0"/>
      <w:divBdr>
        <w:top w:val="none" w:sz="0" w:space="0" w:color="auto"/>
        <w:left w:val="none" w:sz="0" w:space="0" w:color="auto"/>
        <w:bottom w:val="none" w:sz="0" w:space="0" w:color="auto"/>
        <w:right w:val="none" w:sz="0" w:space="0" w:color="auto"/>
      </w:divBdr>
    </w:div>
    <w:div w:id="307589045">
      <w:bodyDiv w:val="1"/>
      <w:marLeft w:val="0"/>
      <w:marRight w:val="0"/>
      <w:marTop w:val="0"/>
      <w:marBottom w:val="0"/>
      <w:divBdr>
        <w:top w:val="none" w:sz="0" w:space="0" w:color="auto"/>
        <w:left w:val="none" w:sz="0" w:space="0" w:color="auto"/>
        <w:bottom w:val="none" w:sz="0" w:space="0" w:color="auto"/>
        <w:right w:val="none" w:sz="0" w:space="0" w:color="auto"/>
      </w:divBdr>
    </w:div>
    <w:div w:id="315690001">
      <w:bodyDiv w:val="1"/>
      <w:marLeft w:val="0"/>
      <w:marRight w:val="0"/>
      <w:marTop w:val="0"/>
      <w:marBottom w:val="0"/>
      <w:divBdr>
        <w:top w:val="none" w:sz="0" w:space="0" w:color="auto"/>
        <w:left w:val="none" w:sz="0" w:space="0" w:color="auto"/>
        <w:bottom w:val="none" w:sz="0" w:space="0" w:color="auto"/>
        <w:right w:val="none" w:sz="0" w:space="0" w:color="auto"/>
      </w:divBdr>
    </w:div>
    <w:div w:id="330180022">
      <w:bodyDiv w:val="1"/>
      <w:marLeft w:val="0"/>
      <w:marRight w:val="0"/>
      <w:marTop w:val="0"/>
      <w:marBottom w:val="0"/>
      <w:divBdr>
        <w:top w:val="none" w:sz="0" w:space="0" w:color="auto"/>
        <w:left w:val="none" w:sz="0" w:space="0" w:color="auto"/>
        <w:bottom w:val="none" w:sz="0" w:space="0" w:color="auto"/>
        <w:right w:val="none" w:sz="0" w:space="0" w:color="auto"/>
      </w:divBdr>
    </w:div>
    <w:div w:id="339696026">
      <w:bodyDiv w:val="1"/>
      <w:marLeft w:val="0"/>
      <w:marRight w:val="0"/>
      <w:marTop w:val="0"/>
      <w:marBottom w:val="0"/>
      <w:divBdr>
        <w:top w:val="none" w:sz="0" w:space="0" w:color="auto"/>
        <w:left w:val="none" w:sz="0" w:space="0" w:color="auto"/>
        <w:bottom w:val="none" w:sz="0" w:space="0" w:color="auto"/>
        <w:right w:val="none" w:sz="0" w:space="0" w:color="auto"/>
      </w:divBdr>
      <w:divsChild>
        <w:div w:id="1660957446">
          <w:marLeft w:val="1166"/>
          <w:marRight w:val="0"/>
          <w:marTop w:val="0"/>
          <w:marBottom w:val="0"/>
          <w:divBdr>
            <w:top w:val="none" w:sz="0" w:space="0" w:color="auto"/>
            <w:left w:val="none" w:sz="0" w:space="0" w:color="auto"/>
            <w:bottom w:val="none" w:sz="0" w:space="0" w:color="auto"/>
            <w:right w:val="none" w:sz="0" w:space="0" w:color="auto"/>
          </w:divBdr>
        </w:div>
        <w:div w:id="1797750588">
          <w:marLeft w:val="1166"/>
          <w:marRight w:val="0"/>
          <w:marTop w:val="0"/>
          <w:marBottom w:val="0"/>
          <w:divBdr>
            <w:top w:val="none" w:sz="0" w:space="0" w:color="auto"/>
            <w:left w:val="none" w:sz="0" w:space="0" w:color="auto"/>
            <w:bottom w:val="none" w:sz="0" w:space="0" w:color="auto"/>
            <w:right w:val="none" w:sz="0" w:space="0" w:color="auto"/>
          </w:divBdr>
        </w:div>
        <w:div w:id="2051493296">
          <w:marLeft w:val="1166"/>
          <w:marRight w:val="0"/>
          <w:marTop w:val="0"/>
          <w:marBottom w:val="0"/>
          <w:divBdr>
            <w:top w:val="none" w:sz="0" w:space="0" w:color="auto"/>
            <w:left w:val="none" w:sz="0" w:space="0" w:color="auto"/>
            <w:bottom w:val="none" w:sz="0" w:space="0" w:color="auto"/>
            <w:right w:val="none" w:sz="0" w:space="0" w:color="auto"/>
          </w:divBdr>
        </w:div>
        <w:div w:id="422461298">
          <w:marLeft w:val="1166"/>
          <w:marRight w:val="0"/>
          <w:marTop w:val="0"/>
          <w:marBottom w:val="0"/>
          <w:divBdr>
            <w:top w:val="none" w:sz="0" w:space="0" w:color="auto"/>
            <w:left w:val="none" w:sz="0" w:space="0" w:color="auto"/>
            <w:bottom w:val="none" w:sz="0" w:space="0" w:color="auto"/>
            <w:right w:val="none" w:sz="0" w:space="0" w:color="auto"/>
          </w:divBdr>
        </w:div>
      </w:divsChild>
    </w:div>
    <w:div w:id="345057299">
      <w:bodyDiv w:val="1"/>
      <w:marLeft w:val="0"/>
      <w:marRight w:val="0"/>
      <w:marTop w:val="0"/>
      <w:marBottom w:val="0"/>
      <w:divBdr>
        <w:top w:val="none" w:sz="0" w:space="0" w:color="auto"/>
        <w:left w:val="none" w:sz="0" w:space="0" w:color="auto"/>
        <w:bottom w:val="none" w:sz="0" w:space="0" w:color="auto"/>
        <w:right w:val="none" w:sz="0" w:space="0" w:color="auto"/>
      </w:divBdr>
    </w:div>
    <w:div w:id="347103907">
      <w:bodyDiv w:val="1"/>
      <w:marLeft w:val="0"/>
      <w:marRight w:val="0"/>
      <w:marTop w:val="0"/>
      <w:marBottom w:val="0"/>
      <w:divBdr>
        <w:top w:val="none" w:sz="0" w:space="0" w:color="auto"/>
        <w:left w:val="none" w:sz="0" w:space="0" w:color="auto"/>
        <w:bottom w:val="none" w:sz="0" w:space="0" w:color="auto"/>
        <w:right w:val="none" w:sz="0" w:space="0" w:color="auto"/>
      </w:divBdr>
    </w:div>
    <w:div w:id="359859654">
      <w:bodyDiv w:val="1"/>
      <w:marLeft w:val="0"/>
      <w:marRight w:val="0"/>
      <w:marTop w:val="0"/>
      <w:marBottom w:val="0"/>
      <w:divBdr>
        <w:top w:val="none" w:sz="0" w:space="0" w:color="auto"/>
        <w:left w:val="none" w:sz="0" w:space="0" w:color="auto"/>
        <w:bottom w:val="none" w:sz="0" w:space="0" w:color="auto"/>
        <w:right w:val="none" w:sz="0" w:space="0" w:color="auto"/>
      </w:divBdr>
    </w:div>
    <w:div w:id="373189770">
      <w:bodyDiv w:val="1"/>
      <w:marLeft w:val="0"/>
      <w:marRight w:val="0"/>
      <w:marTop w:val="0"/>
      <w:marBottom w:val="0"/>
      <w:divBdr>
        <w:top w:val="none" w:sz="0" w:space="0" w:color="auto"/>
        <w:left w:val="none" w:sz="0" w:space="0" w:color="auto"/>
        <w:bottom w:val="none" w:sz="0" w:space="0" w:color="auto"/>
        <w:right w:val="none" w:sz="0" w:space="0" w:color="auto"/>
      </w:divBdr>
    </w:div>
    <w:div w:id="376048843">
      <w:bodyDiv w:val="1"/>
      <w:marLeft w:val="0"/>
      <w:marRight w:val="0"/>
      <w:marTop w:val="0"/>
      <w:marBottom w:val="0"/>
      <w:divBdr>
        <w:top w:val="none" w:sz="0" w:space="0" w:color="auto"/>
        <w:left w:val="none" w:sz="0" w:space="0" w:color="auto"/>
        <w:bottom w:val="none" w:sz="0" w:space="0" w:color="auto"/>
        <w:right w:val="none" w:sz="0" w:space="0" w:color="auto"/>
      </w:divBdr>
      <w:divsChild>
        <w:div w:id="197280759">
          <w:marLeft w:val="662"/>
          <w:marRight w:val="0"/>
          <w:marTop w:val="0"/>
          <w:marBottom w:val="0"/>
          <w:divBdr>
            <w:top w:val="none" w:sz="0" w:space="0" w:color="auto"/>
            <w:left w:val="none" w:sz="0" w:space="0" w:color="auto"/>
            <w:bottom w:val="none" w:sz="0" w:space="0" w:color="auto"/>
            <w:right w:val="none" w:sz="0" w:space="0" w:color="auto"/>
          </w:divBdr>
        </w:div>
        <w:div w:id="1134366131">
          <w:marLeft w:val="662"/>
          <w:marRight w:val="0"/>
          <w:marTop w:val="0"/>
          <w:marBottom w:val="0"/>
          <w:divBdr>
            <w:top w:val="none" w:sz="0" w:space="0" w:color="auto"/>
            <w:left w:val="none" w:sz="0" w:space="0" w:color="auto"/>
            <w:bottom w:val="none" w:sz="0" w:space="0" w:color="auto"/>
            <w:right w:val="none" w:sz="0" w:space="0" w:color="auto"/>
          </w:divBdr>
        </w:div>
        <w:div w:id="955256310">
          <w:marLeft w:val="662"/>
          <w:marRight w:val="0"/>
          <w:marTop w:val="0"/>
          <w:marBottom w:val="0"/>
          <w:divBdr>
            <w:top w:val="none" w:sz="0" w:space="0" w:color="auto"/>
            <w:left w:val="none" w:sz="0" w:space="0" w:color="auto"/>
            <w:bottom w:val="none" w:sz="0" w:space="0" w:color="auto"/>
            <w:right w:val="none" w:sz="0" w:space="0" w:color="auto"/>
          </w:divBdr>
        </w:div>
        <w:div w:id="578248808">
          <w:marLeft w:val="662"/>
          <w:marRight w:val="0"/>
          <w:marTop w:val="0"/>
          <w:marBottom w:val="0"/>
          <w:divBdr>
            <w:top w:val="none" w:sz="0" w:space="0" w:color="auto"/>
            <w:left w:val="none" w:sz="0" w:space="0" w:color="auto"/>
            <w:bottom w:val="none" w:sz="0" w:space="0" w:color="auto"/>
            <w:right w:val="none" w:sz="0" w:space="0" w:color="auto"/>
          </w:divBdr>
        </w:div>
      </w:divsChild>
    </w:div>
    <w:div w:id="391971324">
      <w:bodyDiv w:val="1"/>
      <w:marLeft w:val="0"/>
      <w:marRight w:val="0"/>
      <w:marTop w:val="0"/>
      <w:marBottom w:val="0"/>
      <w:divBdr>
        <w:top w:val="none" w:sz="0" w:space="0" w:color="auto"/>
        <w:left w:val="none" w:sz="0" w:space="0" w:color="auto"/>
        <w:bottom w:val="none" w:sz="0" w:space="0" w:color="auto"/>
        <w:right w:val="none" w:sz="0" w:space="0" w:color="auto"/>
      </w:divBdr>
    </w:div>
    <w:div w:id="403067678">
      <w:bodyDiv w:val="1"/>
      <w:marLeft w:val="0"/>
      <w:marRight w:val="0"/>
      <w:marTop w:val="0"/>
      <w:marBottom w:val="0"/>
      <w:divBdr>
        <w:top w:val="none" w:sz="0" w:space="0" w:color="auto"/>
        <w:left w:val="none" w:sz="0" w:space="0" w:color="auto"/>
        <w:bottom w:val="none" w:sz="0" w:space="0" w:color="auto"/>
        <w:right w:val="none" w:sz="0" w:space="0" w:color="auto"/>
      </w:divBdr>
    </w:div>
    <w:div w:id="406459387">
      <w:bodyDiv w:val="1"/>
      <w:marLeft w:val="0"/>
      <w:marRight w:val="0"/>
      <w:marTop w:val="0"/>
      <w:marBottom w:val="0"/>
      <w:divBdr>
        <w:top w:val="none" w:sz="0" w:space="0" w:color="auto"/>
        <w:left w:val="none" w:sz="0" w:space="0" w:color="auto"/>
        <w:bottom w:val="none" w:sz="0" w:space="0" w:color="auto"/>
        <w:right w:val="none" w:sz="0" w:space="0" w:color="auto"/>
      </w:divBdr>
    </w:div>
    <w:div w:id="429282222">
      <w:bodyDiv w:val="1"/>
      <w:marLeft w:val="0"/>
      <w:marRight w:val="0"/>
      <w:marTop w:val="0"/>
      <w:marBottom w:val="0"/>
      <w:divBdr>
        <w:top w:val="none" w:sz="0" w:space="0" w:color="auto"/>
        <w:left w:val="none" w:sz="0" w:space="0" w:color="auto"/>
        <w:bottom w:val="none" w:sz="0" w:space="0" w:color="auto"/>
        <w:right w:val="none" w:sz="0" w:space="0" w:color="auto"/>
      </w:divBdr>
    </w:div>
    <w:div w:id="438457070">
      <w:bodyDiv w:val="1"/>
      <w:marLeft w:val="0"/>
      <w:marRight w:val="0"/>
      <w:marTop w:val="0"/>
      <w:marBottom w:val="0"/>
      <w:divBdr>
        <w:top w:val="none" w:sz="0" w:space="0" w:color="auto"/>
        <w:left w:val="none" w:sz="0" w:space="0" w:color="auto"/>
        <w:bottom w:val="none" w:sz="0" w:space="0" w:color="auto"/>
        <w:right w:val="none" w:sz="0" w:space="0" w:color="auto"/>
      </w:divBdr>
    </w:div>
    <w:div w:id="442001837">
      <w:bodyDiv w:val="1"/>
      <w:marLeft w:val="0"/>
      <w:marRight w:val="0"/>
      <w:marTop w:val="0"/>
      <w:marBottom w:val="0"/>
      <w:divBdr>
        <w:top w:val="none" w:sz="0" w:space="0" w:color="auto"/>
        <w:left w:val="none" w:sz="0" w:space="0" w:color="auto"/>
        <w:bottom w:val="none" w:sz="0" w:space="0" w:color="auto"/>
        <w:right w:val="none" w:sz="0" w:space="0" w:color="auto"/>
      </w:divBdr>
    </w:div>
    <w:div w:id="442769979">
      <w:bodyDiv w:val="1"/>
      <w:marLeft w:val="0"/>
      <w:marRight w:val="0"/>
      <w:marTop w:val="0"/>
      <w:marBottom w:val="0"/>
      <w:divBdr>
        <w:top w:val="none" w:sz="0" w:space="0" w:color="auto"/>
        <w:left w:val="none" w:sz="0" w:space="0" w:color="auto"/>
        <w:bottom w:val="none" w:sz="0" w:space="0" w:color="auto"/>
        <w:right w:val="none" w:sz="0" w:space="0" w:color="auto"/>
      </w:divBdr>
    </w:div>
    <w:div w:id="443694457">
      <w:bodyDiv w:val="1"/>
      <w:marLeft w:val="0"/>
      <w:marRight w:val="0"/>
      <w:marTop w:val="0"/>
      <w:marBottom w:val="0"/>
      <w:divBdr>
        <w:top w:val="none" w:sz="0" w:space="0" w:color="auto"/>
        <w:left w:val="none" w:sz="0" w:space="0" w:color="auto"/>
        <w:bottom w:val="none" w:sz="0" w:space="0" w:color="auto"/>
        <w:right w:val="none" w:sz="0" w:space="0" w:color="auto"/>
      </w:divBdr>
    </w:div>
    <w:div w:id="448278787">
      <w:bodyDiv w:val="1"/>
      <w:marLeft w:val="0"/>
      <w:marRight w:val="0"/>
      <w:marTop w:val="0"/>
      <w:marBottom w:val="0"/>
      <w:divBdr>
        <w:top w:val="none" w:sz="0" w:space="0" w:color="auto"/>
        <w:left w:val="none" w:sz="0" w:space="0" w:color="auto"/>
        <w:bottom w:val="none" w:sz="0" w:space="0" w:color="auto"/>
        <w:right w:val="none" w:sz="0" w:space="0" w:color="auto"/>
      </w:divBdr>
    </w:div>
    <w:div w:id="454102757">
      <w:bodyDiv w:val="1"/>
      <w:marLeft w:val="0"/>
      <w:marRight w:val="0"/>
      <w:marTop w:val="0"/>
      <w:marBottom w:val="0"/>
      <w:divBdr>
        <w:top w:val="none" w:sz="0" w:space="0" w:color="auto"/>
        <w:left w:val="none" w:sz="0" w:space="0" w:color="auto"/>
        <w:bottom w:val="none" w:sz="0" w:space="0" w:color="auto"/>
        <w:right w:val="none" w:sz="0" w:space="0" w:color="auto"/>
      </w:divBdr>
    </w:div>
    <w:div w:id="462775254">
      <w:bodyDiv w:val="1"/>
      <w:marLeft w:val="0"/>
      <w:marRight w:val="0"/>
      <w:marTop w:val="0"/>
      <w:marBottom w:val="0"/>
      <w:divBdr>
        <w:top w:val="none" w:sz="0" w:space="0" w:color="auto"/>
        <w:left w:val="none" w:sz="0" w:space="0" w:color="auto"/>
        <w:bottom w:val="none" w:sz="0" w:space="0" w:color="auto"/>
        <w:right w:val="none" w:sz="0" w:space="0" w:color="auto"/>
      </w:divBdr>
    </w:div>
    <w:div w:id="471482238">
      <w:bodyDiv w:val="1"/>
      <w:marLeft w:val="0"/>
      <w:marRight w:val="0"/>
      <w:marTop w:val="0"/>
      <w:marBottom w:val="0"/>
      <w:divBdr>
        <w:top w:val="none" w:sz="0" w:space="0" w:color="auto"/>
        <w:left w:val="none" w:sz="0" w:space="0" w:color="auto"/>
        <w:bottom w:val="none" w:sz="0" w:space="0" w:color="auto"/>
        <w:right w:val="none" w:sz="0" w:space="0" w:color="auto"/>
      </w:divBdr>
    </w:div>
    <w:div w:id="484123211">
      <w:bodyDiv w:val="1"/>
      <w:marLeft w:val="0"/>
      <w:marRight w:val="0"/>
      <w:marTop w:val="0"/>
      <w:marBottom w:val="0"/>
      <w:divBdr>
        <w:top w:val="none" w:sz="0" w:space="0" w:color="auto"/>
        <w:left w:val="none" w:sz="0" w:space="0" w:color="auto"/>
        <w:bottom w:val="none" w:sz="0" w:space="0" w:color="auto"/>
        <w:right w:val="none" w:sz="0" w:space="0" w:color="auto"/>
      </w:divBdr>
    </w:div>
    <w:div w:id="488061742">
      <w:bodyDiv w:val="1"/>
      <w:marLeft w:val="0"/>
      <w:marRight w:val="0"/>
      <w:marTop w:val="0"/>
      <w:marBottom w:val="0"/>
      <w:divBdr>
        <w:top w:val="none" w:sz="0" w:space="0" w:color="auto"/>
        <w:left w:val="none" w:sz="0" w:space="0" w:color="auto"/>
        <w:bottom w:val="none" w:sz="0" w:space="0" w:color="auto"/>
        <w:right w:val="none" w:sz="0" w:space="0" w:color="auto"/>
      </w:divBdr>
      <w:divsChild>
        <w:div w:id="1689481199">
          <w:marLeft w:val="446"/>
          <w:marRight w:val="0"/>
          <w:marTop w:val="0"/>
          <w:marBottom w:val="0"/>
          <w:divBdr>
            <w:top w:val="none" w:sz="0" w:space="0" w:color="auto"/>
            <w:left w:val="none" w:sz="0" w:space="0" w:color="auto"/>
            <w:bottom w:val="none" w:sz="0" w:space="0" w:color="auto"/>
            <w:right w:val="none" w:sz="0" w:space="0" w:color="auto"/>
          </w:divBdr>
        </w:div>
        <w:div w:id="2069261545">
          <w:marLeft w:val="446"/>
          <w:marRight w:val="0"/>
          <w:marTop w:val="0"/>
          <w:marBottom w:val="0"/>
          <w:divBdr>
            <w:top w:val="none" w:sz="0" w:space="0" w:color="auto"/>
            <w:left w:val="none" w:sz="0" w:space="0" w:color="auto"/>
            <w:bottom w:val="none" w:sz="0" w:space="0" w:color="auto"/>
            <w:right w:val="none" w:sz="0" w:space="0" w:color="auto"/>
          </w:divBdr>
        </w:div>
        <w:div w:id="1719434275">
          <w:marLeft w:val="446"/>
          <w:marRight w:val="0"/>
          <w:marTop w:val="0"/>
          <w:marBottom w:val="0"/>
          <w:divBdr>
            <w:top w:val="none" w:sz="0" w:space="0" w:color="auto"/>
            <w:left w:val="none" w:sz="0" w:space="0" w:color="auto"/>
            <w:bottom w:val="none" w:sz="0" w:space="0" w:color="auto"/>
            <w:right w:val="none" w:sz="0" w:space="0" w:color="auto"/>
          </w:divBdr>
        </w:div>
        <w:div w:id="1643997289">
          <w:marLeft w:val="446"/>
          <w:marRight w:val="0"/>
          <w:marTop w:val="0"/>
          <w:marBottom w:val="0"/>
          <w:divBdr>
            <w:top w:val="none" w:sz="0" w:space="0" w:color="auto"/>
            <w:left w:val="none" w:sz="0" w:space="0" w:color="auto"/>
            <w:bottom w:val="none" w:sz="0" w:space="0" w:color="auto"/>
            <w:right w:val="none" w:sz="0" w:space="0" w:color="auto"/>
          </w:divBdr>
        </w:div>
        <w:div w:id="1093861989">
          <w:marLeft w:val="446"/>
          <w:marRight w:val="0"/>
          <w:marTop w:val="0"/>
          <w:marBottom w:val="0"/>
          <w:divBdr>
            <w:top w:val="none" w:sz="0" w:space="0" w:color="auto"/>
            <w:left w:val="none" w:sz="0" w:space="0" w:color="auto"/>
            <w:bottom w:val="none" w:sz="0" w:space="0" w:color="auto"/>
            <w:right w:val="none" w:sz="0" w:space="0" w:color="auto"/>
          </w:divBdr>
        </w:div>
        <w:div w:id="794372303">
          <w:marLeft w:val="446"/>
          <w:marRight w:val="0"/>
          <w:marTop w:val="0"/>
          <w:marBottom w:val="0"/>
          <w:divBdr>
            <w:top w:val="none" w:sz="0" w:space="0" w:color="auto"/>
            <w:left w:val="none" w:sz="0" w:space="0" w:color="auto"/>
            <w:bottom w:val="none" w:sz="0" w:space="0" w:color="auto"/>
            <w:right w:val="none" w:sz="0" w:space="0" w:color="auto"/>
          </w:divBdr>
        </w:div>
      </w:divsChild>
    </w:div>
    <w:div w:id="493960050">
      <w:bodyDiv w:val="1"/>
      <w:marLeft w:val="0"/>
      <w:marRight w:val="0"/>
      <w:marTop w:val="0"/>
      <w:marBottom w:val="0"/>
      <w:divBdr>
        <w:top w:val="none" w:sz="0" w:space="0" w:color="auto"/>
        <w:left w:val="none" w:sz="0" w:space="0" w:color="auto"/>
        <w:bottom w:val="none" w:sz="0" w:space="0" w:color="auto"/>
        <w:right w:val="none" w:sz="0" w:space="0" w:color="auto"/>
      </w:divBdr>
    </w:div>
    <w:div w:id="495608048">
      <w:bodyDiv w:val="1"/>
      <w:marLeft w:val="0"/>
      <w:marRight w:val="0"/>
      <w:marTop w:val="0"/>
      <w:marBottom w:val="0"/>
      <w:divBdr>
        <w:top w:val="none" w:sz="0" w:space="0" w:color="auto"/>
        <w:left w:val="none" w:sz="0" w:space="0" w:color="auto"/>
        <w:bottom w:val="none" w:sz="0" w:space="0" w:color="auto"/>
        <w:right w:val="none" w:sz="0" w:space="0" w:color="auto"/>
      </w:divBdr>
    </w:div>
    <w:div w:id="516121605">
      <w:bodyDiv w:val="1"/>
      <w:marLeft w:val="0"/>
      <w:marRight w:val="0"/>
      <w:marTop w:val="0"/>
      <w:marBottom w:val="0"/>
      <w:divBdr>
        <w:top w:val="none" w:sz="0" w:space="0" w:color="auto"/>
        <w:left w:val="none" w:sz="0" w:space="0" w:color="auto"/>
        <w:bottom w:val="none" w:sz="0" w:space="0" w:color="auto"/>
        <w:right w:val="none" w:sz="0" w:space="0" w:color="auto"/>
      </w:divBdr>
      <w:divsChild>
        <w:div w:id="200870019">
          <w:marLeft w:val="547"/>
          <w:marRight w:val="0"/>
          <w:marTop w:val="43"/>
          <w:marBottom w:val="0"/>
          <w:divBdr>
            <w:top w:val="none" w:sz="0" w:space="0" w:color="auto"/>
            <w:left w:val="none" w:sz="0" w:space="0" w:color="auto"/>
            <w:bottom w:val="none" w:sz="0" w:space="0" w:color="auto"/>
            <w:right w:val="none" w:sz="0" w:space="0" w:color="auto"/>
          </w:divBdr>
        </w:div>
        <w:div w:id="303629904">
          <w:marLeft w:val="547"/>
          <w:marRight w:val="0"/>
          <w:marTop w:val="43"/>
          <w:marBottom w:val="0"/>
          <w:divBdr>
            <w:top w:val="none" w:sz="0" w:space="0" w:color="auto"/>
            <w:left w:val="none" w:sz="0" w:space="0" w:color="auto"/>
            <w:bottom w:val="none" w:sz="0" w:space="0" w:color="auto"/>
            <w:right w:val="none" w:sz="0" w:space="0" w:color="auto"/>
          </w:divBdr>
        </w:div>
        <w:div w:id="1602032870">
          <w:marLeft w:val="547"/>
          <w:marRight w:val="0"/>
          <w:marTop w:val="43"/>
          <w:marBottom w:val="0"/>
          <w:divBdr>
            <w:top w:val="none" w:sz="0" w:space="0" w:color="auto"/>
            <w:left w:val="none" w:sz="0" w:space="0" w:color="auto"/>
            <w:bottom w:val="none" w:sz="0" w:space="0" w:color="auto"/>
            <w:right w:val="none" w:sz="0" w:space="0" w:color="auto"/>
          </w:divBdr>
        </w:div>
        <w:div w:id="985086841">
          <w:marLeft w:val="547"/>
          <w:marRight w:val="0"/>
          <w:marTop w:val="43"/>
          <w:marBottom w:val="0"/>
          <w:divBdr>
            <w:top w:val="none" w:sz="0" w:space="0" w:color="auto"/>
            <w:left w:val="none" w:sz="0" w:space="0" w:color="auto"/>
            <w:bottom w:val="none" w:sz="0" w:space="0" w:color="auto"/>
            <w:right w:val="none" w:sz="0" w:space="0" w:color="auto"/>
          </w:divBdr>
        </w:div>
        <w:div w:id="840583764">
          <w:marLeft w:val="547"/>
          <w:marRight w:val="0"/>
          <w:marTop w:val="43"/>
          <w:marBottom w:val="0"/>
          <w:divBdr>
            <w:top w:val="none" w:sz="0" w:space="0" w:color="auto"/>
            <w:left w:val="none" w:sz="0" w:space="0" w:color="auto"/>
            <w:bottom w:val="none" w:sz="0" w:space="0" w:color="auto"/>
            <w:right w:val="none" w:sz="0" w:space="0" w:color="auto"/>
          </w:divBdr>
        </w:div>
      </w:divsChild>
    </w:div>
    <w:div w:id="537008095">
      <w:bodyDiv w:val="1"/>
      <w:marLeft w:val="0"/>
      <w:marRight w:val="0"/>
      <w:marTop w:val="0"/>
      <w:marBottom w:val="0"/>
      <w:divBdr>
        <w:top w:val="none" w:sz="0" w:space="0" w:color="auto"/>
        <w:left w:val="none" w:sz="0" w:space="0" w:color="auto"/>
        <w:bottom w:val="none" w:sz="0" w:space="0" w:color="auto"/>
        <w:right w:val="none" w:sz="0" w:space="0" w:color="auto"/>
      </w:divBdr>
      <w:divsChild>
        <w:div w:id="532117206">
          <w:marLeft w:val="0"/>
          <w:marRight w:val="0"/>
          <w:marTop w:val="0"/>
          <w:marBottom w:val="0"/>
          <w:divBdr>
            <w:top w:val="none" w:sz="0" w:space="0" w:color="auto"/>
            <w:left w:val="none" w:sz="0" w:space="0" w:color="auto"/>
            <w:bottom w:val="none" w:sz="0" w:space="0" w:color="auto"/>
            <w:right w:val="none" w:sz="0" w:space="0" w:color="auto"/>
          </w:divBdr>
        </w:div>
      </w:divsChild>
    </w:div>
    <w:div w:id="545410104">
      <w:bodyDiv w:val="1"/>
      <w:marLeft w:val="0"/>
      <w:marRight w:val="0"/>
      <w:marTop w:val="0"/>
      <w:marBottom w:val="0"/>
      <w:divBdr>
        <w:top w:val="none" w:sz="0" w:space="0" w:color="auto"/>
        <w:left w:val="none" w:sz="0" w:space="0" w:color="auto"/>
        <w:bottom w:val="none" w:sz="0" w:space="0" w:color="auto"/>
        <w:right w:val="none" w:sz="0" w:space="0" w:color="auto"/>
      </w:divBdr>
    </w:div>
    <w:div w:id="548104013">
      <w:bodyDiv w:val="1"/>
      <w:marLeft w:val="0"/>
      <w:marRight w:val="0"/>
      <w:marTop w:val="0"/>
      <w:marBottom w:val="0"/>
      <w:divBdr>
        <w:top w:val="none" w:sz="0" w:space="0" w:color="auto"/>
        <w:left w:val="none" w:sz="0" w:space="0" w:color="auto"/>
        <w:bottom w:val="none" w:sz="0" w:space="0" w:color="auto"/>
        <w:right w:val="none" w:sz="0" w:space="0" w:color="auto"/>
      </w:divBdr>
    </w:div>
    <w:div w:id="556014016">
      <w:bodyDiv w:val="1"/>
      <w:marLeft w:val="0"/>
      <w:marRight w:val="0"/>
      <w:marTop w:val="0"/>
      <w:marBottom w:val="0"/>
      <w:divBdr>
        <w:top w:val="none" w:sz="0" w:space="0" w:color="auto"/>
        <w:left w:val="none" w:sz="0" w:space="0" w:color="auto"/>
        <w:bottom w:val="none" w:sz="0" w:space="0" w:color="auto"/>
        <w:right w:val="none" w:sz="0" w:space="0" w:color="auto"/>
      </w:divBdr>
    </w:div>
    <w:div w:id="557938921">
      <w:bodyDiv w:val="1"/>
      <w:marLeft w:val="0"/>
      <w:marRight w:val="0"/>
      <w:marTop w:val="0"/>
      <w:marBottom w:val="0"/>
      <w:divBdr>
        <w:top w:val="none" w:sz="0" w:space="0" w:color="auto"/>
        <w:left w:val="none" w:sz="0" w:space="0" w:color="auto"/>
        <w:bottom w:val="none" w:sz="0" w:space="0" w:color="auto"/>
        <w:right w:val="none" w:sz="0" w:space="0" w:color="auto"/>
      </w:divBdr>
    </w:div>
    <w:div w:id="567687456">
      <w:bodyDiv w:val="1"/>
      <w:marLeft w:val="0"/>
      <w:marRight w:val="0"/>
      <w:marTop w:val="0"/>
      <w:marBottom w:val="0"/>
      <w:divBdr>
        <w:top w:val="none" w:sz="0" w:space="0" w:color="auto"/>
        <w:left w:val="none" w:sz="0" w:space="0" w:color="auto"/>
        <w:bottom w:val="none" w:sz="0" w:space="0" w:color="auto"/>
        <w:right w:val="none" w:sz="0" w:space="0" w:color="auto"/>
      </w:divBdr>
      <w:divsChild>
        <w:div w:id="2127187081">
          <w:marLeft w:val="274"/>
          <w:marRight w:val="0"/>
          <w:marTop w:val="53"/>
          <w:marBottom w:val="0"/>
          <w:divBdr>
            <w:top w:val="none" w:sz="0" w:space="0" w:color="auto"/>
            <w:left w:val="none" w:sz="0" w:space="0" w:color="auto"/>
            <w:bottom w:val="none" w:sz="0" w:space="0" w:color="auto"/>
            <w:right w:val="none" w:sz="0" w:space="0" w:color="auto"/>
          </w:divBdr>
        </w:div>
        <w:div w:id="1206261630">
          <w:marLeft w:val="274"/>
          <w:marRight w:val="0"/>
          <w:marTop w:val="53"/>
          <w:marBottom w:val="0"/>
          <w:divBdr>
            <w:top w:val="none" w:sz="0" w:space="0" w:color="auto"/>
            <w:left w:val="none" w:sz="0" w:space="0" w:color="auto"/>
            <w:bottom w:val="none" w:sz="0" w:space="0" w:color="auto"/>
            <w:right w:val="none" w:sz="0" w:space="0" w:color="auto"/>
          </w:divBdr>
        </w:div>
        <w:div w:id="1461218511">
          <w:marLeft w:val="850"/>
          <w:marRight w:val="0"/>
          <w:marTop w:val="50"/>
          <w:marBottom w:val="0"/>
          <w:divBdr>
            <w:top w:val="none" w:sz="0" w:space="0" w:color="auto"/>
            <w:left w:val="none" w:sz="0" w:space="0" w:color="auto"/>
            <w:bottom w:val="none" w:sz="0" w:space="0" w:color="auto"/>
            <w:right w:val="none" w:sz="0" w:space="0" w:color="auto"/>
          </w:divBdr>
        </w:div>
        <w:div w:id="675575484">
          <w:marLeft w:val="850"/>
          <w:marRight w:val="0"/>
          <w:marTop w:val="50"/>
          <w:marBottom w:val="0"/>
          <w:divBdr>
            <w:top w:val="none" w:sz="0" w:space="0" w:color="auto"/>
            <w:left w:val="none" w:sz="0" w:space="0" w:color="auto"/>
            <w:bottom w:val="none" w:sz="0" w:space="0" w:color="auto"/>
            <w:right w:val="none" w:sz="0" w:space="0" w:color="auto"/>
          </w:divBdr>
        </w:div>
        <w:div w:id="414132174">
          <w:marLeft w:val="850"/>
          <w:marRight w:val="0"/>
          <w:marTop w:val="50"/>
          <w:marBottom w:val="0"/>
          <w:divBdr>
            <w:top w:val="none" w:sz="0" w:space="0" w:color="auto"/>
            <w:left w:val="none" w:sz="0" w:space="0" w:color="auto"/>
            <w:bottom w:val="none" w:sz="0" w:space="0" w:color="auto"/>
            <w:right w:val="none" w:sz="0" w:space="0" w:color="auto"/>
          </w:divBdr>
        </w:div>
      </w:divsChild>
    </w:div>
    <w:div w:id="573440587">
      <w:bodyDiv w:val="1"/>
      <w:marLeft w:val="0"/>
      <w:marRight w:val="0"/>
      <w:marTop w:val="0"/>
      <w:marBottom w:val="0"/>
      <w:divBdr>
        <w:top w:val="none" w:sz="0" w:space="0" w:color="auto"/>
        <w:left w:val="none" w:sz="0" w:space="0" w:color="auto"/>
        <w:bottom w:val="none" w:sz="0" w:space="0" w:color="auto"/>
        <w:right w:val="none" w:sz="0" w:space="0" w:color="auto"/>
      </w:divBdr>
    </w:div>
    <w:div w:id="608657258">
      <w:bodyDiv w:val="1"/>
      <w:marLeft w:val="0"/>
      <w:marRight w:val="0"/>
      <w:marTop w:val="0"/>
      <w:marBottom w:val="0"/>
      <w:divBdr>
        <w:top w:val="none" w:sz="0" w:space="0" w:color="auto"/>
        <w:left w:val="none" w:sz="0" w:space="0" w:color="auto"/>
        <w:bottom w:val="none" w:sz="0" w:space="0" w:color="auto"/>
        <w:right w:val="none" w:sz="0" w:space="0" w:color="auto"/>
      </w:divBdr>
    </w:div>
    <w:div w:id="627932962">
      <w:bodyDiv w:val="1"/>
      <w:marLeft w:val="0"/>
      <w:marRight w:val="0"/>
      <w:marTop w:val="0"/>
      <w:marBottom w:val="0"/>
      <w:divBdr>
        <w:top w:val="none" w:sz="0" w:space="0" w:color="auto"/>
        <w:left w:val="none" w:sz="0" w:space="0" w:color="auto"/>
        <w:bottom w:val="none" w:sz="0" w:space="0" w:color="auto"/>
        <w:right w:val="none" w:sz="0" w:space="0" w:color="auto"/>
      </w:divBdr>
    </w:div>
    <w:div w:id="633828430">
      <w:bodyDiv w:val="1"/>
      <w:marLeft w:val="0"/>
      <w:marRight w:val="0"/>
      <w:marTop w:val="0"/>
      <w:marBottom w:val="0"/>
      <w:divBdr>
        <w:top w:val="none" w:sz="0" w:space="0" w:color="auto"/>
        <w:left w:val="none" w:sz="0" w:space="0" w:color="auto"/>
        <w:bottom w:val="none" w:sz="0" w:space="0" w:color="auto"/>
        <w:right w:val="none" w:sz="0" w:space="0" w:color="auto"/>
      </w:divBdr>
    </w:div>
    <w:div w:id="661542900">
      <w:bodyDiv w:val="1"/>
      <w:marLeft w:val="0"/>
      <w:marRight w:val="0"/>
      <w:marTop w:val="0"/>
      <w:marBottom w:val="0"/>
      <w:divBdr>
        <w:top w:val="none" w:sz="0" w:space="0" w:color="auto"/>
        <w:left w:val="none" w:sz="0" w:space="0" w:color="auto"/>
        <w:bottom w:val="none" w:sz="0" w:space="0" w:color="auto"/>
        <w:right w:val="none" w:sz="0" w:space="0" w:color="auto"/>
      </w:divBdr>
    </w:div>
    <w:div w:id="671833987">
      <w:bodyDiv w:val="1"/>
      <w:marLeft w:val="0"/>
      <w:marRight w:val="0"/>
      <w:marTop w:val="0"/>
      <w:marBottom w:val="0"/>
      <w:divBdr>
        <w:top w:val="none" w:sz="0" w:space="0" w:color="auto"/>
        <w:left w:val="none" w:sz="0" w:space="0" w:color="auto"/>
        <w:bottom w:val="none" w:sz="0" w:space="0" w:color="auto"/>
        <w:right w:val="none" w:sz="0" w:space="0" w:color="auto"/>
      </w:divBdr>
    </w:div>
    <w:div w:id="671879067">
      <w:bodyDiv w:val="1"/>
      <w:marLeft w:val="0"/>
      <w:marRight w:val="0"/>
      <w:marTop w:val="0"/>
      <w:marBottom w:val="0"/>
      <w:divBdr>
        <w:top w:val="none" w:sz="0" w:space="0" w:color="auto"/>
        <w:left w:val="none" w:sz="0" w:space="0" w:color="auto"/>
        <w:bottom w:val="none" w:sz="0" w:space="0" w:color="auto"/>
        <w:right w:val="none" w:sz="0" w:space="0" w:color="auto"/>
      </w:divBdr>
    </w:div>
    <w:div w:id="678124670">
      <w:bodyDiv w:val="1"/>
      <w:marLeft w:val="0"/>
      <w:marRight w:val="0"/>
      <w:marTop w:val="0"/>
      <w:marBottom w:val="0"/>
      <w:divBdr>
        <w:top w:val="none" w:sz="0" w:space="0" w:color="auto"/>
        <w:left w:val="none" w:sz="0" w:space="0" w:color="auto"/>
        <w:bottom w:val="none" w:sz="0" w:space="0" w:color="auto"/>
        <w:right w:val="none" w:sz="0" w:space="0" w:color="auto"/>
      </w:divBdr>
    </w:div>
    <w:div w:id="681006086">
      <w:bodyDiv w:val="1"/>
      <w:marLeft w:val="0"/>
      <w:marRight w:val="0"/>
      <w:marTop w:val="0"/>
      <w:marBottom w:val="0"/>
      <w:divBdr>
        <w:top w:val="none" w:sz="0" w:space="0" w:color="auto"/>
        <w:left w:val="none" w:sz="0" w:space="0" w:color="auto"/>
        <w:bottom w:val="none" w:sz="0" w:space="0" w:color="auto"/>
        <w:right w:val="none" w:sz="0" w:space="0" w:color="auto"/>
      </w:divBdr>
    </w:div>
    <w:div w:id="693264388">
      <w:bodyDiv w:val="1"/>
      <w:marLeft w:val="0"/>
      <w:marRight w:val="0"/>
      <w:marTop w:val="0"/>
      <w:marBottom w:val="0"/>
      <w:divBdr>
        <w:top w:val="none" w:sz="0" w:space="0" w:color="auto"/>
        <w:left w:val="none" w:sz="0" w:space="0" w:color="auto"/>
        <w:bottom w:val="none" w:sz="0" w:space="0" w:color="auto"/>
        <w:right w:val="none" w:sz="0" w:space="0" w:color="auto"/>
      </w:divBdr>
    </w:div>
    <w:div w:id="703289510">
      <w:bodyDiv w:val="1"/>
      <w:marLeft w:val="0"/>
      <w:marRight w:val="0"/>
      <w:marTop w:val="0"/>
      <w:marBottom w:val="0"/>
      <w:divBdr>
        <w:top w:val="none" w:sz="0" w:space="0" w:color="auto"/>
        <w:left w:val="none" w:sz="0" w:space="0" w:color="auto"/>
        <w:bottom w:val="none" w:sz="0" w:space="0" w:color="auto"/>
        <w:right w:val="none" w:sz="0" w:space="0" w:color="auto"/>
      </w:divBdr>
    </w:div>
    <w:div w:id="713431803">
      <w:bodyDiv w:val="1"/>
      <w:marLeft w:val="0"/>
      <w:marRight w:val="0"/>
      <w:marTop w:val="0"/>
      <w:marBottom w:val="0"/>
      <w:divBdr>
        <w:top w:val="none" w:sz="0" w:space="0" w:color="auto"/>
        <w:left w:val="none" w:sz="0" w:space="0" w:color="auto"/>
        <w:bottom w:val="none" w:sz="0" w:space="0" w:color="auto"/>
        <w:right w:val="none" w:sz="0" w:space="0" w:color="auto"/>
      </w:divBdr>
    </w:div>
    <w:div w:id="741415350">
      <w:bodyDiv w:val="1"/>
      <w:marLeft w:val="0"/>
      <w:marRight w:val="0"/>
      <w:marTop w:val="0"/>
      <w:marBottom w:val="0"/>
      <w:divBdr>
        <w:top w:val="none" w:sz="0" w:space="0" w:color="auto"/>
        <w:left w:val="none" w:sz="0" w:space="0" w:color="auto"/>
        <w:bottom w:val="none" w:sz="0" w:space="0" w:color="auto"/>
        <w:right w:val="none" w:sz="0" w:space="0" w:color="auto"/>
      </w:divBdr>
    </w:div>
    <w:div w:id="757947938">
      <w:bodyDiv w:val="1"/>
      <w:marLeft w:val="0"/>
      <w:marRight w:val="0"/>
      <w:marTop w:val="0"/>
      <w:marBottom w:val="0"/>
      <w:divBdr>
        <w:top w:val="none" w:sz="0" w:space="0" w:color="auto"/>
        <w:left w:val="none" w:sz="0" w:space="0" w:color="auto"/>
        <w:bottom w:val="none" w:sz="0" w:space="0" w:color="auto"/>
        <w:right w:val="none" w:sz="0" w:space="0" w:color="auto"/>
      </w:divBdr>
    </w:div>
    <w:div w:id="775561309">
      <w:bodyDiv w:val="1"/>
      <w:marLeft w:val="0"/>
      <w:marRight w:val="0"/>
      <w:marTop w:val="0"/>
      <w:marBottom w:val="0"/>
      <w:divBdr>
        <w:top w:val="none" w:sz="0" w:space="0" w:color="auto"/>
        <w:left w:val="none" w:sz="0" w:space="0" w:color="auto"/>
        <w:bottom w:val="none" w:sz="0" w:space="0" w:color="auto"/>
        <w:right w:val="none" w:sz="0" w:space="0" w:color="auto"/>
      </w:divBdr>
    </w:div>
    <w:div w:id="806780271">
      <w:bodyDiv w:val="1"/>
      <w:marLeft w:val="0"/>
      <w:marRight w:val="0"/>
      <w:marTop w:val="0"/>
      <w:marBottom w:val="0"/>
      <w:divBdr>
        <w:top w:val="none" w:sz="0" w:space="0" w:color="auto"/>
        <w:left w:val="none" w:sz="0" w:space="0" w:color="auto"/>
        <w:bottom w:val="none" w:sz="0" w:space="0" w:color="auto"/>
        <w:right w:val="none" w:sz="0" w:space="0" w:color="auto"/>
      </w:divBdr>
    </w:div>
    <w:div w:id="817844563">
      <w:bodyDiv w:val="1"/>
      <w:marLeft w:val="0"/>
      <w:marRight w:val="0"/>
      <w:marTop w:val="0"/>
      <w:marBottom w:val="0"/>
      <w:divBdr>
        <w:top w:val="none" w:sz="0" w:space="0" w:color="auto"/>
        <w:left w:val="none" w:sz="0" w:space="0" w:color="auto"/>
        <w:bottom w:val="none" w:sz="0" w:space="0" w:color="auto"/>
        <w:right w:val="none" w:sz="0" w:space="0" w:color="auto"/>
      </w:divBdr>
    </w:div>
    <w:div w:id="820118944">
      <w:bodyDiv w:val="1"/>
      <w:marLeft w:val="0"/>
      <w:marRight w:val="0"/>
      <w:marTop w:val="0"/>
      <w:marBottom w:val="0"/>
      <w:divBdr>
        <w:top w:val="none" w:sz="0" w:space="0" w:color="auto"/>
        <w:left w:val="none" w:sz="0" w:space="0" w:color="auto"/>
        <w:bottom w:val="none" w:sz="0" w:space="0" w:color="auto"/>
        <w:right w:val="none" w:sz="0" w:space="0" w:color="auto"/>
      </w:divBdr>
      <w:divsChild>
        <w:div w:id="1431044695">
          <w:marLeft w:val="0"/>
          <w:marRight w:val="0"/>
          <w:marTop w:val="0"/>
          <w:marBottom w:val="30"/>
          <w:divBdr>
            <w:top w:val="none" w:sz="0" w:space="0" w:color="auto"/>
            <w:left w:val="none" w:sz="0" w:space="0" w:color="auto"/>
            <w:bottom w:val="none" w:sz="0" w:space="0" w:color="auto"/>
            <w:right w:val="none" w:sz="0" w:space="0" w:color="auto"/>
          </w:divBdr>
        </w:div>
        <w:div w:id="1321933013">
          <w:marLeft w:val="0"/>
          <w:marRight w:val="0"/>
          <w:marTop w:val="0"/>
          <w:marBottom w:val="0"/>
          <w:divBdr>
            <w:top w:val="none" w:sz="0" w:space="0" w:color="auto"/>
            <w:left w:val="none" w:sz="0" w:space="0" w:color="auto"/>
            <w:bottom w:val="none" w:sz="0" w:space="0" w:color="auto"/>
            <w:right w:val="none" w:sz="0" w:space="0" w:color="auto"/>
          </w:divBdr>
        </w:div>
        <w:div w:id="1430588304">
          <w:marLeft w:val="0"/>
          <w:marRight w:val="0"/>
          <w:marTop w:val="150"/>
          <w:marBottom w:val="300"/>
          <w:divBdr>
            <w:top w:val="none" w:sz="0" w:space="0" w:color="auto"/>
            <w:left w:val="none" w:sz="0" w:space="0" w:color="auto"/>
            <w:bottom w:val="none" w:sz="0" w:space="0" w:color="auto"/>
            <w:right w:val="none" w:sz="0" w:space="0" w:color="auto"/>
          </w:divBdr>
          <w:divsChild>
            <w:div w:id="1480996093">
              <w:marLeft w:val="0"/>
              <w:marRight w:val="0"/>
              <w:marTop w:val="0"/>
              <w:marBottom w:val="0"/>
              <w:divBdr>
                <w:top w:val="none" w:sz="0" w:space="0" w:color="auto"/>
                <w:left w:val="none" w:sz="0" w:space="0" w:color="auto"/>
                <w:bottom w:val="none" w:sz="0" w:space="0" w:color="auto"/>
                <w:right w:val="none" w:sz="0" w:space="0" w:color="auto"/>
              </w:divBdr>
              <w:divsChild>
                <w:div w:id="67895354">
                  <w:marLeft w:val="0"/>
                  <w:marRight w:val="0"/>
                  <w:marTop w:val="0"/>
                  <w:marBottom w:val="0"/>
                  <w:divBdr>
                    <w:top w:val="none" w:sz="0" w:space="0" w:color="auto"/>
                    <w:left w:val="none" w:sz="0" w:space="0" w:color="auto"/>
                    <w:bottom w:val="none" w:sz="0" w:space="0" w:color="auto"/>
                    <w:right w:val="none" w:sz="0" w:space="0" w:color="auto"/>
                  </w:divBdr>
                </w:div>
                <w:div w:id="1848133104">
                  <w:marLeft w:val="0"/>
                  <w:marRight w:val="0"/>
                  <w:marTop w:val="0"/>
                  <w:marBottom w:val="0"/>
                  <w:divBdr>
                    <w:top w:val="none" w:sz="0" w:space="0" w:color="auto"/>
                    <w:left w:val="none" w:sz="0" w:space="0" w:color="auto"/>
                    <w:bottom w:val="none" w:sz="0" w:space="0" w:color="auto"/>
                    <w:right w:val="none" w:sz="0" w:space="0" w:color="auto"/>
                  </w:divBdr>
                </w:div>
                <w:div w:id="1197543380">
                  <w:marLeft w:val="0"/>
                  <w:marRight w:val="0"/>
                  <w:marTop w:val="0"/>
                  <w:marBottom w:val="0"/>
                  <w:divBdr>
                    <w:top w:val="none" w:sz="0" w:space="0" w:color="auto"/>
                    <w:left w:val="none" w:sz="0" w:space="0" w:color="auto"/>
                    <w:bottom w:val="none" w:sz="0" w:space="0" w:color="auto"/>
                    <w:right w:val="none" w:sz="0" w:space="0" w:color="auto"/>
                  </w:divBdr>
                </w:div>
                <w:div w:id="406801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048463">
      <w:bodyDiv w:val="1"/>
      <w:marLeft w:val="0"/>
      <w:marRight w:val="0"/>
      <w:marTop w:val="0"/>
      <w:marBottom w:val="0"/>
      <w:divBdr>
        <w:top w:val="none" w:sz="0" w:space="0" w:color="auto"/>
        <w:left w:val="none" w:sz="0" w:space="0" w:color="auto"/>
        <w:bottom w:val="none" w:sz="0" w:space="0" w:color="auto"/>
        <w:right w:val="none" w:sz="0" w:space="0" w:color="auto"/>
      </w:divBdr>
    </w:div>
    <w:div w:id="828788913">
      <w:bodyDiv w:val="1"/>
      <w:marLeft w:val="0"/>
      <w:marRight w:val="0"/>
      <w:marTop w:val="0"/>
      <w:marBottom w:val="0"/>
      <w:divBdr>
        <w:top w:val="none" w:sz="0" w:space="0" w:color="auto"/>
        <w:left w:val="none" w:sz="0" w:space="0" w:color="auto"/>
        <w:bottom w:val="none" w:sz="0" w:space="0" w:color="auto"/>
        <w:right w:val="none" w:sz="0" w:space="0" w:color="auto"/>
      </w:divBdr>
    </w:div>
    <w:div w:id="832839431">
      <w:bodyDiv w:val="1"/>
      <w:marLeft w:val="0"/>
      <w:marRight w:val="0"/>
      <w:marTop w:val="0"/>
      <w:marBottom w:val="0"/>
      <w:divBdr>
        <w:top w:val="none" w:sz="0" w:space="0" w:color="auto"/>
        <w:left w:val="none" w:sz="0" w:space="0" w:color="auto"/>
        <w:bottom w:val="none" w:sz="0" w:space="0" w:color="auto"/>
        <w:right w:val="none" w:sz="0" w:space="0" w:color="auto"/>
      </w:divBdr>
    </w:div>
    <w:div w:id="842627750">
      <w:bodyDiv w:val="1"/>
      <w:marLeft w:val="0"/>
      <w:marRight w:val="0"/>
      <w:marTop w:val="0"/>
      <w:marBottom w:val="0"/>
      <w:divBdr>
        <w:top w:val="none" w:sz="0" w:space="0" w:color="auto"/>
        <w:left w:val="none" w:sz="0" w:space="0" w:color="auto"/>
        <w:bottom w:val="none" w:sz="0" w:space="0" w:color="auto"/>
        <w:right w:val="none" w:sz="0" w:space="0" w:color="auto"/>
      </w:divBdr>
    </w:div>
    <w:div w:id="850607802">
      <w:bodyDiv w:val="1"/>
      <w:marLeft w:val="0"/>
      <w:marRight w:val="0"/>
      <w:marTop w:val="0"/>
      <w:marBottom w:val="0"/>
      <w:divBdr>
        <w:top w:val="none" w:sz="0" w:space="0" w:color="auto"/>
        <w:left w:val="none" w:sz="0" w:space="0" w:color="auto"/>
        <w:bottom w:val="none" w:sz="0" w:space="0" w:color="auto"/>
        <w:right w:val="none" w:sz="0" w:space="0" w:color="auto"/>
      </w:divBdr>
    </w:div>
    <w:div w:id="875893816">
      <w:bodyDiv w:val="1"/>
      <w:marLeft w:val="0"/>
      <w:marRight w:val="0"/>
      <w:marTop w:val="0"/>
      <w:marBottom w:val="0"/>
      <w:divBdr>
        <w:top w:val="none" w:sz="0" w:space="0" w:color="auto"/>
        <w:left w:val="none" w:sz="0" w:space="0" w:color="auto"/>
        <w:bottom w:val="none" w:sz="0" w:space="0" w:color="auto"/>
        <w:right w:val="none" w:sz="0" w:space="0" w:color="auto"/>
      </w:divBdr>
    </w:div>
    <w:div w:id="886182074">
      <w:bodyDiv w:val="1"/>
      <w:marLeft w:val="0"/>
      <w:marRight w:val="0"/>
      <w:marTop w:val="0"/>
      <w:marBottom w:val="0"/>
      <w:divBdr>
        <w:top w:val="none" w:sz="0" w:space="0" w:color="auto"/>
        <w:left w:val="none" w:sz="0" w:space="0" w:color="auto"/>
        <w:bottom w:val="none" w:sz="0" w:space="0" w:color="auto"/>
        <w:right w:val="none" w:sz="0" w:space="0" w:color="auto"/>
      </w:divBdr>
    </w:div>
    <w:div w:id="902182471">
      <w:bodyDiv w:val="1"/>
      <w:marLeft w:val="0"/>
      <w:marRight w:val="0"/>
      <w:marTop w:val="0"/>
      <w:marBottom w:val="0"/>
      <w:divBdr>
        <w:top w:val="none" w:sz="0" w:space="0" w:color="auto"/>
        <w:left w:val="none" w:sz="0" w:space="0" w:color="auto"/>
        <w:bottom w:val="none" w:sz="0" w:space="0" w:color="auto"/>
        <w:right w:val="none" w:sz="0" w:space="0" w:color="auto"/>
      </w:divBdr>
    </w:div>
    <w:div w:id="906917959">
      <w:bodyDiv w:val="1"/>
      <w:marLeft w:val="0"/>
      <w:marRight w:val="0"/>
      <w:marTop w:val="0"/>
      <w:marBottom w:val="0"/>
      <w:divBdr>
        <w:top w:val="none" w:sz="0" w:space="0" w:color="auto"/>
        <w:left w:val="none" w:sz="0" w:space="0" w:color="auto"/>
        <w:bottom w:val="none" w:sz="0" w:space="0" w:color="auto"/>
        <w:right w:val="none" w:sz="0" w:space="0" w:color="auto"/>
      </w:divBdr>
    </w:div>
    <w:div w:id="912471782">
      <w:bodyDiv w:val="1"/>
      <w:marLeft w:val="0"/>
      <w:marRight w:val="0"/>
      <w:marTop w:val="0"/>
      <w:marBottom w:val="0"/>
      <w:divBdr>
        <w:top w:val="none" w:sz="0" w:space="0" w:color="auto"/>
        <w:left w:val="none" w:sz="0" w:space="0" w:color="auto"/>
        <w:bottom w:val="none" w:sz="0" w:space="0" w:color="auto"/>
        <w:right w:val="none" w:sz="0" w:space="0" w:color="auto"/>
      </w:divBdr>
    </w:div>
    <w:div w:id="914752009">
      <w:bodyDiv w:val="1"/>
      <w:marLeft w:val="0"/>
      <w:marRight w:val="0"/>
      <w:marTop w:val="0"/>
      <w:marBottom w:val="0"/>
      <w:divBdr>
        <w:top w:val="none" w:sz="0" w:space="0" w:color="auto"/>
        <w:left w:val="none" w:sz="0" w:space="0" w:color="auto"/>
        <w:bottom w:val="none" w:sz="0" w:space="0" w:color="auto"/>
        <w:right w:val="none" w:sz="0" w:space="0" w:color="auto"/>
      </w:divBdr>
    </w:div>
    <w:div w:id="917444038">
      <w:bodyDiv w:val="1"/>
      <w:marLeft w:val="0"/>
      <w:marRight w:val="0"/>
      <w:marTop w:val="0"/>
      <w:marBottom w:val="0"/>
      <w:divBdr>
        <w:top w:val="none" w:sz="0" w:space="0" w:color="auto"/>
        <w:left w:val="none" w:sz="0" w:space="0" w:color="auto"/>
        <w:bottom w:val="none" w:sz="0" w:space="0" w:color="auto"/>
        <w:right w:val="none" w:sz="0" w:space="0" w:color="auto"/>
      </w:divBdr>
    </w:div>
    <w:div w:id="930773129">
      <w:bodyDiv w:val="1"/>
      <w:marLeft w:val="0"/>
      <w:marRight w:val="0"/>
      <w:marTop w:val="0"/>
      <w:marBottom w:val="0"/>
      <w:divBdr>
        <w:top w:val="none" w:sz="0" w:space="0" w:color="auto"/>
        <w:left w:val="none" w:sz="0" w:space="0" w:color="auto"/>
        <w:bottom w:val="none" w:sz="0" w:space="0" w:color="auto"/>
        <w:right w:val="none" w:sz="0" w:space="0" w:color="auto"/>
      </w:divBdr>
    </w:div>
    <w:div w:id="931744732">
      <w:bodyDiv w:val="1"/>
      <w:marLeft w:val="0"/>
      <w:marRight w:val="0"/>
      <w:marTop w:val="0"/>
      <w:marBottom w:val="0"/>
      <w:divBdr>
        <w:top w:val="none" w:sz="0" w:space="0" w:color="auto"/>
        <w:left w:val="none" w:sz="0" w:space="0" w:color="auto"/>
        <w:bottom w:val="none" w:sz="0" w:space="0" w:color="auto"/>
        <w:right w:val="none" w:sz="0" w:space="0" w:color="auto"/>
      </w:divBdr>
    </w:div>
    <w:div w:id="958804823">
      <w:bodyDiv w:val="1"/>
      <w:marLeft w:val="0"/>
      <w:marRight w:val="0"/>
      <w:marTop w:val="0"/>
      <w:marBottom w:val="0"/>
      <w:divBdr>
        <w:top w:val="none" w:sz="0" w:space="0" w:color="auto"/>
        <w:left w:val="none" w:sz="0" w:space="0" w:color="auto"/>
        <w:bottom w:val="none" w:sz="0" w:space="0" w:color="auto"/>
        <w:right w:val="none" w:sz="0" w:space="0" w:color="auto"/>
      </w:divBdr>
    </w:div>
    <w:div w:id="988246056">
      <w:bodyDiv w:val="1"/>
      <w:marLeft w:val="0"/>
      <w:marRight w:val="0"/>
      <w:marTop w:val="0"/>
      <w:marBottom w:val="0"/>
      <w:divBdr>
        <w:top w:val="none" w:sz="0" w:space="0" w:color="auto"/>
        <w:left w:val="none" w:sz="0" w:space="0" w:color="auto"/>
        <w:bottom w:val="none" w:sz="0" w:space="0" w:color="auto"/>
        <w:right w:val="none" w:sz="0" w:space="0" w:color="auto"/>
      </w:divBdr>
    </w:div>
    <w:div w:id="991837177">
      <w:bodyDiv w:val="1"/>
      <w:marLeft w:val="0"/>
      <w:marRight w:val="0"/>
      <w:marTop w:val="0"/>
      <w:marBottom w:val="0"/>
      <w:divBdr>
        <w:top w:val="none" w:sz="0" w:space="0" w:color="auto"/>
        <w:left w:val="none" w:sz="0" w:space="0" w:color="auto"/>
        <w:bottom w:val="none" w:sz="0" w:space="0" w:color="auto"/>
        <w:right w:val="none" w:sz="0" w:space="0" w:color="auto"/>
      </w:divBdr>
    </w:div>
    <w:div w:id="1001549065">
      <w:bodyDiv w:val="1"/>
      <w:marLeft w:val="0"/>
      <w:marRight w:val="0"/>
      <w:marTop w:val="0"/>
      <w:marBottom w:val="0"/>
      <w:divBdr>
        <w:top w:val="none" w:sz="0" w:space="0" w:color="auto"/>
        <w:left w:val="none" w:sz="0" w:space="0" w:color="auto"/>
        <w:bottom w:val="none" w:sz="0" w:space="0" w:color="auto"/>
        <w:right w:val="none" w:sz="0" w:space="0" w:color="auto"/>
      </w:divBdr>
    </w:div>
    <w:div w:id="1001734168">
      <w:bodyDiv w:val="1"/>
      <w:marLeft w:val="0"/>
      <w:marRight w:val="0"/>
      <w:marTop w:val="0"/>
      <w:marBottom w:val="0"/>
      <w:divBdr>
        <w:top w:val="none" w:sz="0" w:space="0" w:color="auto"/>
        <w:left w:val="none" w:sz="0" w:space="0" w:color="auto"/>
        <w:bottom w:val="none" w:sz="0" w:space="0" w:color="auto"/>
        <w:right w:val="none" w:sz="0" w:space="0" w:color="auto"/>
      </w:divBdr>
    </w:div>
    <w:div w:id="1005324157">
      <w:bodyDiv w:val="1"/>
      <w:marLeft w:val="0"/>
      <w:marRight w:val="0"/>
      <w:marTop w:val="0"/>
      <w:marBottom w:val="0"/>
      <w:divBdr>
        <w:top w:val="none" w:sz="0" w:space="0" w:color="auto"/>
        <w:left w:val="none" w:sz="0" w:space="0" w:color="auto"/>
        <w:bottom w:val="none" w:sz="0" w:space="0" w:color="auto"/>
        <w:right w:val="none" w:sz="0" w:space="0" w:color="auto"/>
      </w:divBdr>
    </w:div>
    <w:div w:id="1027560832">
      <w:bodyDiv w:val="1"/>
      <w:marLeft w:val="0"/>
      <w:marRight w:val="0"/>
      <w:marTop w:val="0"/>
      <w:marBottom w:val="0"/>
      <w:divBdr>
        <w:top w:val="none" w:sz="0" w:space="0" w:color="auto"/>
        <w:left w:val="none" w:sz="0" w:space="0" w:color="auto"/>
        <w:bottom w:val="none" w:sz="0" w:space="0" w:color="auto"/>
        <w:right w:val="none" w:sz="0" w:space="0" w:color="auto"/>
      </w:divBdr>
      <w:divsChild>
        <w:div w:id="1817608072">
          <w:marLeft w:val="0"/>
          <w:marRight w:val="0"/>
          <w:marTop w:val="0"/>
          <w:marBottom w:val="0"/>
          <w:divBdr>
            <w:top w:val="none" w:sz="0" w:space="0" w:color="auto"/>
            <w:left w:val="none" w:sz="0" w:space="0" w:color="auto"/>
            <w:bottom w:val="none" w:sz="0" w:space="0" w:color="auto"/>
            <w:right w:val="none" w:sz="0" w:space="0" w:color="auto"/>
          </w:divBdr>
        </w:div>
        <w:div w:id="602036056">
          <w:marLeft w:val="0"/>
          <w:marRight w:val="0"/>
          <w:marTop w:val="0"/>
          <w:marBottom w:val="0"/>
          <w:divBdr>
            <w:top w:val="none" w:sz="0" w:space="0" w:color="auto"/>
            <w:left w:val="none" w:sz="0" w:space="0" w:color="auto"/>
            <w:bottom w:val="none" w:sz="0" w:space="0" w:color="auto"/>
            <w:right w:val="none" w:sz="0" w:space="0" w:color="auto"/>
          </w:divBdr>
        </w:div>
        <w:div w:id="1902791514">
          <w:marLeft w:val="0"/>
          <w:marRight w:val="0"/>
          <w:marTop w:val="0"/>
          <w:marBottom w:val="0"/>
          <w:divBdr>
            <w:top w:val="none" w:sz="0" w:space="0" w:color="auto"/>
            <w:left w:val="none" w:sz="0" w:space="0" w:color="auto"/>
            <w:bottom w:val="none" w:sz="0" w:space="0" w:color="auto"/>
            <w:right w:val="none" w:sz="0" w:space="0" w:color="auto"/>
          </w:divBdr>
        </w:div>
        <w:div w:id="1516075731">
          <w:marLeft w:val="0"/>
          <w:marRight w:val="0"/>
          <w:marTop w:val="0"/>
          <w:marBottom w:val="0"/>
          <w:divBdr>
            <w:top w:val="none" w:sz="0" w:space="0" w:color="auto"/>
            <w:left w:val="none" w:sz="0" w:space="0" w:color="auto"/>
            <w:bottom w:val="none" w:sz="0" w:space="0" w:color="auto"/>
            <w:right w:val="none" w:sz="0" w:space="0" w:color="auto"/>
          </w:divBdr>
        </w:div>
        <w:div w:id="390886006">
          <w:marLeft w:val="0"/>
          <w:marRight w:val="0"/>
          <w:marTop w:val="0"/>
          <w:marBottom w:val="0"/>
          <w:divBdr>
            <w:top w:val="none" w:sz="0" w:space="0" w:color="auto"/>
            <w:left w:val="none" w:sz="0" w:space="0" w:color="auto"/>
            <w:bottom w:val="none" w:sz="0" w:space="0" w:color="auto"/>
            <w:right w:val="none" w:sz="0" w:space="0" w:color="auto"/>
          </w:divBdr>
        </w:div>
      </w:divsChild>
    </w:div>
    <w:div w:id="1037513146">
      <w:bodyDiv w:val="1"/>
      <w:marLeft w:val="0"/>
      <w:marRight w:val="0"/>
      <w:marTop w:val="0"/>
      <w:marBottom w:val="0"/>
      <w:divBdr>
        <w:top w:val="none" w:sz="0" w:space="0" w:color="auto"/>
        <w:left w:val="none" w:sz="0" w:space="0" w:color="auto"/>
        <w:bottom w:val="none" w:sz="0" w:space="0" w:color="auto"/>
        <w:right w:val="none" w:sz="0" w:space="0" w:color="auto"/>
      </w:divBdr>
    </w:div>
    <w:div w:id="1066299666">
      <w:bodyDiv w:val="1"/>
      <w:marLeft w:val="0"/>
      <w:marRight w:val="0"/>
      <w:marTop w:val="0"/>
      <w:marBottom w:val="0"/>
      <w:divBdr>
        <w:top w:val="none" w:sz="0" w:space="0" w:color="auto"/>
        <w:left w:val="none" w:sz="0" w:space="0" w:color="auto"/>
        <w:bottom w:val="none" w:sz="0" w:space="0" w:color="auto"/>
        <w:right w:val="none" w:sz="0" w:space="0" w:color="auto"/>
      </w:divBdr>
    </w:div>
    <w:div w:id="1071273938">
      <w:bodyDiv w:val="1"/>
      <w:marLeft w:val="0"/>
      <w:marRight w:val="0"/>
      <w:marTop w:val="0"/>
      <w:marBottom w:val="0"/>
      <w:divBdr>
        <w:top w:val="none" w:sz="0" w:space="0" w:color="auto"/>
        <w:left w:val="none" w:sz="0" w:space="0" w:color="auto"/>
        <w:bottom w:val="none" w:sz="0" w:space="0" w:color="auto"/>
        <w:right w:val="none" w:sz="0" w:space="0" w:color="auto"/>
      </w:divBdr>
    </w:div>
    <w:div w:id="1088884418">
      <w:bodyDiv w:val="1"/>
      <w:marLeft w:val="0"/>
      <w:marRight w:val="0"/>
      <w:marTop w:val="0"/>
      <w:marBottom w:val="0"/>
      <w:divBdr>
        <w:top w:val="none" w:sz="0" w:space="0" w:color="auto"/>
        <w:left w:val="none" w:sz="0" w:space="0" w:color="auto"/>
        <w:bottom w:val="none" w:sz="0" w:space="0" w:color="auto"/>
        <w:right w:val="none" w:sz="0" w:space="0" w:color="auto"/>
      </w:divBdr>
    </w:div>
    <w:div w:id="1096898466">
      <w:bodyDiv w:val="1"/>
      <w:marLeft w:val="0"/>
      <w:marRight w:val="0"/>
      <w:marTop w:val="0"/>
      <w:marBottom w:val="0"/>
      <w:divBdr>
        <w:top w:val="none" w:sz="0" w:space="0" w:color="auto"/>
        <w:left w:val="none" w:sz="0" w:space="0" w:color="auto"/>
        <w:bottom w:val="none" w:sz="0" w:space="0" w:color="auto"/>
        <w:right w:val="none" w:sz="0" w:space="0" w:color="auto"/>
      </w:divBdr>
    </w:div>
    <w:div w:id="1107697273">
      <w:bodyDiv w:val="1"/>
      <w:marLeft w:val="0"/>
      <w:marRight w:val="0"/>
      <w:marTop w:val="0"/>
      <w:marBottom w:val="0"/>
      <w:divBdr>
        <w:top w:val="none" w:sz="0" w:space="0" w:color="auto"/>
        <w:left w:val="none" w:sz="0" w:space="0" w:color="auto"/>
        <w:bottom w:val="none" w:sz="0" w:space="0" w:color="auto"/>
        <w:right w:val="none" w:sz="0" w:space="0" w:color="auto"/>
      </w:divBdr>
    </w:div>
    <w:div w:id="1113675079">
      <w:bodyDiv w:val="1"/>
      <w:marLeft w:val="0"/>
      <w:marRight w:val="0"/>
      <w:marTop w:val="0"/>
      <w:marBottom w:val="0"/>
      <w:divBdr>
        <w:top w:val="none" w:sz="0" w:space="0" w:color="auto"/>
        <w:left w:val="none" w:sz="0" w:space="0" w:color="auto"/>
        <w:bottom w:val="none" w:sz="0" w:space="0" w:color="auto"/>
        <w:right w:val="none" w:sz="0" w:space="0" w:color="auto"/>
      </w:divBdr>
    </w:div>
    <w:div w:id="1119838963">
      <w:bodyDiv w:val="1"/>
      <w:marLeft w:val="0"/>
      <w:marRight w:val="0"/>
      <w:marTop w:val="0"/>
      <w:marBottom w:val="0"/>
      <w:divBdr>
        <w:top w:val="none" w:sz="0" w:space="0" w:color="auto"/>
        <w:left w:val="none" w:sz="0" w:space="0" w:color="auto"/>
        <w:bottom w:val="none" w:sz="0" w:space="0" w:color="auto"/>
        <w:right w:val="none" w:sz="0" w:space="0" w:color="auto"/>
      </w:divBdr>
    </w:div>
    <w:div w:id="1122311521">
      <w:bodyDiv w:val="1"/>
      <w:marLeft w:val="0"/>
      <w:marRight w:val="0"/>
      <w:marTop w:val="0"/>
      <w:marBottom w:val="0"/>
      <w:divBdr>
        <w:top w:val="none" w:sz="0" w:space="0" w:color="auto"/>
        <w:left w:val="none" w:sz="0" w:space="0" w:color="auto"/>
        <w:bottom w:val="none" w:sz="0" w:space="0" w:color="auto"/>
        <w:right w:val="none" w:sz="0" w:space="0" w:color="auto"/>
      </w:divBdr>
      <w:divsChild>
        <w:div w:id="791636411">
          <w:marLeft w:val="547"/>
          <w:marRight w:val="0"/>
          <w:marTop w:val="48"/>
          <w:marBottom w:val="0"/>
          <w:divBdr>
            <w:top w:val="none" w:sz="0" w:space="0" w:color="auto"/>
            <w:left w:val="none" w:sz="0" w:space="0" w:color="auto"/>
            <w:bottom w:val="none" w:sz="0" w:space="0" w:color="auto"/>
            <w:right w:val="none" w:sz="0" w:space="0" w:color="auto"/>
          </w:divBdr>
        </w:div>
        <w:div w:id="709764152">
          <w:marLeft w:val="1166"/>
          <w:marRight w:val="0"/>
          <w:marTop w:val="48"/>
          <w:marBottom w:val="0"/>
          <w:divBdr>
            <w:top w:val="none" w:sz="0" w:space="0" w:color="auto"/>
            <w:left w:val="none" w:sz="0" w:space="0" w:color="auto"/>
            <w:bottom w:val="none" w:sz="0" w:space="0" w:color="auto"/>
            <w:right w:val="none" w:sz="0" w:space="0" w:color="auto"/>
          </w:divBdr>
        </w:div>
        <w:div w:id="1666126907">
          <w:marLeft w:val="547"/>
          <w:marRight w:val="0"/>
          <w:marTop w:val="48"/>
          <w:marBottom w:val="0"/>
          <w:divBdr>
            <w:top w:val="none" w:sz="0" w:space="0" w:color="auto"/>
            <w:left w:val="none" w:sz="0" w:space="0" w:color="auto"/>
            <w:bottom w:val="none" w:sz="0" w:space="0" w:color="auto"/>
            <w:right w:val="none" w:sz="0" w:space="0" w:color="auto"/>
          </w:divBdr>
        </w:div>
        <w:div w:id="1014962807">
          <w:marLeft w:val="1166"/>
          <w:marRight w:val="0"/>
          <w:marTop w:val="48"/>
          <w:marBottom w:val="0"/>
          <w:divBdr>
            <w:top w:val="none" w:sz="0" w:space="0" w:color="auto"/>
            <w:left w:val="none" w:sz="0" w:space="0" w:color="auto"/>
            <w:bottom w:val="none" w:sz="0" w:space="0" w:color="auto"/>
            <w:right w:val="none" w:sz="0" w:space="0" w:color="auto"/>
          </w:divBdr>
        </w:div>
        <w:div w:id="724640076">
          <w:marLeft w:val="1166"/>
          <w:marRight w:val="0"/>
          <w:marTop w:val="48"/>
          <w:marBottom w:val="0"/>
          <w:divBdr>
            <w:top w:val="none" w:sz="0" w:space="0" w:color="auto"/>
            <w:left w:val="none" w:sz="0" w:space="0" w:color="auto"/>
            <w:bottom w:val="none" w:sz="0" w:space="0" w:color="auto"/>
            <w:right w:val="none" w:sz="0" w:space="0" w:color="auto"/>
          </w:divBdr>
        </w:div>
        <w:div w:id="225799236">
          <w:marLeft w:val="1166"/>
          <w:marRight w:val="0"/>
          <w:marTop w:val="48"/>
          <w:marBottom w:val="0"/>
          <w:divBdr>
            <w:top w:val="none" w:sz="0" w:space="0" w:color="auto"/>
            <w:left w:val="none" w:sz="0" w:space="0" w:color="auto"/>
            <w:bottom w:val="none" w:sz="0" w:space="0" w:color="auto"/>
            <w:right w:val="none" w:sz="0" w:space="0" w:color="auto"/>
          </w:divBdr>
        </w:div>
        <w:div w:id="8676990">
          <w:marLeft w:val="1166"/>
          <w:marRight w:val="0"/>
          <w:marTop w:val="48"/>
          <w:marBottom w:val="0"/>
          <w:divBdr>
            <w:top w:val="none" w:sz="0" w:space="0" w:color="auto"/>
            <w:left w:val="none" w:sz="0" w:space="0" w:color="auto"/>
            <w:bottom w:val="none" w:sz="0" w:space="0" w:color="auto"/>
            <w:right w:val="none" w:sz="0" w:space="0" w:color="auto"/>
          </w:divBdr>
        </w:div>
        <w:div w:id="1476335800">
          <w:marLeft w:val="547"/>
          <w:marRight w:val="0"/>
          <w:marTop w:val="48"/>
          <w:marBottom w:val="0"/>
          <w:divBdr>
            <w:top w:val="none" w:sz="0" w:space="0" w:color="auto"/>
            <w:left w:val="none" w:sz="0" w:space="0" w:color="auto"/>
            <w:bottom w:val="none" w:sz="0" w:space="0" w:color="auto"/>
            <w:right w:val="none" w:sz="0" w:space="0" w:color="auto"/>
          </w:divBdr>
        </w:div>
        <w:div w:id="1167984765">
          <w:marLeft w:val="1166"/>
          <w:marRight w:val="0"/>
          <w:marTop w:val="48"/>
          <w:marBottom w:val="0"/>
          <w:divBdr>
            <w:top w:val="none" w:sz="0" w:space="0" w:color="auto"/>
            <w:left w:val="none" w:sz="0" w:space="0" w:color="auto"/>
            <w:bottom w:val="none" w:sz="0" w:space="0" w:color="auto"/>
            <w:right w:val="none" w:sz="0" w:space="0" w:color="auto"/>
          </w:divBdr>
        </w:div>
        <w:div w:id="1261715496">
          <w:marLeft w:val="547"/>
          <w:marRight w:val="0"/>
          <w:marTop w:val="48"/>
          <w:marBottom w:val="0"/>
          <w:divBdr>
            <w:top w:val="none" w:sz="0" w:space="0" w:color="auto"/>
            <w:left w:val="none" w:sz="0" w:space="0" w:color="auto"/>
            <w:bottom w:val="none" w:sz="0" w:space="0" w:color="auto"/>
            <w:right w:val="none" w:sz="0" w:space="0" w:color="auto"/>
          </w:divBdr>
        </w:div>
        <w:div w:id="1869874164">
          <w:marLeft w:val="1166"/>
          <w:marRight w:val="0"/>
          <w:marTop w:val="48"/>
          <w:marBottom w:val="0"/>
          <w:divBdr>
            <w:top w:val="none" w:sz="0" w:space="0" w:color="auto"/>
            <w:left w:val="none" w:sz="0" w:space="0" w:color="auto"/>
            <w:bottom w:val="none" w:sz="0" w:space="0" w:color="auto"/>
            <w:right w:val="none" w:sz="0" w:space="0" w:color="auto"/>
          </w:divBdr>
        </w:div>
        <w:div w:id="185564300">
          <w:marLeft w:val="1166"/>
          <w:marRight w:val="0"/>
          <w:marTop w:val="48"/>
          <w:marBottom w:val="0"/>
          <w:divBdr>
            <w:top w:val="none" w:sz="0" w:space="0" w:color="auto"/>
            <w:left w:val="none" w:sz="0" w:space="0" w:color="auto"/>
            <w:bottom w:val="none" w:sz="0" w:space="0" w:color="auto"/>
            <w:right w:val="none" w:sz="0" w:space="0" w:color="auto"/>
          </w:divBdr>
        </w:div>
        <w:div w:id="1563295921">
          <w:marLeft w:val="547"/>
          <w:marRight w:val="0"/>
          <w:marTop w:val="48"/>
          <w:marBottom w:val="0"/>
          <w:divBdr>
            <w:top w:val="none" w:sz="0" w:space="0" w:color="auto"/>
            <w:left w:val="none" w:sz="0" w:space="0" w:color="auto"/>
            <w:bottom w:val="none" w:sz="0" w:space="0" w:color="auto"/>
            <w:right w:val="none" w:sz="0" w:space="0" w:color="auto"/>
          </w:divBdr>
        </w:div>
        <w:div w:id="371543697">
          <w:marLeft w:val="1166"/>
          <w:marRight w:val="0"/>
          <w:marTop w:val="48"/>
          <w:marBottom w:val="0"/>
          <w:divBdr>
            <w:top w:val="none" w:sz="0" w:space="0" w:color="auto"/>
            <w:left w:val="none" w:sz="0" w:space="0" w:color="auto"/>
            <w:bottom w:val="none" w:sz="0" w:space="0" w:color="auto"/>
            <w:right w:val="none" w:sz="0" w:space="0" w:color="auto"/>
          </w:divBdr>
        </w:div>
      </w:divsChild>
    </w:div>
    <w:div w:id="1127237551">
      <w:bodyDiv w:val="1"/>
      <w:marLeft w:val="0"/>
      <w:marRight w:val="0"/>
      <w:marTop w:val="0"/>
      <w:marBottom w:val="0"/>
      <w:divBdr>
        <w:top w:val="none" w:sz="0" w:space="0" w:color="auto"/>
        <w:left w:val="none" w:sz="0" w:space="0" w:color="auto"/>
        <w:bottom w:val="none" w:sz="0" w:space="0" w:color="auto"/>
        <w:right w:val="none" w:sz="0" w:space="0" w:color="auto"/>
      </w:divBdr>
    </w:div>
    <w:div w:id="1136726553">
      <w:bodyDiv w:val="1"/>
      <w:marLeft w:val="0"/>
      <w:marRight w:val="0"/>
      <w:marTop w:val="0"/>
      <w:marBottom w:val="0"/>
      <w:divBdr>
        <w:top w:val="none" w:sz="0" w:space="0" w:color="auto"/>
        <w:left w:val="none" w:sz="0" w:space="0" w:color="auto"/>
        <w:bottom w:val="none" w:sz="0" w:space="0" w:color="auto"/>
        <w:right w:val="none" w:sz="0" w:space="0" w:color="auto"/>
      </w:divBdr>
    </w:div>
    <w:div w:id="1138261558">
      <w:bodyDiv w:val="1"/>
      <w:marLeft w:val="0"/>
      <w:marRight w:val="0"/>
      <w:marTop w:val="0"/>
      <w:marBottom w:val="0"/>
      <w:divBdr>
        <w:top w:val="none" w:sz="0" w:space="0" w:color="auto"/>
        <w:left w:val="none" w:sz="0" w:space="0" w:color="auto"/>
        <w:bottom w:val="none" w:sz="0" w:space="0" w:color="auto"/>
        <w:right w:val="none" w:sz="0" w:space="0" w:color="auto"/>
      </w:divBdr>
    </w:div>
    <w:div w:id="1154251798">
      <w:bodyDiv w:val="1"/>
      <w:marLeft w:val="0"/>
      <w:marRight w:val="0"/>
      <w:marTop w:val="0"/>
      <w:marBottom w:val="0"/>
      <w:divBdr>
        <w:top w:val="none" w:sz="0" w:space="0" w:color="auto"/>
        <w:left w:val="none" w:sz="0" w:space="0" w:color="auto"/>
        <w:bottom w:val="none" w:sz="0" w:space="0" w:color="auto"/>
        <w:right w:val="none" w:sz="0" w:space="0" w:color="auto"/>
      </w:divBdr>
    </w:div>
    <w:div w:id="1172795111">
      <w:bodyDiv w:val="1"/>
      <w:marLeft w:val="0"/>
      <w:marRight w:val="0"/>
      <w:marTop w:val="0"/>
      <w:marBottom w:val="0"/>
      <w:divBdr>
        <w:top w:val="none" w:sz="0" w:space="0" w:color="auto"/>
        <w:left w:val="none" w:sz="0" w:space="0" w:color="auto"/>
        <w:bottom w:val="none" w:sz="0" w:space="0" w:color="auto"/>
        <w:right w:val="none" w:sz="0" w:space="0" w:color="auto"/>
      </w:divBdr>
    </w:div>
    <w:div w:id="1206715444">
      <w:bodyDiv w:val="1"/>
      <w:marLeft w:val="0"/>
      <w:marRight w:val="0"/>
      <w:marTop w:val="0"/>
      <w:marBottom w:val="0"/>
      <w:divBdr>
        <w:top w:val="none" w:sz="0" w:space="0" w:color="auto"/>
        <w:left w:val="none" w:sz="0" w:space="0" w:color="auto"/>
        <w:bottom w:val="none" w:sz="0" w:space="0" w:color="auto"/>
        <w:right w:val="none" w:sz="0" w:space="0" w:color="auto"/>
      </w:divBdr>
    </w:div>
    <w:div w:id="1215434114">
      <w:bodyDiv w:val="1"/>
      <w:marLeft w:val="0"/>
      <w:marRight w:val="0"/>
      <w:marTop w:val="0"/>
      <w:marBottom w:val="0"/>
      <w:divBdr>
        <w:top w:val="none" w:sz="0" w:space="0" w:color="auto"/>
        <w:left w:val="none" w:sz="0" w:space="0" w:color="auto"/>
        <w:bottom w:val="none" w:sz="0" w:space="0" w:color="auto"/>
        <w:right w:val="none" w:sz="0" w:space="0" w:color="auto"/>
      </w:divBdr>
    </w:div>
    <w:div w:id="1218935394">
      <w:bodyDiv w:val="1"/>
      <w:marLeft w:val="0"/>
      <w:marRight w:val="0"/>
      <w:marTop w:val="0"/>
      <w:marBottom w:val="0"/>
      <w:divBdr>
        <w:top w:val="none" w:sz="0" w:space="0" w:color="auto"/>
        <w:left w:val="none" w:sz="0" w:space="0" w:color="auto"/>
        <w:bottom w:val="none" w:sz="0" w:space="0" w:color="auto"/>
        <w:right w:val="none" w:sz="0" w:space="0" w:color="auto"/>
      </w:divBdr>
    </w:div>
    <w:div w:id="1229339116">
      <w:bodyDiv w:val="1"/>
      <w:marLeft w:val="0"/>
      <w:marRight w:val="0"/>
      <w:marTop w:val="0"/>
      <w:marBottom w:val="0"/>
      <w:divBdr>
        <w:top w:val="none" w:sz="0" w:space="0" w:color="auto"/>
        <w:left w:val="none" w:sz="0" w:space="0" w:color="auto"/>
        <w:bottom w:val="none" w:sz="0" w:space="0" w:color="auto"/>
        <w:right w:val="none" w:sz="0" w:space="0" w:color="auto"/>
      </w:divBdr>
    </w:div>
    <w:div w:id="1233615201">
      <w:bodyDiv w:val="1"/>
      <w:marLeft w:val="0"/>
      <w:marRight w:val="0"/>
      <w:marTop w:val="0"/>
      <w:marBottom w:val="0"/>
      <w:divBdr>
        <w:top w:val="none" w:sz="0" w:space="0" w:color="auto"/>
        <w:left w:val="none" w:sz="0" w:space="0" w:color="auto"/>
        <w:bottom w:val="none" w:sz="0" w:space="0" w:color="auto"/>
        <w:right w:val="none" w:sz="0" w:space="0" w:color="auto"/>
      </w:divBdr>
    </w:div>
    <w:div w:id="1239823783">
      <w:bodyDiv w:val="1"/>
      <w:marLeft w:val="0"/>
      <w:marRight w:val="0"/>
      <w:marTop w:val="0"/>
      <w:marBottom w:val="0"/>
      <w:divBdr>
        <w:top w:val="none" w:sz="0" w:space="0" w:color="auto"/>
        <w:left w:val="none" w:sz="0" w:space="0" w:color="auto"/>
        <w:bottom w:val="none" w:sz="0" w:space="0" w:color="auto"/>
        <w:right w:val="none" w:sz="0" w:space="0" w:color="auto"/>
      </w:divBdr>
    </w:div>
    <w:div w:id="1257985326">
      <w:bodyDiv w:val="1"/>
      <w:marLeft w:val="0"/>
      <w:marRight w:val="0"/>
      <w:marTop w:val="0"/>
      <w:marBottom w:val="0"/>
      <w:divBdr>
        <w:top w:val="none" w:sz="0" w:space="0" w:color="auto"/>
        <w:left w:val="none" w:sz="0" w:space="0" w:color="auto"/>
        <w:bottom w:val="none" w:sz="0" w:space="0" w:color="auto"/>
        <w:right w:val="none" w:sz="0" w:space="0" w:color="auto"/>
      </w:divBdr>
      <w:divsChild>
        <w:div w:id="1422025388">
          <w:blockQuote w:val="1"/>
          <w:marLeft w:val="720"/>
          <w:marRight w:val="720"/>
          <w:marTop w:val="100"/>
          <w:marBottom w:val="100"/>
          <w:divBdr>
            <w:top w:val="none" w:sz="0" w:space="0" w:color="auto"/>
            <w:left w:val="none" w:sz="0" w:space="0" w:color="auto"/>
            <w:bottom w:val="none" w:sz="0" w:space="0" w:color="auto"/>
            <w:right w:val="none" w:sz="0" w:space="0" w:color="auto"/>
          </w:divBdr>
        </w:div>
        <w:div w:id="474834370">
          <w:blockQuote w:val="1"/>
          <w:marLeft w:val="600"/>
          <w:marRight w:val="0"/>
          <w:marTop w:val="0"/>
          <w:marBottom w:val="0"/>
          <w:divBdr>
            <w:top w:val="none" w:sz="0" w:space="0" w:color="auto"/>
            <w:left w:val="none" w:sz="0" w:space="0" w:color="auto"/>
            <w:bottom w:val="none" w:sz="0" w:space="0" w:color="auto"/>
            <w:right w:val="none" w:sz="0" w:space="0" w:color="auto"/>
          </w:divBdr>
          <w:divsChild>
            <w:div w:id="12709666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3675490">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67151814">
      <w:bodyDiv w:val="1"/>
      <w:marLeft w:val="0"/>
      <w:marRight w:val="0"/>
      <w:marTop w:val="0"/>
      <w:marBottom w:val="0"/>
      <w:divBdr>
        <w:top w:val="none" w:sz="0" w:space="0" w:color="auto"/>
        <w:left w:val="none" w:sz="0" w:space="0" w:color="auto"/>
        <w:bottom w:val="none" w:sz="0" w:space="0" w:color="auto"/>
        <w:right w:val="none" w:sz="0" w:space="0" w:color="auto"/>
      </w:divBdr>
    </w:div>
    <w:div w:id="1271663763">
      <w:bodyDiv w:val="1"/>
      <w:marLeft w:val="0"/>
      <w:marRight w:val="0"/>
      <w:marTop w:val="0"/>
      <w:marBottom w:val="0"/>
      <w:divBdr>
        <w:top w:val="none" w:sz="0" w:space="0" w:color="auto"/>
        <w:left w:val="none" w:sz="0" w:space="0" w:color="auto"/>
        <w:bottom w:val="none" w:sz="0" w:space="0" w:color="auto"/>
        <w:right w:val="none" w:sz="0" w:space="0" w:color="auto"/>
      </w:divBdr>
    </w:div>
    <w:div w:id="1319461328">
      <w:bodyDiv w:val="1"/>
      <w:marLeft w:val="0"/>
      <w:marRight w:val="0"/>
      <w:marTop w:val="0"/>
      <w:marBottom w:val="0"/>
      <w:divBdr>
        <w:top w:val="none" w:sz="0" w:space="0" w:color="auto"/>
        <w:left w:val="none" w:sz="0" w:space="0" w:color="auto"/>
        <w:bottom w:val="none" w:sz="0" w:space="0" w:color="auto"/>
        <w:right w:val="none" w:sz="0" w:space="0" w:color="auto"/>
      </w:divBdr>
    </w:div>
    <w:div w:id="1321275393">
      <w:bodyDiv w:val="1"/>
      <w:marLeft w:val="0"/>
      <w:marRight w:val="0"/>
      <w:marTop w:val="0"/>
      <w:marBottom w:val="0"/>
      <w:divBdr>
        <w:top w:val="none" w:sz="0" w:space="0" w:color="auto"/>
        <w:left w:val="none" w:sz="0" w:space="0" w:color="auto"/>
        <w:bottom w:val="none" w:sz="0" w:space="0" w:color="auto"/>
        <w:right w:val="none" w:sz="0" w:space="0" w:color="auto"/>
      </w:divBdr>
    </w:div>
    <w:div w:id="1325662411">
      <w:bodyDiv w:val="1"/>
      <w:marLeft w:val="0"/>
      <w:marRight w:val="0"/>
      <w:marTop w:val="0"/>
      <w:marBottom w:val="0"/>
      <w:divBdr>
        <w:top w:val="none" w:sz="0" w:space="0" w:color="auto"/>
        <w:left w:val="none" w:sz="0" w:space="0" w:color="auto"/>
        <w:bottom w:val="none" w:sz="0" w:space="0" w:color="auto"/>
        <w:right w:val="none" w:sz="0" w:space="0" w:color="auto"/>
      </w:divBdr>
    </w:div>
    <w:div w:id="1328552338">
      <w:bodyDiv w:val="1"/>
      <w:marLeft w:val="0"/>
      <w:marRight w:val="0"/>
      <w:marTop w:val="0"/>
      <w:marBottom w:val="0"/>
      <w:divBdr>
        <w:top w:val="none" w:sz="0" w:space="0" w:color="auto"/>
        <w:left w:val="none" w:sz="0" w:space="0" w:color="auto"/>
        <w:bottom w:val="none" w:sz="0" w:space="0" w:color="auto"/>
        <w:right w:val="none" w:sz="0" w:space="0" w:color="auto"/>
      </w:divBdr>
      <w:divsChild>
        <w:div w:id="2104451688">
          <w:marLeft w:val="0"/>
          <w:marRight w:val="0"/>
          <w:marTop w:val="0"/>
          <w:marBottom w:val="0"/>
          <w:divBdr>
            <w:top w:val="none" w:sz="0" w:space="0" w:color="auto"/>
            <w:left w:val="none" w:sz="0" w:space="0" w:color="auto"/>
            <w:bottom w:val="none" w:sz="0" w:space="0" w:color="auto"/>
            <w:right w:val="none" w:sz="0" w:space="0" w:color="auto"/>
          </w:divBdr>
        </w:div>
        <w:div w:id="1405294408">
          <w:marLeft w:val="0"/>
          <w:marRight w:val="0"/>
          <w:marTop w:val="0"/>
          <w:marBottom w:val="0"/>
          <w:divBdr>
            <w:top w:val="none" w:sz="0" w:space="0" w:color="auto"/>
            <w:left w:val="none" w:sz="0" w:space="0" w:color="auto"/>
            <w:bottom w:val="none" w:sz="0" w:space="0" w:color="auto"/>
            <w:right w:val="none" w:sz="0" w:space="0" w:color="auto"/>
          </w:divBdr>
        </w:div>
        <w:div w:id="729882034">
          <w:marLeft w:val="0"/>
          <w:marRight w:val="0"/>
          <w:marTop w:val="0"/>
          <w:marBottom w:val="0"/>
          <w:divBdr>
            <w:top w:val="none" w:sz="0" w:space="0" w:color="auto"/>
            <w:left w:val="none" w:sz="0" w:space="0" w:color="auto"/>
            <w:bottom w:val="none" w:sz="0" w:space="0" w:color="auto"/>
            <w:right w:val="none" w:sz="0" w:space="0" w:color="auto"/>
          </w:divBdr>
        </w:div>
        <w:div w:id="1497648711">
          <w:marLeft w:val="0"/>
          <w:marRight w:val="0"/>
          <w:marTop w:val="0"/>
          <w:marBottom w:val="0"/>
          <w:divBdr>
            <w:top w:val="none" w:sz="0" w:space="0" w:color="auto"/>
            <w:left w:val="none" w:sz="0" w:space="0" w:color="auto"/>
            <w:bottom w:val="none" w:sz="0" w:space="0" w:color="auto"/>
            <w:right w:val="none" w:sz="0" w:space="0" w:color="auto"/>
          </w:divBdr>
        </w:div>
        <w:div w:id="742872342">
          <w:marLeft w:val="0"/>
          <w:marRight w:val="0"/>
          <w:marTop w:val="0"/>
          <w:marBottom w:val="0"/>
          <w:divBdr>
            <w:top w:val="none" w:sz="0" w:space="0" w:color="auto"/>
            <w:left w:val="none" w:sz="0" w:space="0" w:color="auto"/>
            <w:bottom w:val="none" w:sz="0" w:space="0" w:color="auto"/>
            <w:right w:val="none" w:sz="0" w:space="0" w:color="auto"/>
          </w:divBdr>
        </w:div>
      </w:divsChild>
    </w:div>
    <w:div w:id="1331518776">
      <w:bodyDiv w:val="1"/>
      <w:marLeft w:val="0"/>
      <w:marRight w:val="0"/>
      <w:marTop w:val="0"/>
      <w:marBottom w:val="0"/>
      <w:divBdr>
        <w:top w:val="none" w:sz="0" w:space="0" w:color="auto"/>
        <w:left w:val="none" w:sz="0" w:space="0" w:color="auto"/>
        <w:bottom w:val="none" w:sz="0" w:space="0" w:color="auto"/>
        <w:right w:val="none" w:sz="0" w:space="0" w:color="auto"/>
      </w:divBdr>
    </w:div>
    <w:div w:id="1331714175">
      <w:bodyDiv w:val="1"/>
      <w:marLeft w:val="0"/>
      <w:marRight w:val="0"/>
      <w:marTop w:val="0"/>
      <w:marBottom w:val="0"/>
      <w:divBdr>
        <w:top w:val="none" w:sz="0" w:space="0" w:color="auto"/>
        <w:left w:val="none" w:sz="0" w:space="0" w:color="auto"/>
        <w:bottom w:val="none" w:sz="0" w:space="0" w:color="auto"/>
        <w:right w:val="none" w:sz="0" w:space="0" w:color="auto"/>
      </w:divBdr>
      <w:divsChild>
        <w:div w:id="812521817">
          <w:marLeft w:val="0"/>
          <w:marRight w:val="0"/>
          <w:marTop w:val="0"/>
          <w:marBottom w:val="0"/>
          <w:divBdr>
            <w:top w:val="none" w:sz="0" w:space="0" w:color="auto"/>
            <w:left w:val="none" w:sz="0" w:space="0" w:color="auto"/>
            <w:bottom w:val="none" w:sz="0" w:space="0" w:color="auto"/>
            <w:right w:val="none" w:sz="0" w:space="0" w:color="auto"/>
          </w:divBdr>
          <w:divsChild>
            <w:div w:id="1146359253">
              <w:marLeft w:val="0"/>
              <w:marRight w:val="0"/>
              <w:marTop w:val="0"/>
              <w:marBottom w:val="0"/>
              <w:divBdr>
                <w:top w:val="none" w:sz="0" w:space="0" w:color="auto"/>
                <w:left w:val="none" w:sz="0" w:space="0" w:color="auto"/>
                <w:bottom w:val="none" w:sz="0" w:space="0" w:color="auto"/>
                <w:right w:val="none" w:sz="0" w:space="0" w:color="auto"/>
              </w:divBdr>
            </w:div>
          </w:divsChild>
        </w:div>
        <w:div w:id="1311445072">
          <w:marLeft w:val="0"/>
          <w:marRight w:val="0"/>
          <w:marTop w:val="0"/>
          <w:marBottom w:val="0"/>
          <w:divBdr>
            <w:top w:val="none" w:sz="0" w:space="0" w:color="auto"/>
            <w:left w:val="none" w:sz="0" w:space="0" w:color="auto"/>
            <w:bottom w:val="none" w:sz="0" w:space="0" w:color="auto"/>
            <w:right w:val="none" w:sz="0" w:space="0" w:color="auto"/>
          </w:divBdr>
          <w:divsChild>
            <w:div w:id="97408778">
              <w:marLeft w:val="1586"/>
              <w:marRight w:val="1586"/>
              <w:marTop w:val="0"/>
              <w:marBottom w:val="300"/>
              <w:divBdr>
                <w:top w:val="none" w:sz="0" w:space="0" w:color="auto"/>
                <w:left w:val="none" w:sz="0" w:space="0" w:color="auto"/>
                <w:bottom w:val="none" w:sz="0" w:space="0" w:color="auto"/>
                <w:right w:val="none" w:sz="0" w:space="0" w:color="auto"/>
              </w:divBdr>
            </w:div>
          </w:divsChild>
        </w:div>
      </w:divsChild>
    </w:div>
    <w:div w:id="1356687170">
      <w:bodyDiv w:val="1"/>
      <w:marLeft w:val="0"/>
      <w:marRight w:val="0"/>
      <w:marTop w:val="0"/>
      <w:marBottom w:val="0"/>
      <w:divBdr>
        <w:top w:val="none" w:sz="0" w:space="0" w:color="auto"/>
        <w:left w:val="none" w:sz="0" w:space="0" w:color="auto"/>
        <w:bottom w:val="none" w:sz="0" w:space="0" w:color="auto"/>
        <w:right w:val="none" w:sz="0" w:space="0" w:color="auto"/>
      </w:divBdr>
    </w:div>
    <w:div w:id="1372605596">
      <w:bodyDiv w:val="1"/>
      <w:marLeft w:val="0"/>
      <w:marRight w:val="0"/>
      <w:marTop w:val="0"/>
      <w:marBottom w:val="0"/>
      <w:divBdr>
        <w:top w:val="none" w:sz="0" w:space="0" w:color="auto"/>
        <w:left w:val="none" w:sz="0" w:space="0" w:color="auto"/>
        <w:bottom w:val="none" w:sz="0" w:space="0" w:color="auto"/>
        <w:right w:val="none" w:sz="0" w:space="0" w:color="auto"/>
      </w:divBdr>
    </w:div>
    <w:div w:id="1374620240">
      <w:bodyDiv w:val="1"/>
      <w:marLeft w:val="0"/>
      <w:marRight w:val="0"/>
      <w:marTop w:val="0"/>
      <w:marBottom w:val="0"/>
      <w:divBdr>
        <w:top w:val="none" w:sz="0" w:space="0" w:color="auto"/>
        <w:left w:val="none" w:sz="0" w:space="0" w:color="auto"/>
        <w:bottom w:val="none" w:sz="0" w:space="0" w:color="auto"/>
        <w:right w:val="none" w:sz="0" w:space="0" w:color="auto"/>
      </w:divBdr>
      <w:divsChild>
        <w:div w:id="1281109882">
          <w:marLeft w:val="0"/>
          <w:marRight w:val="0"/>
          <w:marTop w:val="0"/>
          <w:marBottom w:val="30"/>
          <w:divBdr>
            <w:top w:val="none" w:sz="0" w:space="0" w:color="auto"/>
            <w:left w:val="none" w:sz="0" w:space="0" w:color="auto"/>
            <w:bottom w:val="none" w:sz="0" w:space="0" w:color="auto"/>
            <w:right w:val="none" w:sz="0" w:space="0" w:color="auto"/>
          </w:divBdr>
        </w:div>
        <w:div w:id="1843231820">
          <w:marLeft w:val="0"/>
          <w:marRight w:val="0"/>
          <w:marTop w:val="0"/>
          <w:marBottom w:val="0"/>
          <w:divBdr>
            <w:top w:val="none" w:sz="0" w:space="0" w:color="auto"/>
            <w:left w:val="none" w:sz="0" w:space="0" w:color="auto"/>
            <w:bottom w:val="none" w:sz="0" w:space="0" w:color="auto"/>
            <w:right w:val="none" w:sz="0" w:space="0" w:color="auto"/>
          </w:divBdr>
        </w:div>
        <w:div w:id="1093822523">
          <w:marLeft w:val="0"/>
          <w:marRight w:val="0"/>
          <w:marTop w:val="150"/>
          <w:marBottom w:val="300"/>
          <w:divBdr>
            <w:top w:val="none" w:sz="0" w:space="0" w:color="auto"/>
            <w:left w:val="none" w:sz="0" w:space="0" w:color="auto"/>
            <w:bottom w:val="none" w:sz="0" w:space="0" w:color="auto"/>
            <w:right w:val="none" w:sz="0" w:space="0" w:color="auto"/>
          </w:divBdr>
          <w:divsChild>
            <w:div w:id="29583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000648">
      <w:bodyDiv w:val="1"/>
      <w:marLeft w:val="0"/>
      <w:marRight w:val="0"/>
      <w:marTop w:val="0"/>
      <w:marBottom w:val="0"/>
      <w:divBdr>
        <w:top w:val="none" w:sz="0" w:space="0" w:color="auto"/>
        <w:left w:val="none" w:sz="0" w:space="0" w:color="auto"/>
        <w:bottom w:val="none" w:sz="0" w:space="0" w:color="auto"/>
        <w:right w:val="none" w:sz="0" w:space="0" w:color="auto"/>
      </w:divBdr>
      <w:divsChild>
        <w:div w:id="932082554">
          <w:marLeft w:val="0"/>
          <w:marRight w:val="0"/>
          <w:marTop w:val="0"/>
          <w:marBottom w:val="0"/>
          <w:divBdr>
            <w:top w:val="none" w:sz="0" w:space="0" w:color="auto"/>
            <w:left w:val="none" w:sz="0" w:space="0" w:color="auto"/>
            <w:bottom w:val="none" w:sz="0" w:space="0" w:color="auto"/>
            <w:right w:val="none" w:sz="0" w:space="0" w:color="auto"/>
          </w:divBdr>
          <w:divsChild>
            <w:div w:id="1632861601">
              <w:marLeft w:val="0"/>
              <w:marRight w:val="0"/>
              <w:marTop w:val="0"/>
              <w:marBottom w:val="0"/>
              <w:divBdr>
                <w:top w:val="none" w:sz="0" w:space="0" w:color="auto"/>
                <w:left w:val="none" w:sz="0" w:space="0" w:color="auto"/>
                <w:bottom w:val="none" w:sz="0" w:space="0" w:color="auto"/>
                <w:right w:val="none" w:sz="0" w:space="0" w:color="auto"/>
              </w:divBdr>
            </w:div>
          </w:divsChild>
        </w:div>
        <w:div w:id="98722201">
          <w:marLeft w:val="0"/>
          <w:marRight w:val="0"/>
          <w:marTop w:val="0"/>
          <w:marBottom w:val="0"/>
          <w:divBdr>
            <w:top w:val="none" w:sz="0" w:space="0" w:color="auto"/>
            <w:left w:val="none" w:sz="0" w:space="0" w:color="auto"/>
            <w:bottom w:val="none" w:sz="0" w:space="0" w:color="auto"/>
            <w:right w:val="none" w:sz="0" w:space="0" w:color="auto"/>
          </w:divBdr>
          <w:divsChild>
            <w:div w:id="942570565">
              <w:marLeft w:val="0"/>
              <w:marRight w:val="0"/>
              <w:marTop w:val="0"/>
              <w:marBottom w:val="0"/>
              <w:divBdr>
                <w:top w:val="none" w:sz="0" w:space="0" w:color="auto"/>
                <w:left w:val="none" w:sz="0" w:space="0" w:color="auto"/>
                <w:bottom w:val="none" w:sz="0" w:space="0" w:color="auto"/>
                <w:right w:val="none" w:sz="0" w:space="0" w:color="auto"/>
              </w:divBdr>
            </w:div>
          </w:divsChild>
        </w:div>
        <w:div w:id="805320803">
          <w:marLeft w:val="0"/>
          <w:marRight w:val="0"/>
          <w:marTop w:val="0"/>
          <w:marBottom w:val="0"/>
          <w:divBdr>
            <w:top w:val="none" w:sz="0" w:space="0" w:color="auto"/>
            <w:left w:val="none" w:sz="0" w:space="0" w:color="auto"/>
            <w:bottom w:val="none" w:sz="0" w:space="0" w:color="auto"/>
            <w:right w:val="none" w:sz="0" w:space="0" w:color="auto"/>
          </w:divBdr>
          <w:divsChild>
            <w:div w:id="1661231927">
              <w:marLeft w:val="0"/>
              <w:marRight w:val="0"/>
              <w:marTop w:val="0"/>
              <w:marBottom w:val="0"/>
              <w:divBdr>
                <w:top w:val="none" w:sz="0" w:space="0" w:color="auto"/>
                <w:left w:val="none" w:sz="0" w:space="0" w:color="auto"/>
                <w:bottom w:val="none" w:sz="0" w:space="0" w:color="auto"/>
                <w:right w:val="none" w:sz="0" w:space="0" w:color="auto"/>
              </w:divBdr>
              <w:divsChild>
                <w:div w:id="506141033">
                  <w:marLeft w:val="0"/>
                  <w:marRight w:val="0"/>
                  <w:marTop w:val="0"/>
                  <w:marBottom w:val="0"/>
                  <w:divBdr>
                    <w:top w:val="none" w:sz="0" w:space="0" w:color="auto"/>
                    <w:left w:val="none" w:sz="0" w:space="0" w:color="auto"/>
                    <w:bottom w:val="none" w:sz="0" w:space="0" w:color="auto"/>
                    <w:right w:val="none" w:sz="0" w:space="0" w:color="auto"/>
                  </w:divBdr>
                  <w:divsChild>
                    <w:div w:id="1735198034">
                      <w:marLeft w:val="0"/>
                      <w:marRight w:val="0"/>
                      <w:marTop w:val="300"/>
                      <w:marBottom w:val="300"/>
                      <w:divBdr>
                        <w:top w:val="none" w:sz="0" w:space="0" w:color="auto"/>
                        <w:left w:val="none" w:sz="0" w:space="0" w:color="auto"/>
                        <w:bottom w:val="none" w:sz="0" w:space="0" w:color="auto"/>
                        <w:right w:val="none" w:sz="0" w:space="0" w:color="auto"/>
                      </w:divBdr>
                      <w:divsChild>
                        <w:div w:id="524056313">
                          <w:marLeft w:val="0"/>
                          <w:marRight w:val="0"/>
                          <w:marTop w:val="0"/>
                          <w:marBottom w:val="0"/>
                          <w:divBdr>
                            <w:top w:val="none" w:sz="0" w:space="0" w:color="auto"/>
                            <w:left w:val="none" w:sz="0" w:space="0" w:color="auto"/>
                            <w:bottom w:val="none" w:sz="0" w:space="0" w:color="auto"/>
                            <w:right w:val="none" w:sz="0" w:space="0" w:color="auto"/>
                          </w:divBdr>
                          <w:divsChild>
                            <w:div w:id="1428773405">
                              <w:marLeft w:val="0"/>
                              <w:marRight w:val="0"/>
                              <w:marTop w:val="0"/>
                              <w:marBottom w:val="0"/>
                              <w:divBdr>
                                <w:top w:val="none" w:sz="0" w:space="0" w:color="auto"/>
                                <w:left w:val="none" w:sz="0" w:space="0" w:color="auto"/>
                                <w:bottom w:val="none" w:sz="0" w:space="0" w:color="auto"/>
                                <w:right w:val="none" w:sz="0" w:space="0" w:color="auto"/>
                              </w:divBdr>
                            </w:div>
                          </w:divsChild>
                        </w:div>
                        <w:div w:id="741223840">
                          <w:marLeft w:val="0"/>
                          <w:marRight w:val="0"/>
                          <w:marTop w:val="0"/>
                          <w:marBottom w:val="0"/>
                          <w:divBdr>
                            <w:top w:val="none" w:sz="0" w:space="0" w:color="auto"/>
                            <w:left w:val="none" w:sz="0" w:space="0" w:color="auto"/>
                            <w:bottom w:val="none" w:sz="0" w:space="0" w:color="auto"/>
                            <w:right w:val="none" w:sz="0" w:space="0" w:color="auto"/>
                          </w:divBdr>
                          <w:divsChild>
                            <w:div w:id="1384987588">
                              <w:marLeft w:val="0"/>
                              <w:marRight w:val="0"/>
                              <w:marTop w:val="0"/>
                              <w:marBottom w:val="0"/>
                              <w:divBdr>
                                <w:top w:val="none" w:sz="0" w:space="0" w:color="auto"/>
                                <w:left w:val="none" w:sz="0" w:space="0" w:color="auto"/>
                                <w:bottom w:val="none" w:sz="0" w:space="0" w:color="auto"/>
                                <w:right w:val="none" w:sz="0" w:space="0" w:color="auto"/>
                              </w:divBdr>
                            </w:div>
                            <w:div w:id="1542284570">
                              <w:marLeft w:val="0"/>
                              <w:marRight w:val="0"/>
                              <w:marTop w:val="0"/>
                              <w:marBottom w:val="128"/>
                              <w:divBdr>
                                <w:top w:val="none" w:sz="0" w:space="0" w:color="auto"/>
                                <w:left w:val="none" w:sz="0" w:space="0" w:color="auto"/>
                                <w:bottom w:val="none" w:sz="0" w:space="0" w:color="auto"/>
                                <w:right w:val="none" w:sz="0" w:space="0" w:color="auto"/>
                              </w:divBdr>
                            </w:div>
                          </w:divsChild>
                        </w:div>
                      </w:divsChild>
                    </w:div>
                  </w:divsChild>
                </w:div>
                <w:div w:id="1971014564">
                  <w:marLeft w:val="0"/>
                  <w:marRight w:val="0"/>
                  <w:marTop w:val="0"/>
                  <w:marBottom w:val="0"/>
                  <w:divBdr>
                    <w:top w:val="none" w:sz="0" w:space="0" w:color="auto"/>
                    <w:left w:val="none" w:sz="0" w:space="0" w:color="auto"/>
                    <w:bottom w:val="none" w:sz="0" w:space="0" w:color="auto"/>
                    <w:right w:val="none" w:sz="0" w:space="0" w:color="auto"/>
                  </w:divBdr>
                  <w:divsChild>
                    <w:div w:id="1636762557">
                      <w:marLeft w:val="0"/>
                      <w:marRight w:val="0"/>
                      <w:marTop w:val="300"/>
                      <w:marBottom w:val="300"/>
                      <w:divBdr>
                        <w:top w:val="none" w:sz="0" w:space="0" w:color="auto"/>
                        <w:left w:val="none" w:sz="0" w:space="0" w:color="auto"/>
                        <w:bottom w:val="none" w:sz="0" w:space="0" w:color="auto"/>
                        <w:right w:val="none" w:sz="0" w:space="0" w:color="auto"/>
                      </w:divBdr>
                      <w:divsChild>
                        <w:div w:id="863860737">
                          <w:marLeft w:val="0"/>
                          <w:marRight w:val="0"/>
                          <w:marTop w:val="0"/>
                          <w:marBottom w:val="0"/>
                          <w:divBdr>
                            <w:top w:val="none" w:sz="0" w:space="0" w:color="auto"/>
                            <w:left w:val="none" w:sz="0" w:space="0" w:color="auto"/>
                            <w:bottom w:val="none" w:sz="0" w:space="0" w:color="auto"/>
                            <w:right w:val="none" w:sz="0" w:space="0" w:color="auto"/>
                          </w:divBdr>
                          <w:divsChild>
                            <w:div w:id="1349676334">
                              <w:marLeft w:val="0"/>
                              <w:marRight w:val="0"/>
                              <w:marTop w:val="0"/>
                              <w:marBottom w:val="0"/>
                              <w:divBdr>
                                <w:top w:val="none" w:sz="0" w:space="0" w:color="auto"/>
                                <w:left w:val="none" w:sz="0" w:space="0" w:color="auto"/>
                                <w:bottom w:val="none" w:sz="0" w:space="0" w:color="auto"/>
                                <w:right w:val="none" w:sz="0" w:space="0" w:color="auto"/>
                              </w:divBdr>
                            </w:div>
                          </w:divsChild>
                        </w:div>
                        <w:div w:id="689794221">
                          <w:marLeft w:val="0"/>
                          <w:marRight w:val="0"/>
                          <w:marTop w:val="0"/>
                          <w:marBottom w:val="0"/>
                          <w:divBdr>
                            <w:top w:val="none" w:sz="0" w:space="0" w:color="auto"/>
                            <w:left w:val="none" w:sz="0" w:space="0" w:color="auto"/>
                            <w:bottom w:val="none" w:sz="0" w:space="0" w:color="auto"/>
                            <w:right w:val="none" w:sz="0" w:space="0" w:color="auto"/>
                          </w:divBdr>
                          <w:divsChild>
                            <w:div w:id="184354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037787">
              <w:marLeft w:val="0"/>
              <w:marRight w:val="0"/>
              <w:marTop w:val="0"/>
              <w:marBottom w:val="0"/>
              <w:divBdr>
                <w:top w:val="none" w:sz="0" w:space="0" w:color="auto"/>
                <w:left w:val="none" w:sz="0" w:space="0" w:color="auto"/>
                <w:bottom w:val="none" w:sz="0" w:space="0" w:color="auto"/>
                <w:right w:val="none" w:sz="0" w:space="0" w:color="auto"/>
              </w:divBdr>
              <w:divsChild>
                <w:div w:id="983435843">
                  <w:marLeft w:val="0"/>
                  <w:marRight w:val="0"/>
                  <w:marTop w:val="0"/>
                  <w:marBottom w:val="0"/>
                  <w:divBdr>
                    <w:top w:val="none" w:sz="0" w:space="0" w:color="auto"/>
                    <w:left w:val="none" w:sz="0" w:space="0" w:color="auto"/>
                    <w:bottom w:val="none" w:sz="0" w:space="0" w:color="auto"/>
                    <w:right w:val="none" w:sz="0" w:space="0" w:color="auto"/>
                  </w:divBdr>
                  <w:divsChild>
                    <w:div w:id="1880240179">
                      <w:marLeft w:val="0"/>
                      <w:marRight w:val="0"/>
                      <w:marTop w:val="300"/>
                      <w:marBottom w:val="300"/>
                      <w:divBdr>
                        <w:top w:val="none" w:sz="0" w:space="0" w:color="auto"/>
                        <w:left w:val="none" w:sz="0" w:space="0" w:color="auto"/>
                        <w:bottom w:val="none" w:sz="0" w:space="0" w:color="auto"/>
                        <w:right w:val="none" w:sz="0" w:space="0" w:color="auto"/>
                      </w:divBdr>
                      <w:divsChild>
                        <w:div w:id="1132791331">
                          <w:marLeft w:val="0"/>
                          <w:marRight w:val="0"/>
                          <w:marTop w:val="0"/>
                          <w:marBottom w:val="0"/>
                          <w:divBdr>
                            <w:top w:val="none" w:sz="0" w:space="0" w:color="auto"/>
                            <w:left w:val="none" w:sz="0" w:space="0" w:color="auto"/>
                            <w:bottom w:val="none" w:sz="0" w:space="0" w:color="auto"/>
                            <w:right w:val="none" w:sz="0" w:space="0" w:color="auto"/>
                          </w:divBdr>
                          <w:divsChild>
                            <w:div w:id="1751729509">
                              <w:marLeft w:val="0"/>
                              <w:marRight w:val="0"/>
                              <w:marTop w:val="0"/>
                              <w:marBottom w:val="0"/>
                              <w:divBdr>
                                <w:top w:val="none" w:sz="0" w:space="0" w:color="auto"/>
                                <w:left w:val="none" w:sz="0" w:space="0" w:color="auto"/>
                                <w:bottom w:val="none" w:sz="0" w:space="0" w:color="auto"/>
                                <w:right w:val="none" w:sz="0" w:space="0" w:color="auto"/>
                              </w:divBdr>
                            </w:div>
                          </w:divsChild>
                        </w:div>
                        <w:div w:id="1555502905">
                          <w:marLeft w:val="0"/>
                          <w:marRight w:val="0"/>
                          <w:marTop w:val="0"/>
                          <w:marBottom w:val="0"/>
                          <w:divBdr>
                            <w:top w:val="none" w:sz="0" w:space="0" w:color="auto"/>
                            <w:left w:val="none" w:sz="0" w:space="0" w:color="auto"/>
                            <w:bottom w:val="none" w:sz="0" w:space="0" w:color="auto"/>
                            <w:right w:val="none" w:sz="0" w:space="0" w:color="auto"/>
                          </w:divBdr>
                          <w:divsChild>
                            <w:div w:id="1761681132">
                              <w:marLeft w:val="0"/>
                              <w:marRight w:val="0"/>
                              <w:marTop w:val="0"/>
                              <w:marBottom w:val="0"/>
                              <w:divBdr>
                                <w:top w:val="none" w:sz="0" w:space="0" w:color="auto"/>
                                <w:left w:val="none" w:sz="0" w:space="0" w:color="auto"/>
                                <w:bottom w:val="none" w:sz="0" w:space="0" w:color="auto"/>
                                <w:right w:val="none" w:sz="0" w:space="0" w:color="auto"/>
                              </w:divBdr>
                            </w:div>
                            <w:div w:id="1290088527">
                              <w:marLeft w:val="0"/>
                              <w:marRight w:val="0"/>
                              <w:marTop w:val="0"/>
                              <w:marBottom w:val="128"/>
                              <w:divBdr>
                                <w:top w:val="none" w:sz="0" w:space="0" w:color="auto"/>
                                <w:left w:val="none" w:sz="0" w:space="0" w:color="auto"/>
                                <w:bottom w:val="none" w:sz="0" w:space="0" w:color="auto"/>
                                <w:right w:val="none" w:sz="0" w:space="0" w:color="auto"/>
                              </w:divBdr>
                            </w:div>
                          </w:divsChild>
                        </w:div>
                      </w:divsChild>
                    </w:div>
                  </w:divsChild>
                </w:div>
                <w:div w:id="406996975">
                  <w:marLeft w:val="0"/>
                  <w:marRight w:val="0"/>
                  <w:marTop w:val="0"/>
                  <w:marBottom w:val="0"/>
                  <w:divBdr>
                    <w:top w:val="none" w:sz="0" w:space="0" w:color="auto"/>
                    <w:left w:val="none" w:sz="0" w:space="0" w:color="auto"/>
                    <w:bottom w:val="none" w:sz="0" w:space="0" w:color="auto"/>
                    <w:right w:val="none" w:sz="0" w:space="0" w:color="auto"/>
                  </w:divBdr>
                  <w:divsChild>
                    <w:div w:id="1164005058">
                      <w:marLeft w:val="0"/>
                      <w:marRight w:val="0"/>
                      <w:marTop w:val="300"/>
                      <w:marBottom w:val="300"/>
                      <w:divBdr>
                        <w:top w:val="none" w:sz="0" w:space="0" w:color="auto"/>
                        <w:left w:val="none" w:sz="0" w:space="0" w:color="auto"/>
                        <w:bottom w:val="none" w:sz="0" w:space="0" w:color="auto"/>
                        <w:right w:val="none" w:sz="0" w:space="0" w:color="auto"/>
                      </w:divBdr>
                      <w:divsChild>
                        <w:div w:id="313529486">
                          <w:marLeft w:val="0"/>
                          <w:marRight w:val="0"/>
                          <w:marTop w:val="0"/>
                          <w:marBottom w:val="0"/>
                          <w:divBdr>
                            <w:top w:val="none" w:sz="0" w:space="0" w:color="auto"/>
                            <w:left w:val="none" w:sz="0" w:space="0" w:color="auto"/>
                            <w:bottom w:val="none" w:sz="0" w:space="0" w:color="auto"/>
                            <w:right w:val="none" w:sz="0" w:space="0" w:color="auto"/>
                          </w:divBdr>
                          <w:divsChild>
                            <w:div w:id="1068310704">
                              <w:marLeft w:val="0"/>
                              <w:marRight w:val="0"/>
                              <w:marTop w:val="0"/>
                              <w:marBottom w:val="0"/>
                              <w:divBdr>
                                <w:top w:val="none" w:sz="0" w:space="0" w:color="auto"/>
                                <w:left w:val="none" w:sz="0" w:space="0" w:color="auto"/>
                                <w:bottom w:val="none" w:sz="0" w:space="0" w:color="auto"/>
                                <w:right w:val="none" w:sz="0" w:space="0" w:color="auto"/>
                              </w:divBdr>
                            </w:div>
                          </w:divsChild>
                        </w:div>
                        <w:div w:id="373846940">
                          <w:marLeft w:val="0"/>
                          <w:marRight w:val="0"/>
                          <w:marTop w:val="0"/>
                          <w:marBottom w:val="0"/>
                          <w:divBdr>
                            <w:top w:val="none" w:sz="0" w:space="0" w:color="auto"/>
                            <w:left w:val="none" w:sz="0" w:space="0" w:color="auto"/>
                            <w:bottom w:val="none" w:sz="0" w:space="0" w:color="auto"/>
                            <w:right w:val="none" w:sz="0" w:space="0" w:color="auto"/>
                          </w:divBdr>
                          <w:divsChild>
                            <w:div w:id="74641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064042">
      <w:bodyDiv w:val="1"/>
      <w:marLeft w:val="0"/>
      <w:marRight w:val="0"/>
      <w:marTop w:val="0"/>
      <w:marBottom w:val="0"/>
      <w:divBdr>
        <w:top w:val="none" w:sz="0" w:space="0" w:color="auto"/>
        <w:left w:val="none" w:sz="0" w:space="0" w:color="auto"/>
        <w:bottom w:val="none" w:sz="0" w:space="0" w:color="auto"/>
        <w:right w:val="none" w:sz="0" w:space="0" w:color="auto"/>
      </w:divBdr>
    </w:div>
    <w:div w:id="1398285373">
      <w:bodyDiv w:val="1"/>
      <w:marLeft w:val="0"/>
      <w:marRight w:val="0"/>
      <w:marTop w:val="0"/>
      <w:marBottom w:val="0"/>
      <w:divBdr>
        <w:top w:val="none" w:sz="0" w:space="0" w:color="auto"/>
        <w:left w:val="none" w:sz="0" w:space="0" w:color="auto"/>
        <w:bottom w:val="none" w:sz="0" w:space="0" w:color="auto"/>
        <w:right w:val="none" w:sz="0" w:space="0" w:color="auto"/>
      </w:divBdr>
    </w:div>
    <w:div w:id="1419130978">
      <w:bodyDiv w:val="1"/>
      <w:marLeft w:val="0"/>
      <w:marRight w:val="0"/>
      <w:marTop w:val="0"/>
      <w:marBottom w:val="0"/>
      <w:divBdr>
        <w:top w:val="none" w:sz="0" w:space="0" w:color="auto"/>
        <w:left w:val="none" w:sz="0" w:space="0" w:color="auto"/>
        <w:bottom w:val="none" w:sz="0" w:space="0" w:color="auto"/>
        <w:right w:val="none" w:sz="0" w:space="0" w:color="auto"/>
      </w:divBdr>
    </w:div>
    <w:div w:id="1421683884">
      <w:bodyDiv w:val="1"/>
      <w:marLeft w:val="0"/>
      <w:marRight w:val="0"/>
      <w:marTop w:val="0"/>
      <w:marBottom w:val="0"/>
      <w:divBdr>
        <w:top w:val="none" w:sz="0" w:space="0" w:color="auto"/>
        <w:left w:val="none" w:sz="0" w:space="0" w:color="auto"/>
        <w:bottom w:val="none" w:sz="0" w:space="0" w:color="auto"/>
        <w:right w:val="none" w:sz="0" w:space="0" w:color="auto"/>
      </w:divBdr>
    </w:div>
    <w:div w:id="1455171692">
      <w:bodyDiv w:val="1"/>
      <w:marLeft w:val="0"/>
      <w:marRight w:val="0"/>
      <w:marTop w:val="0"/>
      <w:marBottom w:val="0"/>
      <w:divBdr>
        <w:top w:val="none" w:sz="0" w:space="0" w:color="auto"/>
        <w:left w:val="none" w:sz="0" w:space="0" w:color="auto"/>
        <w:bottom w:val="none" w:sz="0" w:space="0" w:color="auto"/>
        <w:right w:val="none" w:sz="0" w:space="0" w:color="auto"/>
      </w:divBdr>
    </w:div>
    <w:div w:id="1460029934">
      <w:bodyDiv w:val="1"/>
      <w:marLeft w:val="0"/>
      <w:marRight w:val="0"/>
      <w:marTop w:val="0"/>
      <w:marBottom w:val="0"/>
      <w:divBdr>
        <w:top w:val="none" w:sz="0" w:space="0" w:color="auto"/>
        <w:left w:val="none" w:sz="0" w:space="0" w:color="auto"/>
        <w:bottom w:val="none" w:sz="0" w:space="0" w:color="auto"/>
        <w:right w:val="none" w:sz="0" w:space="0" w:color="auto"/>
      </w:divBdr>
    </w:div>
    <w:div w:id="1462308704">
      <w:bodyDiv w:val="1"/>
      <w:marLeft w:val="0"/>
      <w:marRight w:val="0"/>
      <w:marTop w:val="0"/>
      <w:marBottom w:val="0"/>
      <w:divBdr>
        <w:top w:val="none" w:sz="0" w:space="0" w:color="auto"/>
        <w:left w:val="none" w:sz="0" w:space="0" w:color="auto"/>
        <w:bottom w:val="none" w:sz="0" w:space="0" w:color="auto"/>
        <w:right w:val="none" w:sz="0" w:space="0" w:color="auto"/>
      </w:divBdr>
    </w:div>
    <w:div w:id="1462921309">
      <w:bodyDiv w:val="1"/>
      <w:marLeft w:val="0"/>
      <w:marRight w:val="0"/>
      <w:marTop w:val="0"/>
      <w:marBottom w:val="0"/>
      <w:divBdr>
        <w:top w:val="none" w:sz="0" w:space="0" w:color="auto"/>
        <w:left w:val="none" w:sz="0" w:space="0" w:color="auto"/>
        <w:bottom w:val="none" w:sz="0" w:space="0" w:color="auto"/>
        <w:right w:val="none" w:sz="0" w:space="0" w:color="auto"/>
      </w:divBdr>
    </w:div>
    <w:div w:id="1470442415">
      <w:bodyDiv w:val="1"/>
      <w:marLeft w:val="0"/>
      <w:marRight w:val="0"/>
      <w:marTop w:val="0"/>
      <w:marBottom w:val="0"/>
      <w:divBdr>
        <w:top w:val="none" w:sz="0" w:space="0" w:color="auto"/>
        <w:left w:val="none" w:sz="0" w:space="0" w:color="auto"/>
        <w:bottom w:val="none" w:sz="0" w:space="0" w:color="auto"/>
        <w:right w:val="none" w:sz="0" w:space="0" w:color="auto"/>
      </w:divBdr>
    </w:div>
    <w:div w:id="1477408659">
      <w:bodyDiv w:val="1"/>
      <w:marLeft w:val="0"/>
      <w:marRight w:val="0"/>
      <w:marTop w:val="0"/>
      <w:marBottom w:val="0"/>
      <w:divBdr>
        <w:top w:val="none" w:sz="0" w:space="0" w:color="auto"/>
        <w:left w:val="none" w:sz="0" w:space="0" w:color="auto"/>
        <w:bottom w:val="none" w:sz="0" w:space="0" w:color="auto"/>
        <w:right w:val="none" w:sz="0" w:space="0" w:color="auto"/>
      </w:divBdr>
    </w:div>
    <w:div w:id="1482386063">
      <w:bodyDiv w:val="1"/>
      <w:marLeft w:val="0"/>
      <w:marRight w:val="0"/>
      <w:marTop w:val="0"/>
      <w:marBottom w:val="0"/>
      <w:divBdr>
        <w:top w:val="none" w:sz="0" w:space="0" w:color="auto"/>
        <w:left w:val="none" w:sz="0" w:space="0" w:color="auto"/>
        <w:bottom w:val="none" w:sz="0" w:space="0" w:color="auto"/>
        <w:right w:val="none" w:sz="0" w:space="0" w:color="auto"/>
      </w:divBdr>
    </w:div>
    <w:div w:id="1489056057">
      <w:bodyDiv w:val="1"/>
      <w:marLeft w:val="0"/>
      <w:marRight w:val="0"/>
      <w:marTop w:val="0"/>
      <w:marBottom w:val="0"/>
      <w:divBdr>
        <w:top w:val="none" w:sz="0" w:space="0" w:color="auto"/>
        <w:left w:val="none" w:sz="0" w:space="0" w:color="auto"/>
        <w:bottom w:val="none" w:sz="0" w:space="0" w:color="auto"/>
        <w:right w:val="none" w:sz="0" w:space="0" w:color="auto"/>
      </w:divBdr>
    </w:div>
    <w:div w:id="1530685450">
      <w:bodyDiv w:val="1"/>
      <w:marLeft w:val="0"/>
      <w:marRight w:val="0"/>
      <w:marTop w:val="0"/>
      <w:marBottom w:val="0"/>
      <w:divBdr>
        <w:top w:val="none" w:sz="0" w:space="0" w:color="auto"/>
        <w:left w:val="none" w:sz="0" w:space="0" w:color="auto"/>
        <w:bottom w:val="none" w:sz="0" w:space="0" w:color="auto"/>
        <w:right w:val="none" w:sz="0" w:space="0" w:color="auto"/>
      </w:divBdr>
    </w:div>
    <w:div w:id="1543515553">
      <w:bodyDiv w:val="1"/>
      <w:marLeft w:val="0"/>
      <w:marRight w:val="0"/>
      <w:marTop w:val="0"/>
      <w:marBottom w:val="0"/>
      <w:divBdr>
        <w:top w:val="none" w:sz="0" w:space="0" w:color="auto"/>
        <w:left w:val="none" w:sz="0" w:space="0" w:color="auto"/>
        <w:bottom w:val="none" w:sz="0" w:space="0" w:color="auto"/>
        <w:right w:val="none" w:sz="0" w:space="0" w:color="auto"/>
      </w:divBdr>
    </w:div>
    <w:div w:id="1588690299">
      <w:bodyDiv w:val="1"/>
      <w:marLeft w:val="0"/>
      <w:marRight w:val="0"/>
      <w:marTop w:val="0"/>
      <w:marBottom w:val="0"/>
      <w:divBdr>
        <w:top w:val="none" w:sz="0" w:space="0" w:color="auto"/>
        <w:left w:val="none" w:sz="0" w:space="0" w:color="auto"/>
        <w:bottom w:val="none" w:sz="0" w:space="0" w:color="auto"/>
        <w:right w:val="none" w:sz="0" w:space="0" w:color="auto"/>
      </w:divBdr>
    </w:div>
    <w:div w:id="1607074698">
      <w:bodyDiv w:val="1"/>
      <w:marLeft w:val="0"/>
      <w:marRight w:val="0"/>
      <w:marTop w:val="0"/>
      <w:marBottom w:val="0"/>
      <w:divBdr>
        <w:top w:val="none" w:sz="0" w:space="0" w:color="auto"/>
        <w:left w:val="none" w:sz="0" w:space="0" w:color="auto"/>
        <w:bottom w:val="none" w:sz="0" w:space="0" w:color="auto"/>
        <w:right w:val="none" w:sz="0" w:space="0" w:color="auto"/>
      </w:divBdr>
    </w:div>
    <w:div w:id="1614747479">
      <w:bodyDiv w:val="1"/>
      <w:marLeft w:val="0"/>
      <w:marRight w:val="0"/>
      <w:marTop w:val="0"/>
      <w:marBottom w:val="0"/>
      <w:divBdr>
        <w:top w:val="none" w:sz="0" w:space="0" w:color="auto"/>
        <w:left w:val="none" w:sz="0" w:space="0" w:color="auto"/>
        <w:bottom w:val="none" w:sz="0" w:space="0" w:color="auto"/>
        <w:right w:val="none" w:sz="0" w:space="0" w:color="auto"/>
      </w:divBdr>
      <w:divsChild>
        <w:div w:id="161820367">
          <w:marLeft w:val="0"/>
          <w:marRight w:val="0"/>
          <w:marTop w:val="0"/>
          <w:marBottom w:val="0"/>
          <w:divBdr>
            <w:top w:val="none" w:sz="0" w:space="0" w:color="auto"/>
            <w:left w:val="none" w:sz="0" w:space="0" w:color="auto"/>
            <w:bottom w:val="none" w:sz="0" w:space="0" w:color="auto"/>
            <w:right w:val="none" w:sz="0" w:space="0" w:color="auto"/>
          </w:divBdr>
        </w:div>
      </w:divsChild>
    </w:div>
    <w:div w:id="1619071382">
      <w:bodyDiv w:val="1"/>
      <w:marLeft w:val="0"/>
      <w:marRight w:val="0"/>
      <w:marTop w:val="0"/>
      <w:marBottom w:val="0"/>
      <w:divBdr>
        <w:top w:val="none" w:sz="0" w:space="0" w:color="auto"/>
        <w:left w:val="none" w:sz="0" w:space="0" w:color="auto"/>
        <w:bottom w:val="none" w:sz="0" w:space="0" w:color="auto"/>
        <w:right w:val="none" w:sz="0" w:space="0" w:color="auto"/>
      </w:divBdr>
    </w:div>
    <w:div w:id="1621109948">
      <w:bodyDiv w:val="1"/>
      <w:marLeft w:val="0"/>
      <w:marRight w:val="0"/>
      <w:marTop w:val="0"/>
      <w:marBottom w:val="0"/>
      <w:divBdr>
        <w:top w:val="none" w:sz="0" w:space="0" w:color="auto"/>
        <w:left w:val="none" w:sz="0" w:space="0" w:color="auto"/>
        <w:bottom w:val="none" w:sz="0" w:space="0" w:color="auto"/>
        <w:right w:val="none" w:sz="0" w:space="0" w:color="auto"/>
      </w:divBdr>
    </w:div>
    <w:div w:id="1624531811">
      <w:bodyDiv w:val="1"/>
      <w:marLeft w:val="0"/>
      <w:marRight w:val="0"/>
      <w:marTop w:val="0"/>
      <w:marBottom w:val="0"/>
      <w:divBdr>
        <w:top w:val="none" w:sz="0" w:space="0" w:color="auto"/>
        <w:left w:val="none" w:sz="0" w:space="0" w:color="auto"/>
        <w:bottom w:val="none" w:sz="0" w:space="0" w:color="auto"/>
        <w:right w:val="none" w:sz="0" w:space="0" w:color="auto"/>
      </w:divBdr>
    </w:div>
    <w:div w:id="1648584677">
      <w:bodyDiv w:val="1"/>
      <w:marLeft w:val="0"/>
      <w:marRight w:val="0"/>
      <w:marTop w:val="0"/>
      <w:marBottom w:val="0"/>
      <w:divBdr>
        <w:top w:val="none" w:sz="0" w:space="0" w:color="auto"/>
        <w:left w:val="none" w:sz="0" w:space="0" w:color="auto"/>
        <w:bottom w:val="none" w:sz="0" w:space="0" w:color="auto"/>
        <w:right w:val="none" w:sz="0" w:space="0" w:color="auto"/>
      </w:divBdr>
    </w:div>
    <w:div w:id="1661156799">
      <w:bodyDiv w:val="1"/>
      <w:marLeft w:val="0"/>
      <w:marRight w:val="0"/>
      <w:marTop w:val="0"/>
      <w:marBottom w:val="0"/>
      <w:divBdr>
        <w:top w:val="none" w:sz="0" w:space="0" w:color="auto"/>
        <w:left w:val="none" w:sz="0" w:space="0" w:color="auto"/>
        <w:bottom w:val="none" w:sz="0" w:space="0" w:color="auto"/>
        <w:right w:val="none" w:sz="0" w:space="0" w:color="auto"/>
      </w:divBdr>
    </w:div>
    <w:div w:id="1688022883">
      <w:bodyDiv w:val="1"/>
      <w:marLeft w:val="0"/>
      <w:marRight w:val="0"/>
      <w:marTop w:val="0"/>
      <w:marBottom w:val="0"/>
      <w:divBdr>
        <w:top w:val="none" w:sz="0" w:space="0" w:color="auto"/>
        <w:left w:val="none" w:sz="0" w:space="0" w:color="auto"/>
        <w:bottom w:val="none" w:sz="0" w:space="0" w:color="auto"/>
        <w:right w:val="none" w:sz="0" w:space="0" w:color="auto"/>
      </w:divBdr>
    </w:div>
    <w:div w:id="1707952024">
      <w:bodyDiv w:val="1"/>
      <w:marLeft w:val="0"/>
      <w:marRight w:val="0"/>
      <w:marTop w:val="0"/>
      <w:marBottom w:val="0"/>
      <w:divBdr>
        <w:top w:val="none" w:sz="0" w:space="0" w:color="auto"/>
        <w:left w:val="none" w:sz="0" w:space="0" w:color="auto"/>
        <w:bottom w:val="none" w:sz="0" w:space="0" w:color="auto"/>
        <w:right w:val="none" w:sz="0" w:space="0" w:color="auto"/>
      </w:divBdr>
      <w:divsChild>
        <w:div w:id="387606517">
          <w:marLeft w:val="720"/>
          <w:marRight w:val="0"/>
          <w:marTop w:val="0"/>
          <w:marBottom w:val="0"/>
          <w:divBdr>
            <w:top w:val="none" w:sz="0" w:space="0" w:color="auto"/>
            <w:left w:val="none" w:sz="0" w:space="0" w:color="auto"/>
            <w:bottom w:val="none" w:sz="0" w:space="0" w:color="auto"/>
            <w:right w:val="none" w:sz="0" w:space="0" w:color="auto"/>
          </w:divBdr>
        </w:div>
        <w:div w:id="1840072966">
          <w:marLeft w:val="720"/>
          <w:marRight w:val="0"/>
          <w:marTop w:val="0"/>
          <w:marBottom w:val="0"/>
          <w:divBdr>
            <w:top w:val="none" w:sz="0" w:space="0" w:color="auto"/>
            <w:left w:val="none" w:sz="0" w:space="0" w:color="auto"/>
            <w:bottom w:val="none" w:sz="0" w:space="0" w:color="auto"/>
            <w:right w:val="none" w:sz="0" w:space="0" w:color="auto"/>
          </w:divBdr>
        </w:div>
        <w:div w:id="1084835426">
          <w:marLeft w:val="720"/>
          <w:marRight w:val="0"/>
          <w:marTop w:val="0"/>
          <w:marBottom w:val="0"/>
          <w:divBdr>
            <w:top w:val="none" w:sz="0" w:space="0" w:color="auto"/>
            <w:left w:val="none" w:sz="0" w:space="0" w:color="auto"/>
            <w:bottom w:val="none" w:sz="0" w:space="0" w:color="auto"/>
            <w:right w:val="none" w:sz="0" w:space="0" w:color="auto"/>
          </w:divBdr>
        </w:div>
        <w:div w:id="2048723557">
          <w:marLeft w:val="720"/>
          <w:marRight w:val="0"/>
          <w:marTop w:val="0"/>
          <w:marBottom w:val="0"/>
          <w:divBdr>
            <w:top w:val="none" w:sz="0" w:space="0" w:color="auto"/>
            <w:left w:val="none" w:sz="0" w:space="0" w:color="auto"/>
            <w:bottom w:val="none" w:sz="0" w:space="0" w:color="auto"/>
            <w:right w:val="none" w:sz="0" w:space="0" w:color="auto"/>
          </w:divBdr>
        </w:div>
        <w:div w:id="915015026">
          <w:marLeft w:val="720"/>
          <w:marRight w:val="0"/>
          <w:marTop w:val="0"/>
          <w:marBottom w:val="0"/>
          <w:divBdr>
            <w:top w:val="none" w:sz="0" w:space="0" w:color="auto"/>
            <w:left w:val="none" w:sz="0" w:space="0" w:color="auto"/>
            <w:bottom w:val="none" w:sz="0" w:space="0" w:color="auto"/>
            <w:right w:val="none" w:sz="0" w:space="0" w:color="auto"/>
          </w:divBdr>
        </w:div>
        <w:div w:id="1379865581">
          <w:marLeft w:val="720"/>
          <w:marRight w:val="0"/>
          <w:marTop w:val="0"/>
          <w:marBottom w:val="0"/>
          <w:divBdr>
            <w:top w:val="none" w:sz="0" w:space="0" w:color="auto"/>
            <w:left w:val="none" w:sz="0" w:space="0" w:color="auto"/>
            <w:bottom w:val="none" w:sz="0" w:space="0" w:color="auto"/>
            <w:right w:val="none" w:sz="0" w:space="0" w:color="auto"/>
          </w:divBdr>
        </w:div>
      </w:divsChild>
    </w:div>
    <w:div w:id="1713460779">
      <w:bodyDiv w:val="1"/>
      <w:marLeft w:val="0"/>
      <w:marRight w:val="0"/>
      <w:marTop w:val="0"/>
      <w:marBottom w:val="0"/>
      <w:divBdr>
        <w:top w:val="none" w:sz="0" w:space="0" w:color="auto"/>
        <w:left w:val="none" w:sz="0" w:space="0" w:color="auto"/>
        <w:bottom w:val="none" w:sz="0" w:space="0" w:color="auto"/>
        <w:right w:val="none" w:sz="0" w:space="0" w:color="auto"/>
      </w:divBdr>
    </w:div>
    <w:div w:id="1715078809">
      <w:bodyDiv w:val="1"/>
      <w:marLeft w:val="0"/>
      <w:marRight w:val="0"/>
      <w:marTop w:val="0"/>
      <w:marBottom w:val="0"/>
      <w:divBdr>
        <w:top w:val="none" w:sz="0" w:space="0" w:color="auto"/>
        <w:left w:val="none" w:sz="0" w:space="0" w:color="auto"/>
        <w:bottom w:val="none" w:sz="0" w:space="0" w:color="auto"/>
        <w:right w:val="none" w:sz="0" w:space="0" w:color="auto"/>
      </w:divBdr>
    </w:div>
    <w:div w:id="1716470781">
      <w:bodyDiv w:val="1"/>
      <w:marLeft w:val="0"/>
      <w:marRight w:val="0"/>
      <w:marTop w:val="0"/>
      <w:marBottom w:val="0"/>
      <w:divBdr>
        <w:top w:val="none" w:sz="0" w:space="0" w:color="auto"/>
        <w:left w:val="none" w:sz="0" w:space="0" w:color="auto"/>
        <w:bottom w:val="none" w:sz="0" w:space="0" w:color="auto"/>
        <w:right w:val="none" w:sz="0" w:space="0" w:color="auto"/>
      </w:divBdr>
    </w:div>
    <w:div w:id="1719473383">
      <w:bodyDiv w:val="1"/>
      <w:marLeft w:val="0"/>
      <w:marRight w:val="0"/>
      <w:marTop w:val="0"/>
      <w:marBottom w:val="0"/>
      <w:divBdr>
        <w:top w:val="none" w:sz="0" w:space="0" w:color="auto"/>
        <w:left w:val="none" w:sz="0" w:space="0" w:color="auto"/>
        <w:bottom w:val="none" w:sz="0" w:space="0" w:color="auto"/>
        <w:right w:val="none" w:sz="0" w:space="0" w:color="auto"/>
      </w:divBdr>
    </w:div>
    <w:div w:id="1722099062">
      <w:bodyDiv w:val="1"/>
      <w:marLeft w:val="0"/>
      <w:marRight w:val="0"/>
      <w:marTop w:val="0"/>
      <w:marBottom w:val="0"/>
      <w:divBdr>
        <w:top w:val="none" w:sz="0" w:space="0" w:color="auto"/>
        <w:left w:val="none" w:sz="0" w:space="0" w:color="auto"/>
        <w:bottom w:val="none" w:sz="0" w:space="0" w:color="auto"/>
        <w:right w:val="none" w:sz="0" w:space="0" w:color="auto"/>
      </w:divBdr>
    </w:div>
    <w:div w:id="1727140997">
      <w:bodyDiv w:val="1"/>
      <w:marLeft w:val="0"/>
      <w:marRight w:val="0"/>
      <w:marTop w:val="0"/>
      <w:marBottom w:val="0"/>
      <w:divBdr>
        <w:top w:val="none" w:sz="0" w:space="0" w:color="auto"/>
        <w:left w:val="none" w:sz="0" w:space="0" w:color="auto"/>
        <w:bottom w:val="none" w:sz="0" w:space="0" w:color="auto"/>
        <w:right w:val="none" w:sz="0" w:space="0" w:color="auto"/>
      </w:divBdr>
    </w:div>
    <w:div w:id="1730611170">
      <w:bodyDiv w:val="1"/>
      <w:marLeft w:val="0"/>
      <w:marRight w:val="0"/>
      <w:marTop w:val="0"/>
      <w:marBottom w:val="0"/>
      <w:divBdr>
        <w:top w:val="none" w:sz="0" w:space="0" w:color="auto"/>
        <w:left w:val="none" w:sz="0" w:space="0" w:color="auto"/>
        <w:bottom w:val="none" w:sz="0" w:space="0" w:color="auto"/>
        <w:right w:val="none" w:sz="0" w:space="0" w:color="auto"/>
      </w:divBdr>
    </w:div>
    <w:div w:id="1731803826">
      <w:bodyDiv w:val="1"/>
      <w:marLeft w:val="0"/>
      <w:marRight w:val="0"/>
      <w:marTop w:val="0"/>
      <w:marBottom w:val="0"/>
      <w:divBdr>
        <w:top w:val="none" w:sz="0" w:space="0" w:color="auto"/>
        <w:left w:val="none" w:sz="0" w:space="0" w:color="auto"/>
        <w:bottom w:val="none" w:sz="0" w:space="0" w:color="auto"/>
        <w:right w:val="none" w:sz="0" w:space="0" w:color="auto"/>
      </w:divBdr>
    </w:div>
    <w:div w:id="1735347539">
      <w:bodyDiv w:val="1"/>
      <w:marLeft w:val="0"/>
      <w:marRight w:val="0"/>
      <w:marTop w:val="0"/>
      <w:marBottom w:val="0"/>
      <w:divBdr>
        <w:top w:val="none" w:sz="0" w:space="0" w:color="auto"/>
        <w:left w:val="none" w:sz="0" w:space="0" w:color="auto"/>
        <w:bottom w:val="none" w:sz="0" w:space="0" w:color="auto"/>
        <w:right w:val="none" w:sz="0" w:space="0" w:color="auto"/>
      </w:divBdr>
    </w:div>
    <w:div w:id="1742824122">
      <w:bodyDiv w:val="1"/>
      <w:marLeft w:val="0"/>
      <w:marRight w:val="0"/>
      <w:marTop w:val="0"/>
      <w:marBottom w:val="0"/>
      <w:divBdr>
        <w:top w:val="none" w:sz="0" w:space="0" w:color="auto"/>
        <w:left w:val="none" w:sz="0" w:space="0" w:color="auto"/>
        <w:bottom w:val="none" w:sz="0" w:space="0" w:color="auto"/>
        <w:right w:val="none" w:sz="0" w:space="0" w:color="auto"/>
      </w:divBdr>
    </w:div>
    <w:div w:id="1747339462">
      <w:bodyDiv w:val="1"/>
      <w:marLeft w:val="0"/>
      <w:marRight w:val="0"/>
      <w:marTop w:val="0"/>
      <w:marBottom w:val="0"/>
      <w:divBdr>
        <w:top w:val="none" w:sz="0" w:space="0" w:color="auto"/>
        <w:left w:val="none" w:sz="0" w:space="0" w:color="auto"/>
        <w:bottom w:val="none" w:sz="0" w:space="0" w:color="auto"/>
        <w:right w:val="none" w:sz="0" w:space="0" w:color="auto"/>
      </w:divBdr>
    </w:div>
    <w:div w:id="1749962185">
      <w:bodyDiv w:val="1"/>
      <w:marLeft w:val="0"/>
      <w:marRight w:val="0"/>
      <w:marTop w:val="0"/>
      <w:marBottom w:val="0"/>
      <w:divBdr>
        <w:top w:val="none" w:sz="0" w:space="0" w:color="auto"/>
        <w:left w:val="none" w:sz="0" w:space="0" w:color="auto"/>
        <w:bottom w:val="none" w:sz="0" w:space="0" w:color="auto"/>
        <w:right w:val="none" w:sz="0" w:space="0" w:color="auto"/>
      </w:divBdr>
    </w:div>
    <w:div w:id="1752654975">
      <w:bodyDiv w:val="1"/>
      <w:marLeft w:val="0"/>
      <w:marRight w:val="0"/>
      <w:marTop w:val="0"/>
      <w:marBottom w:val="0"/>
      <w:divBdr>
        <w:top w:val="none" w:sz="0" w:space="0" w:color="auto"/>
        <w:left w:val="none" w:sz="0" w:space="0" w:color="auto"/>
        <w:bottom w:val="none" w:sz="0" w:space="0" w:color="auto"/>
        <w:right w:val="none" w:sz="0" w:space="0" w:color="auto"/>
      </w:divBdr>
    </w:div>
    <w:div w:id="1763255267">
      <w:bodyDiv w:val="1"/>
      <w:marLeft w:val="0"/>
      <w:marRight w:val="0"/>
      <w:marTop w:val="0"/>
      <w:marBottom w:val="0"/>
      <w:divBdr>
        <w:top w:val="none" w:sz="0" w:space="0" w:color="auto"/>
        <w:left w:val="none" w:sz="0" w:space="0" w:color="auto"/>
        <w:bottom w:val="none" w:sz="0" w:space="0" w:color="auto"/>
        <w:right w:val="none" w:sz="0" w:space="0" w:color="auto"/>
      </w:divBdr>
    </w:div>
    <w:div w:id="1765301276">
      <w:bodyDiv w:val="1"/>
      <w:marLeft w:val="0"/>
      <w:marRight w:val="0"/>
      <w:marTop w:val="0"/>
      <w:marBottom w:val="0"/>
      <w:divBdr>
        <w:top w:val="none" w:sz="0" w:space="0" w:color="auto"/>
        <w:left w:val="none" w:sz="0" w:space="0" w:color="auto"/>
        <w:bottom w:val="none" w:sz="0" w:space="0" w:color="auto"/>
        <w:right w:val="none" w:sz="0" w:space="0" w:color="auto"/>
      </w:divBdr>
    </w:div>
    <w:div w:id="1767144018">
      <w:bodyDiv w:val="1"/>
      <w:marLeft w:val="0"/>
      <w:marRight w:val="0"/>
      <w:marTop w:val="0"/>
      <w:marBottom w:val="0"/>
      <w:divBdr>
        <w:top w:val="none" w:sz="0" w:space="0" w:color="auto"/>
        <w:left w:val="none" w:sz="0" w:space="0" w:color="auto"/>
        <w:bottom w:val="none" w:sz="0" w:space="0" w:color="auto"/>
        <w:right w:val="none" w:sz="0" w:space="0" w:color="auto"/>
      </w:divBdr>
    </w:div>
    <w:div w:id="1769228878">
      <w:bodyDiv w:val="1"/>
      <w:marLeft w:val="0"/>
      <w:marRight w:val="0"/>
      <w:marTop w:val="0"/>
      <w:marBottom w:val="0"/>
      <w:divBdr>
        <w:top w:val="none" w:sz="0" w:space="0" w:color="auto"/>
        <w:left w:val="none" w:sz="0" w:space="0" w:color="auto"/>
        <w:bottom w:val="none" w:sz="0" w:space="0" w:color="auto"/>
        <w:right w:val="none" w:sz="0" w:space="0" w:color="auto"/>
      </w:divBdr>
    </w:div>
    <w:div w:id="1777408417">
      <w:bodyDiv w:val="1"/>
      <w:marLeft w:val="0"/>
      <w:marRight w:val="0"/>
      <w:marTop w:val="0"/>
      <w:marBottom w:val="0"/>
      <w:divBdr>
        <w:top w:val="none" w:sz="0" w:space="0" w:color="auto"/>
        <w:left w:val="none" w:sz="0" w:space="0" w:color="auto"/>
        <w:bottom w:val="none" w:sz="0" w:space="0" w:color="auto"/>
        <w:right w:val="none" w:sz="0" w:space="0" w:color="auto"/>
      </w:divBdr>
    </w:div>
    <w:div w:id="1787307068">
      <w:bodyDiv w:val="1"/>
      <w:marLeft w:val="0"/>
      <w:marRight w:val="0"/>
      <w:marTop w:val="0"/>
      <w:marBottom w:val="0"/>
      <w:divBdr>
        <w:top w:val="none" w:sz="0" w:space="0" w:color="auto"/>
        <w:left w:val="none" w:sz="0" w:space="0" w:color="auto"/>
        <w:bottom w:val="none" w:sz="0" w:space="0" w:color="auto"/>
        <w:right w:val="none" w:sz="0" w:space="0" w:color="auto"/>
      </w:divBdr>
    </w:div>
    <w:div w:id="1789544987">
      <w:bodyDiv w:val="1"/>
      <w:marLeft w:val="0"/>
      <w:marRight w:val="0"/>
      <w:marTop w:val="0"/>
      <w:marBottom w:val="0"/>
      <w:divBdr>
        <w:top w:val="none" w:sz="0" w:space="0" w:color="auto"/>
        <w:left w:val="none" w:sz="0" w:space="0" w:color="auto"/>
        <w:bottom w:val="none" w:sz="0" w:space="0" w:color="auto"/>
        <w:right w:val="none" w:sz="0" w:space="0" w:color="auto"/>
      </w:divBdr>
    </w:div>
    <w:div w:id="1789810204">
      <w:bodyDiv w:val="1"/>
      <w:marLeft w:val="0"/>
      <w:marRight w:val="0"/>
      <w:marTop w:val="0"/>
      <w:marBottom w:val="0"/>
      <w:divBdr>
        <w:top w:val="none" w:sz="0" w:space="0" w:color="auto"/>
        <w:left w:val="none" w:sz="0" w:space="0" w:color="auto"/>
        <w:bottom w:val="none" w:sz="0" w:space="0" w:color="auto"/>
        <w:right w:val="none" w:sz="0" w:space="0" w:color="auto"/>
      </w:divBdr>
    </w:div>
    <w:div w:id="1797681510">
      <w:bodyDiv w:val="1"/>
      <w:marLeft w:val="0"/>
      <w:marRight w:val="0"/>
      <w:marTop w:val="0"/>
      <w:marBottom w:val="0"/>
      <w:divBdr>
        <w:top w:val="none" w:sz="0" w:space="0" w:color="auto"/>
        <w:left w:val="none" w:sz="0" w:space="0" w:color="auto"/>
        <w:bottom w:val="none" w:sz="0" w:space="0" w:color="auto"/>
        <w:right w:val="none" w:sz="0" w:space="0" w:color="auto"/>
      </w:divBdr>
    </w:div>
    <w:div w:id="1831629695">
      <w:bodyDiv w:val="1"/>
      <w:marLeft w:val="0"/>
      <w:marRight w:val="0"/>
      <w:marTop w:val="0"/>
      <w:marBottom w:val="0"/>
      <w:divBdr>
        <w:top w:val="none" w:sz="0" w:space="0" w:color="auto"/>
        <w:left w:val="none" w:sz="0" w:space="0" w:color="auto"/>
        <w:bottom w:val="none" w:sz="0" w:space="0" w:color="auto"/>
        <w:right w:val="none" w:sz="0" w:space="0" w:color="auto"/>
      </w:divBdr>
    </w:div>
    <w:div w:id="1836996434">
      <w:bodyDiv w:val="1"/>
      <w:marLeft w:val="0"/>
      <w:marRight w:val="0"/>
      <w:marTop w:val="0"/>
      <w:marBottom w:val="0"/>
      <w:divBdr>
        <w:top w:val="none" w:sz="0" w:space="0" w:color="auto"/>
        <w:left w:val="none" w:sz="0" w:space="0" w:color="auto"/>
        <w:bottom w:val="none" w:sz="0" w:space="0" w:color="auto"/>
        <w:right w:val="none" w:sz="0" w:space="0" w:color="auto"/>
      </w:divBdr>
    </w:div>
    <w:div w:id="1842547973">
      <w:bodyDiv w:val="1"/>
      <w:marLeft w:val="0"/>
      <w:marRight w:val="0"/>
      <w:marTop w:val="0"/>
      <w:marBottom w:val="0"/>
      <w:divBdr>
        <w:top w:val="none" w:sz="0" w:space="0" w:color="auto"/>
        <w:left w:val="none" w:sz="0" w:space="0" w:color="auto"/>
        <w:bottom w:val="none" w:sz="0" w:space="0" w:color="auto"/>
        <w:right w:val="none" w:sz="0" w:space="0" w:color="auto"/>
      </w:divBdr>
    </w:div>
    <w:div w:id="1842575987">
      <w:bodyDiv w:val="1"/>
      <w:marLeft w:val="0"/>
      <w:marRight w:val="0"/>
      <w:marTop w:val="0"/>
      <w:marBottom w:val="0"/>
      <w:divBdr>
        <w:top w:val="none" w:sz="0" w:space="0" w:color="auto"/>
        <w:left w:val="none" w:sz="0" w:space="0" w:color="auto"/>
        <w:bottom w:val="none" w:sz="0" w:space="0" w:color="auto"/>
        <w:right w:val="none" w:sz="0" w:space="0" w:color="auto"/>
      </w:divBdr>
      <w:divsChild>
        <w:div w:id="969432544">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845701252">
      <w:bodyDiv w:val="1"/>
      <w:marLeft w:val="0"/>
      <w:marRight w:val="0"/>
      <w:marTop w:val="0"/>
      <w:marBottom w:val="0"/>
      <w:divBdr>
        <w:top w:val="none" w:sz="0" w:space="0" w:color="auto"/>
        <w:left w:val="none" w:sz="0" w:space="0" w:color="auto"/>
        <w:bottom w:val="none" w:sz="0" w:space="0" w:color="auto"/>
        <w:right w:val="none" w:sz="0" w:space="0" w:color="auto"/>
      </w:divBdr>
    </w:div>
    <w:div w:id="1848670881">
      <w:bodyDiv w:val="1"/>
      <w:marLeft w:val="0"/>
      <w:marRight w:val="0"/>
      <w:marTop w:val="0"/>
      <w:marBottom w:val="0"/>
      <w:divBdr>
        <w:top w:val="none" w:sz="0" w:space="0" w:color="auto"/>
        <w:left w:val="none" w:sz="0" w:space="0" w:color="auto"/>
        <w:bottom w:val="none" w:sz="0" w:space="0" w:color="auto"/>
        <w:right w:val="none" w:sz="0" w:space="0" w:color="auto"/>
      </w:divBdr>
    </w:div>
    <w:div w:id="1855143632">
      <w:bodyDiv w:val="1"/>
      <w:marLeft w:val="0"/>
      <w:marRight w:val="0"/>
      <w:marTop w:val="0"/>
      <w:marBottom w:val="0"/>
      <w:divBdr>
        <w:top w:val="none" w:sz="0" w:space="0" w:color="auto"/>
        <w:left w:val="none" w:sz="0" w:space="0" w:color="auto"/>
        <w:bottom w:val="none" w:sz="0" w:space="0" w:color="auto"/>
        <w:right w:val="none" w:sz="0" w:space="0" w:color="auto"/>
      </w:divBdr>
    </w:div>
    <w:div w:id="1858695395">
      <w:bodyDiv w:val="1"/>
      <w:marLeft w:val="0"/>
      <w:marRight w:val="0"/>
      <w:marTop w:val="0"/>
      <w:marBottom w:val="0"/>
      <w:divBdr>
        <w:top w:val="none" w:sz="0" w:space="0" w:color="auto"/>
        <w:left w:val="none" w:sz="0" w:space="0" w:color="auto"/>
        <w:bottom w:val="none" w:sz="0" w:space="0" w:color="auto"/>
        <w:right w:val="none" w:sz="0" w:space="0" w:color="auto"/>
      </w:divBdr>
    </w:div>
    <w:div w:id="1860116494">
      <w:bodyDiv w:val="1"/>
      <w:marLeft w:val="0"/>
      <w:marRight w:val="0"/>
      <w:marTop w:val="0"/>
      <w:marBottom w:val="0"/>
      <w:divBdr>
        <w:top w:val="none" w:sz="0" w:space="0" w:color="auto"/>
        <w:left w:val="none" w:sz="0" w:space="0" w:color="auto"/>
        <w:bottom w:val="none" w:sz="0" w:space="0" w:color="auto"/>
        <w:right w:val="none" w:sz="0" w:space="0" w:color="auto"/>
      </w:divBdr>
    </w:div>
    <w:div w:id="1881473714">
      <w:bodyDiv w:val="1"/>
      <w:marLeft w:val="0"/>
      <w:marRight w:val="0"/>
      <w:marTop w:val="0"/>
      <w:marBottom w:val="0"/>
      <w:divBdr>
        <w:top w:val="none" w:sz="0" w:space="0" w:color="auto"/>
        <w:left w:val="none" w:sz="0" w:space="0" w:color="auto"/>
        <w:bottom w:val="none" w:sz="0" w:space="0" w:color="auto"/>
        <w:right w:val="none" w:sz="0" w:space="0" w:color="auto"/>
      </w:divBdr>
    </w:div>
    <w:div w:id="1885171080">
      <w:bodyDiv w:val="1"/>
      <w:marLeft w:val="0"/>
      <w:marRight w:val="0"/>
      <w:marTop w:val="0"/>
      <w:marBottom w:val="0"/>
      <w:divBdr>
        <w:top w:val="none" w:sz="0" w:space="0" w:color="auto"/>
        <w:left w:val="none" w:sz="0" w:space="0" w:color="auto"/>
        <w:bottom w:val="none" w:sz="0" w:space="0" w:color="auto"/>
        <w:right w:val="none" w:sz="0" w:space="0" w:color="auto"/>
      </w:divBdr>
    </w:div>
    <w:div w:id="1906211802">
      <w:bodyDiv w:val="1"/>
      <w:marLeft w:val="0"/>
      <w:marRight w:val="0"/>
      <w:marTop w:val="0"/>
      <w:marBottom w:val="0"/>
      <w:divBdr>
        <w:top w:val="none" w:sz="0" w:space="0" w:color="auto"/>
        <w:left w:val="none" w:sz="0" w:space="0" w:color="auto"/>
        <w:bottom w:val="none" w:sz="0" w:space="0" w:color="auto"/>
        <w:right w:val="none" w:sz="0" w:space="0" w:color="auto"/>
      </w:divBdr>
    </w:div>
    <w:div w:id="1906602074">
      <w:bodyDiv w:val="1"/>
      <w:marLeft w:val="0"/>
      <w:marRight w:val="0"/>
      <w:marTop w:val="0"/>
      <w:marBottom w:val="0"/>
      <w:divBdr>
        <w:top w:val="none" w:sz="0" w:space="0" w:color="auto"/>
        <w:left w:val="none" w:sz="0" w:space="0" w:color="auto"/>
        <w:bottom w:val="none" w:sz="0" w:space="0" w:color="auto"/>
        <w:right w:val="none" w:sz="0" w:space="0" w:color="auto"/>
      </w:divBdr>
    </w:div>
    <w:div w:id="1928927931">
      <w:bodyDiv w:val="1"/>
      <w:marLeft w:val="0"/>
      <w:marRight w:val="0"/>
      <w:marTop w:val="0"/>
      <w:marBottom w:val="0"/>
      <w:divBdr>
        <w:top w:val="none" w:sz="0" w:space="0" w:color="auto"/>
        <w:left w:val="none" w:sz="0" w:space="0" w:color="auto"/>
        <w:bottom w:val="none" w:sz="0" w:space="0" w:color="auto"/>
        <w:right w:val="none" w:sz="0" w:space="0" w:color="auto"/>
      </w:divBdr>
    </w:div>
    <w:div w:id="1935048335">
      <w:bodyDiv w:val="1"/>
      <w:marLeft w:val="0"/>
      <w:marRight w:val="0"/>
      <w:marTop w:val="0"/>
      <w:marBottom w:val="0"/>
      <w:divBdr>
        <w:top w:val="none" w:sz="0" w:space="0" w:color="auto"/>
        <w:left w:val="none" w:sz="0" w:space="0" w:color="auto"/>
        <w:bottom w:val="none" w:sz="0" w:space="0" w:color="auto"/>
        <w:right w:val="none" w:sz="0" w:space="0" w:color="auto"/>
      </w:divBdr>
    </w:div>
    <w:div w:id="1954239147">
      <w:bodyDiv w:val="1"/>
      <w:marLeft w:val="0"/>
      <w:marRight w:val="0"/>
      <w:marTop w:val="0"/>
      <w:marBottom w:val="0"/>
      <w:divBdr>
        <w:top w:val="none" w:sz="0" w:space="0" w:color="auto"/>
        <w:left w:val="none" w:sz="0" w:space="0" w:color="auto"/>
        <w:bottom w:val="none" w:sz="0" w:space="0" w:color="auto"/>
        <w:right w:val="none" w:sz="0" w:space="0" w:color="auto"/>
      </w:divBdr>
    </w:div>
    <w:div w:id="1956713001">
      <w:bodyDiv w:val="1"/>
      <w:marLeft w:val="0"/>
      <w:marRight w:val="0"/>
      <w:marTop w:val="0"/>
      <w:marBottom w:val="0"/>
      <w:divBdr>
        <w:top w:val="none" w:sz="0" w:space="0" w:color="auto"/>
        <w:left w:val="none" w:sz="0" w:space="0" w:color="auto"/>
        <w:bottom w:val="none" w:sz="0" w:space="0" w:color="auto"/>
        <w:right w:val="none" w:sz="0" w:space="0" w:color="auto"/>
      </w:divBdr>
    </w:div>
    <w:div w:id="1970208800">
      <w:bodyDiv w:val="1"/>
      <w:marLeft w:val="0"/>
      <w:marRight w:val="0"/>
      <w:marTop w:val="0"/>
      <w:marBottom w:val="0"/>
      <w:divBdr>
        <w:top w:val="none" w:sz="0" w:space="0" w:color="auto"/>
        <w:left w:val="none" w:sz="0" w:space="0" w:color="auto"/>
        <w:bottom w:val="none" w:sz="0" w:space="0" w:color="auto"/>
        <w:right w:val="none" w:sz="0" w:space="0" w:color="auto"/>
      </w:divBdr>
    </w:div>
    <w:div w:id="1978141192">
      <w:bodyDiv w:val="1"/>
      <w:marLeft w:val="0"/>
      <w:marRight w:val="0"/>
      <w:marTop w:val="0"/>
      <w:marBottom w:val="0"/>
      <w:divBdr>
        <w:top w:val="none" w:sz="0" w:space="0" w:color="auto"/>
        <w:left w:val="none" w:sz="0" w:space="0" w:color="auto"/>
        <w:bottom w:val="none" w:sz="0" w:space="0" w:color="auto"/>
        <w:right w:val="none" w:sz="0" w:space="0" w:color="auto"/>
      </w:divBdr>
    </w:div>
    <w:div w:id="1978486633">
      <w:bodyDiv w:val="1"/>
      <w:marLeft w:val="0"/>
      <w:marRight w:val="0"/>
      <w:marTop w:val="0"/>
      <w:marBottom w:val="0"/>
      <w:divBdr>
        <w:top w:val="none" w:sz="0" w:space="0" w:color="auto"/>
        <w:left w:val="none" w:sz="0" w:space="0" w:color="auto"/>
        <w:bottom w:val="none" w:sz="0" w:space="0" w:color="auto"/>
        <w:right w:val="none" w:sz="0" w:space="0" w:color="auto"/>
      </w:divBdr>
    </w:div>
    <w:div w:id="1991324373">
      <w:bodyDiv w:val="1"/>
      <w:marLeft w:val="0"/>
      <w:marRight w:val="0"/>
      <w:marTop w:val="0"/>
      <w:marBottom w:val="0"/>
      <w:divBdr>
        <w:top w:val="none" w:sz="0" w:space="0" w:color="auto"/>
        <w:left w:val="none" w:sz="0" w:space="0" w:color="auto"/>
        <w:bottom w:val="none" w:sz="0" w:space="0" w:color="auto"/>
        <w:right w:val="none" w:sz="0" w:space="0" w:color="auto"/>
      </w:divBdr>
    </w:div>
    <w:div w:id="2005938399">
      <w:bodyDiv w:val="1"/>
      <w:marLeft w:val="0"/>
      <w:marRight w:val="0"/>
      <w:marTop w:val="0"/>
      <w:marBottom w:val="0"/>
      <w:divBdr>
        <w:top w:val="none" w:sz="0" w:space="0" w:color="auto"/>
        <w:left w:val="none" w:sz="0" w:space="0" w:color="auto"/>
        <w:bottom w:val="none" w:sz="0" w:space="0" w:color="auto"/>
        <w:right w:val="none" w:sz="0" w:space="0" w:color="auto"/>
      </w:divBdr>
    </w:div>
    <w:div w:id="2007443114">
      <w:bodyDiv w:val="1"/>
      <w:marLeft w:val="0"/>
      <w:marRight w:val="0"/>
      <w:marTop w:val="0"/>
      <w:marBottom w:val="0"/>
      <w:divBdr>
        <w:top w:val="none" w:sz="0" w:space="0" w:color="auto"/>
        <w:left w:val="none" w:sz="0" w:space="0" w:color="auto"/>
        <w:bottom w:val="none" w:sz="0" w:space="0" w:color="auto"/>
        <w:right w:val="none" w:sz="0" w:space="0" w:color="auto"/>
      </w:divBdr>
    </w:div>
    <w:div w:id="2048287645">
      <w:bodyDiv w:val="1"/>
      <w:marLeft w:val="0"/>
      <w:marRight w:val="0"/>
      <w:marTop w:val="0"/>
      <w:marBottom w:val="0"/>
      <w:divBdr>
        <w:top w:val="none" w:sz="0" w:space="0" w:color="auto"/>
        <w:left w:val="none" w:sz="0" w:space="0" w:color="auto"/>
        <w:bottom w:val="none" w:sz="0" w:space="0" w:color="auto"/>
        <w:right w:val="none" w:sz="0" w:space="0" w:color="auto"/>
      </w:divBdr>
    </w:div>
    <w:div w:id="2090537547">
      <w:bodyDiv w:val="1"/>
      <w:marLeft w:val="0"/>
      <w:marRight w:val="0"/>
      <w:marTop w:val="0"/>
      <w:marBottom w:val="0"/>
      <w:divBdr>
        <w:top w:val="none" w:sz="0" w:space="0" w:color="auto"/>
        <w:left w:val="none" w:sz="0" w:space="0" w:color="auto"/>
        <w:bottom w:val="none" w:sz="0" w:space="0" w:color="auto"/>
        <w:right w:val="none" w:sz="0" w:space="0" w:color="auto"/>
      </w:divBdr>
    </w:div>
    <w:div w:id="2106919759">
      <w:bodyDiv w:val="1"/>
      <w:marLeft w:val="0"/>
      <w:marRight w:val="0"/>
      <w:marTop w:val="0"/>
      <w:marBottom w:val="0"/>
      <w:divBdr>
        <w:top w:val="none" w:sz="0" w:space="0" w:color="auto"/>
        <w:left w:val="none" w:sz="0" w:space="0" w:color="auto"/>
        <w:bottom w:val="none" w:sz="0" w:space="0" w:color="auto"/>
        <w:right w:val="none" w:sz="0" w:space="0" w:color="auto"/>
      </w:divBdr>
    </w:div>
    <w:div w:id="2127237647">
      <w:bodyDiv w:val="1"/>
      <w:marLeft w:val="0"/>
      <w:marRight w:val="0"/>
      <w:marTop w:val="0"/>
      <w:marBottom w:val="0"/>
      <w:divBdr>
        <w:top w:val="none" w:sz="0" w:space="0" w:color="auto"/>
        <w:left w:val="none" w:sz="0" w:space="0" w:color="auto"/>
        <w:bottom w:val="none" w:sz="0" w:space="0" w:color="auto"/>
        <w:right w:val="none" w:sz="0" w:space="0" w:color="auto"/>
      </w:divBdr>
    </w:div>
    <w:div w:id="2128771420">
      <w:bodyDiv w:val="1"/>
      <w:marLeft w:val="0"/>
      <w:marRight w:val="0"/>
      <w:marTop w:val="0"/>
      <w:marBottom w:val="0"/>
      <w:divBdr>
        <w:top w:val="none" w:sz="0" w:space="0" w:color="auto"/>
        <w:left w:val="none" w:sz="0" w:space="0" w:color="auto"/>
        <w:bottom w:val="none" w:sz="0" w:space="0" w:color="auto"/>
        <w:right w:val="none" w:sz="0" w:space="0" w:color="auto"/>
      </w:divBdr>
    </w:div>
    <w:div w:id="2131045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www.wisbii.fr"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2.emf"/><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s://www.laregion.fr/foster"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agriculture.gouv.fr/tout-savoir-sur-linitiative-nationale-pour-lagriculture-francaise-inaf" TargetMode="External"/><Relationship Id="rId20" Type="http://schemas.openxmlformats.org/officeDocument/2006/relationships/hyperlink" Target="http://www.ca-assurances.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package" Target="embeddings/Feuille_de_calcul_Microsoft_Excel1.xlsx"/><Relationship Id="rId5" Type="http://schemas.openxmlformats.org/officeDocument/2006/relationships/customXml" Target="../customXml/item5.xml"/><Relationship Id="rId15" Type="http://schemas.openxmlformats.org/officeDocument/2006/relationships/oleObject" Target="embeddings/oleObject1.bin"/><Relationship Id="rId23" Type="http://schemas.openxmlformats.org/officeDocument/2006/relationships/image" Target="media/image3.emf"/><Relationship Id="rId28"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hyperlink" Target="http://www.amundi.fr" TargetMode="External"/><Relationship Id="rId31"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 Id="rId22" Type="http://schemas.openxmlformats.org/officeDocument/2006/relationships/package" Target="embeddings/Feuille_de_calcul_Microsoft_Excel.xlsx"/><Relationship Id="rId27" Type="http://schemas.openxmlformats.org/officeDocument/2006/relationships/fontTable" Target="fontTable.xml"/><Relationship Id="rId30" Type="http://schemas.microsoft.com/office/2016/09/relationships/commentsIds" Target="commentsIds.xml"/></Relationships>
</file>

<file path=word/_rels/footnotes.xml.rels><?xml version="1.0" encoding="UTF-8" standalone="yes"?>
<Relationships xmlns="http://schemas.openxmlformats.org/package/2006/relationships"><Relationship Id="rId2" Type="http://schemas.openxmlformats.org/officeDocument/2006/relationships/hyperlink" Target="https://www.strategie.gouv.fr/sites/strategie.gouv.fr/files/atoms/files/fs_etude_rse_finale.pdf" TargetMode="External"/><Relationship Id="rId1" Type="http://schemas.openxmlformats.org/officeDocument/2006/relationships/hyperlink" Target="https://www.amundi.fr/fr_instit/dl/doc/prospectus/FR0011066802/FRA/FR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89C3BD8C92647428E7E73A324E67C6C" ma:contentTypeVersion="2" ma:contentTypeDescription="Create a new document." ma:contentTypeScope="" ma:versionID="2665d6f5661a13bab1bfe791707c18d2">
  <xsd:schema xmlns:xsd="http://www.w3.org/2001/XMLSchema" xmlns:xs="http://www.w3.org/2001/XMLSchema" xmlns:p="http://schemas.microsoft.com/office/2006/metadata/properties" xmlns:ns2="7cab0020-2c83-4eec-98aa-444a4c019405" targetNamespace="http://schemas.microsoft.com/office/2006/metadata/properties" ma:root="true" ma:fieldsID="f1a94dc8785e66d2285525d00041fd7f" ns2:_="">
    <xsd:import namespace="7cab0020-2c83-4eec-98aa-444a4c01940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ab0020-2c83-4eec-98aa-444a4c0194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D89C3BD8C92647428E7E73A324E67C6C" ma:contentTypeVersion="2" ma:contentTypeDescription="Crée un document." ma:contentTypeScope="" ma:versionID="77adddfd3645f21845310080c8ae4796">
  <xsd:schema xmlns:xsd="http://www.w3.org/2001/XMLSchema" xmlns:xs="http://www.w3.org/2001/XMLSchema" xmlns:p="http://schemas.microsoft.com/office/2006/metadata/properties" xmlns:ns2="7cab0020-2c83-4eec-98aa-444a4c019405" targetNamespace="http://schemas.microsoft.com/office/2006/metadata/properties" ma:root="true" ma:fieldsID="494648458baffe87aaa342385e64c7ec" ns2:_="">
    <xsd:import namespace="7cab0020-2c83-4eec-98aa-444a4c01940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ab0020-2c83-4eec-98aa-444a4c0194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DAC35-6BD0-48C2-B5E8-33BD94440FC6}">
  <ds:schemaRefs>
    <ds:schemaRef ds:uri="http://schemas.microsoft.com/sharepoint/v3/contenttype/forms"/>
  </ds:schemaRefs>
</ds:datastoreItem>
</file>

<file path=customXml/itemProps2.xml><?xml version="1.0" encoding="utf-8"?>
<ds:datastoreItem xmlns:ds="http://schemas.openxmlformats.org/officeDocument/2006/customXml" ds:itemID="{F6312090-A5F6-4EE1-B224-EC72964FE3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ab0020-2c83-4eec-98aa-444a4c0194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D464A2-C110-420D-A75B-A9765C8C7A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ab0020-2c83-4eec-98aa-444a4c0194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0D0451-780F-4C09-87A4-96A183325DB7}">
  <ds:schemaRefs>
    <ds:schemaRef ds:uri="http://purl.org/dc/elements/1.1/"/>
    <ds:schemaRef ds:uri="http://schemas.microsoft.com/office/2006/metadata/properties"/>
    <ds:schemaRef ds:uri="http://schemas.microsoft.com/office/2006/documentManagement/types"/>
    <ds:schemaRef ds:uri="http://purl.org/dc/terms/"/>
    <ds:schemaRef ds:uri="7cab0020-2c83-4eec-98aa-444a4c019405"/>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F67D896F-EA7B-451D-8517-FAF110AA491C}">
  <ds:schemaRefs>
    <ds:schemaRef ds:uri="http://purl.org/dc/terms/"/>
    <ds:schemaRef ds:uri="7cab0020-2c83-4eec-98aa-444a4c019405"/>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s>
</ds:datastoreItem>
</file>

<file path=customXml/itemProps6.xml><?xml version="1.0" encoding="utf-8"?>
<ds:datastoreItem xmlns:ds="http://schemas.openxmlformats.org/officeDocument/2006/customXml" ds:itemID="{EDBCFA09-8473-4C9B-A992-624C20BC10F3}">
  <ds:schemaRefs>
    <ds:schemaRef ds:uri="http://schemas.microsoft.com/sharepoint/v3/contenttype/forms"/>
  </ds:schemaRefs>
</ds:datastoreItem>
</file>

<file path=customXml/itemProps7.xml><?xml version="1.0" encoding="utf-8"?>
<ds:datastoreItem xmlns:ds="http://schemas.openxmlformats.org/officeDocument/2006/customXml" ds:itemID="{E0B4D74C-A26A-4EA8-AAA0-6C77CA4D6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77</Pages>
  <Words>40143</Words>
  <Characters>220791</Characters>
  <Application>Microsoft Office Word</Application>
  <DocSecurity>0</DocSecurity>
  <Lines>1839</Lines>
  <Paragraphs>520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CRNMP</Company>
  <LinksUpToDate>false</LinksUpToDate>
  <CharactersWithSpaces>260414</CharactersWithSpaces>
  <SharedDoc>false</SharedDoc>
  <HLinks>
    <vt:vector size="780" baseType="variant">
      <vt:variant>
        <vt:i4>5505097</vt:i4>
      </vt:variant>
      <vt:variant>
        <vt:i4>783</vt:i4>
      </vt:variant>
      <vt:variant>
        <vt:i4>0</vt:i4>
      </vt:variant>
      <vt:variant>
        <vt:i4>5</vt:i4>
      </vt:variant>
      <vt:variant>
        <vt:lpwstr>http://www.ca-nmp.fr/</vt:lpwstr>
      </vt:variant>
      <vt:variant>
        <vt:lpwstr/>
      </vt:variant>
      <vt:variant>
        <vt:i4>5505097</vt:i4>
      </vt:variant>
      <vt:variant>
        <vt:i4>780</vt:i4>
      </vt:variant>
      <vt:variant>
        <vt:i4>0</vt:i4>
      </vt:variant>
      <vt:variant>
        <vt:i4>5</vt:i4>
      </vt:variant>
      <vt:variant>
        <vt:lpwstr>http://www.ca-nmp.fr/</vt:lpwstr>
      </vt:variant>
      <vt:variant>
        <vt:lpwstr/>
      </vt:variant>
      <vt:variant>
        <vt:i4>5570666</vt:i4>
      </vt:variant>
      <vt:variant>
        <vt:i4>777</vt:i4>
      </vt:variant>
      <vt:variant>
        <vt:i4>0</vt:i4>
      </vt:variant>
      <vt:variant>
        <vt:i4>5</vt:i4>
      </vt:variant>
      <vt:variant>
        <vt:lpwstr>http://fr.wikipedia.org/wiki/Client_(%C3%A9conomie)</vt:lpwstr>
      </vt:variant>
      <vt:variant>
        <vt:lpwstr/>
      </vt:variant>
      <vt:variant>
        <vt:i4>6750243</vt:i4>
      </vt:variant>
      <vt:variant>
        <vt:i4>774</vt:i4>
      </vt:variant>
      <vt:variant>
        <vt:i4>0</vt:i4>
      </vt:variant>
      <vt:variant>
        <vt:i4>5</vt:i4>
      </vt:variant>
      <vt:variant>
        <vt:lpwstr>http://fr.wikipedia.org/wiki/Devoir</vt:lpwstr>
      </vt:variant>
      <vt:variant>
        <vt:lpwstr/>
      </vt:variant>
      <vt:variant>
        <vt:i4>327800</vt:i4>
      </vt:variant>
      <vt:variant>
        <vt:i4>771</vt:i4>
      </vt:variant>
      <vt:variant>
        <vt:i4>0</vt:i4>
      </vt:variant>
      <vt:variant>
        <vt:i4>5</vt:i4>
      </vt:variant>
      <vt:variant>
        <vt:lpwstr>http://fr.wikipedia.org/wiki/Droit_subjectif</vt:lpwstr>
      </vt:variant>
      <vt:variant>
        <vt:lpwstr/>
      </vt:variant>
      <vt:variant>
        <vt:i4>1114174</vt:i4>
      </vt:variant>
      <vt:variant>
        <vt:i4>743</vt:i4>
      </vt:variant>
      <vt:variant>
        <vt:i4>0</vt:i4>
      </vt:variant>
      <vt:variant>
        <vt:i4>5</vt:i4>
      </vt:variant>
      <vt:variant>
        <vt:lpwstr/>
      </vt:variant>
      <vt:variant>
        <vt:lpwstr>_Toc439325130</vt:lpwstr>
      </vt:variant>
      <vt:variant>
        <vt:i4>1048638</vt:i4>
      </vt:variant>
      <vt:variant>
        <vt:i4>737</vt:i4>
      </vt:variant>
      <vt:variant>
        <vt:i4>0</vt:i4>
      </vt:variant>
      <vt:variant>
        <vt:i4>5</vt:i4>
      </vt:variant>
      <vt:variant>
        <vt:lpwstr/>
      </vt:variant>
      <vt:variant>
        <vt:lpwstr>_Toc439325129</vt:lpwstr>
      </vt:variant>
      <vt:variant>
        <vt:i4>1048638</vt:i4>
      </vt:variant>
      <vt:variant>
        <vt:i4>731</vt:i4>
      </vt:variant>
      <vt:variant>
        <vt:i4>0</vt:i4>
      </vt:variant>
      <vt:variant>
        <vt:i4>5</vt:i4>
      </vt:variant>
      <vt:variant>
        <vt:lpwstr/>
      </vt:variant>
      <vt:variant>
        <vt:lpwstr>_Toc439325128</vt:lpwstr>
      </vt:variant>
      <vt:variant>
        <vt:i4>1048638</vt:i4>
      </vt:variant>
      <vt:variant>
        <vt:i4>725</vt:i4>
      </vt:variant>
      <vt:variant>
        <vt:i4>0</vt:i4>
      </vt:variant>
      <vt:variant>
        <vt:i4>5</vt:i4>
      </vt:variant>
      <vt:variant>
        <vt:lpwstr/>
      </vt:variant>
      <vt:variant>
        <vt:lpwstr>_Toc439325127</vt:lpwstr>
      </vt:variant>
      <vt:variant>
        <vt:i4>1048638</vt:i4>
      </vt:variant>
      <vt:variant>
        <vt:i4>719</vt:i4>
      </vt:variant>
      <vt:variant>
        <vt:i4>0</vt:i4>
      </vt:variant>
      <vt:variant>
        <vt:i4>5</vt:i4>
      </vt:variant>
      <vt:variant>
        <vt:lpwstr/>
      </vt:variant>
      <vt:variant>
        <vt:lpwstr>_Toc439325126</vt:lpwstr>
      </vt:variant>
      <vt:variant>
        <vt:i4>1048638</vt:i4>
      </vt:variant>
      <vt:variant>
        <vt:i4>713</vt:i4>
      </vt:variant>
      <vt:variant>
        <vt:i4>0</vt:i4>
      </vt:variant>
      <vt:variant>
        <vt:i4>5</vt:i4>
      </vt:variant>
      <vt:variant>
        <vt:lpwstr/>
      </vt:variant>
      <vt:variant>
        <vt:lpwstr>_Toc439325125</vt:lpwstr>
      </vt:variant>
      <vt:variant>
        <vt:i4>1048638</vt:i4>
      </vt:variant>
      <vt:variant>
        <vt:i4>707</vt:i4>
      </vt:variant>
      <vt:variant>
        <vt:i4>0</vt:i4>
      </vt:variant>
      <vt:variant>
        <vt:i4>5</vt:i4>
      </vt:variant>
      <vt:variant>
        <vt:lpwstr/>
      </vt:variant>
      <vt:variant>
        <vt:lpwstr>_Toc439325124</vt:lpwstr>
      </vt:variant>
      <vt:variant>
        <vt:i4>1048638</vt:i4>
      </vt:variant>
      <vt:variant>
        <vt:i4>701</vt:i4>
      </vt:variant>
      <vt:variant>
        <vt:i4>0</vt:i4>
      </vt:variant>
      <vt:variant>
        <vt:i4>5</vt:i4>
      </vt:variant>
      <vt:variant>
        <vt:lpwstr/>
      </vt:variant>
      <vt:variant>
        <vt:lpwstr>_Toc439325123</vt:lpwstr>
      </vt:variant>
      <vt:variant>
        <vt:i4>1048638</vt:i4>
      </vt:variant>
      <vt:variant>
        <vt:i4>695</vt:i4>
      </vt:variant>
      <vt:variant>
        <vt:i4>0</vt:i4>
      </vt:variant>
      <vt:variant>
        <vt:i4>5</vt:i4>
      </vt:variant>
      <vt:variant>
        <vt:lpwstr/>
      </vt:variant>
      <vt:variant>
        <vt:lpwstr>_Toc439325122</vt:lpwstr>
      </vt:variant>
      <vt:variant>
        <vt:i4>1048638</vt:i4>
      </vt:variant>
      <vt:variant>
        <vt:i4>689</vt:i4>
      </vt:variant>
      <vt:variant>
        <vt:i4>0</vt:i4>
      </vt:variant>
      <vt:variant>
        <vt:i4>5</vt:i4>
      </vt:variant>
      <vt:variant>
        <vt:lpwstr/>
      </vt:variant>
      <vt:variant>
        <vt:lpwstr>_Toc439325121</vt:lpwstr>
      </vt:variant>
      <vt:variant>
        <vt:i4>1048638</vt:i4>
      </vt:variant>
      <vt:variant>
        <vt:i4>683</vt:i4>
      </vt:variant>
      <vt:variant>
        <vt:i4>0</vt:i4>
      </vt:variant>
      <vt:variant>
        <vt:i4>5</vt:i4>
      </vt:variant>
      <vt:variant>
        <vt:lpwstr/>
      </vt:variant>
      <vt:variant>
        <vt:lpwstr>_Toc439325120</vt:lpwstr>
      </vt:variant>
      <vt:variant>
        <vt:i4>1245246</vt:i4>
      </vt:variant>
      <vt:variant>
        <vt:i4>677</vt:i4>
      </vt:variant>
      <vt:variant>
        <vt:i4>0</vt:i4>
      </vt:variant>
      <vt:variant>
        <vt:i4>5</vt:i4>
      </vt:variant>
      <vt:variant>
        <vt:lpwstr/>
      </vt:variant>
      <vt:variant>
        <vt:lpwstr>_Toc439325119</vt:lpwstr>
      </vt:variant>
      <vt:variant>
        <vt:i4>1245246</vt:i4>
      </vt:variant>
      <vt:variant>
        <vt:i4>671</vt:i4>
      </vt:variant>
      <vt:variant>
        <vt:i4>0</vt:i4>
      </vt:variant>
      <vt:variant>
        <vt:i4>5</vt:i4>
      </vt:variant>
      <vt:variant>
        <vt:lpwstr/>
      </vt:variant>
      <vt:variant>
        <vt:lpwstr>_Toc439325118</vt:lpwstr>
      </vt:variant>
      <vt:variant>
        <vt:i4>1245246</vt:i4>
      </vt:variant>
      <vt:variant>
        <vt:i4>665</vt:i4>
      </vt:variant>
      <vt:variant>
        <vt:i4>0</vt:i4>
      </vt:variant>
      <vt:variant>
        <vt:i4>5</vt:i4>
      </vt:variant>
      <vt:variant>
        <vt:lpwstr/>
      </vt:variant>
      <vt:variant>
        <vt:lpwstr>_Toc439325117</vt:lpwstr>
      </vt:variant>
      <vt:variant>
        <vt:i4>1245246</vt:i4>
      </vt:variant>
      <vt:variant>
        <vt:i4>659</vt:i4>
      </vt:variant>
      <vt:variant>
        <vt:i4>0</vt:i4>
      </vt:variant>
      <vt:variant>
        <vt:i4>5</vt:i4>
      </vt:variant>
      <vt:variant>
        <vt:lpwstr/>
      </vt:variant>
      <vt:variant>
        <vt:lpwstr>_Toc439325116</vt:lpwstr>
      </vt:variant>
      <vt:variant>
        <vt:i4>1245246</vt:i4>
      </vt:variant>
      <vt:variant>
        <vt:i4>653</vt:i4>
      </vt:variant>
      <vt:variant>
        <vt:i4>0</vt:i4>
      </vt:variant>
      <vt:variant>
        <vt:i4>5</vt:i4>
      </vt:variant>
      <vt:variant>
        <vt:lpwstr/>
      </vt:variant>
      <vt:variant>
        <vt:lpwstr>_Toc439325115</vt:lpwstr>
      </vt:variant>
      <vt:variant>
        <vt:i4>1245246</vt:i4>
      </vt:variant>
      <vt:variant>
        <vt:i4>647</vt:i4>
      </vt:variant>
      <vt:variant>
        <vt:i4>0</vt:i4>
      </vt:variant>
      <vt:variant>
        <vt:i4>5</vt:i4>
      </vt:variant>
      <vt:variant>
        <vt:lpwstr/>
      </vt:variant>
      <vt:variant>
        <vt:lpwstr>_Toc439325114</vt:lpwstr>
      </vt:variant>
      <vt:variant>
        <vt:i4>1245246</vt:i4>
      </vt:variant>
      <vt:variant>
        <vt:i4>641</vt:i4>
      </vt:variant>
      <vt:variant>
        <vt:i4>0</vt:i4>
      </vt:variant>
      <vt:variant>
        <vt:i4>5</vt:i4>
      </vt:variant>
      <vt:variant>
        <vt:lpwstr/>
      </vt:variant>
      <vt:variant>
        <vt:lpwstr>_Toc439325113</vt:lpwstr>
      </vt:variant>
      <vt:variant>
        <vt:i4>1245246</vt:i4>
      </vt:variant>
      <vt:variant>
        <vt:i4>635</vt:i4>
      </vt:variant>
      <vt:variant>
        <vt:i4>0</vt:i4>
      </vt:variant>
      <vt:variant>
        <vt:i4>5</vt:i4>
      </vt:variant>
      <vt:variant>
        <vt:lpwstr/>
      </vt:variant>
      <vt:variant>
        <vt:lpwstr>_Toc439325112</vt:lpwstr>
      </vt:variant>
      <vt:variant>
        <vt:i4>1245246</vt:i4>
      </vt:variant>
      <vt:variant>
        <vt:i4>629</vt:i4>
      </vt:variant>
      <vt:variant>
        <vt:i4>0</vt:i4>
      </vt:variant>
      <vt:variant>
        <vt:i4>5</vt:i4>
      </vt:variant>
      <vt:variant>
        <vt:lpwstr/>
      </vt:variant>
      <vt:variant>
        <vt:lpwstr>_Toc439325111</vt:lpwstr>
      </vt:variant>
      <vt:variant>
        <vt:i4>1245246</vt:i4>
      </vt:variant>
      <vt:variant>
        <vt:i4>623</vt:i4>
      </vt:variant>
      <vt:variant>
        <vt:i4>0</vt:i4>
      </vt:variant>
      <vt:variant>
        <vt:i4>5</vt:i4>
      </vt:variant>
      <vt:variant>
        <vt:lpwstr/>
      </vt:variant>
      <vt:variant>
        <vt:lpwstr>_Toc439325110</vt:lpwstr>
      </vt:variant>
      <vt:variant>
        <vt:i4>1179710</vt:i4>
      </vt:variant>
      <vt:variant>
        <vt:i4>617</vt:i4>
      </vt:variant>
      <vt:variant>
        <vt:i4>0</vt:i4>
      </vt:variant>
      <vt:variant>
        <vt:i4>5</vt:i4>
      </vt:variant>
      <vt:variant>
        <vt:lpwstr/>
      </vt:variant>
      <vt:variant>
        <vt:lpwstr>_Toc439325109</vt:lpwstr>
      </vt:variant>
      <vt:variant>
        <vt:i4>1179710</vt:i4>
      </vt:variant>
      <vt:variant>
        <vt:i4>611</vt:i4>
      </vt:variant>
      <vt:variant>
        <vt:i4>0</vt:i4>
      </vt:variant>
      <vt:variant>
        <vt:i4>5</vt:i4>
      </vt:variant>
      <vt:variant>
        <vt:lpwstr/>
      </vt:variant>
      <vt:variant>
        <vt:lpwstr>_Toc439325108</vt:lpwstr>
      </vt:variant>
      <vt:variant>
        <vt:i4>1179710</vt:i4>
      </vt:variant>
      <vt:variant>
        <vt:i4>605</vt:i4>
      </vt:variant>
      <vt:variant>
        <vt:i4>0</vt:i4>
      </vt:variant>
      <vt:variant>
        <vt:i4>5</vt:i4>
      </vt:variant>
      <vt:variant>
        <vt:lpwstr/>
      </vt:variant>
      <vt:variant>
        <vt:lpwstr>_Toc439325107</vt:lpwstr>
      </vt:variant>
      <vt:variant>
        <vt:i4>1179710</vt:i4>
      </vt:variant>
      <vt:variant>
        <vt:i4>599</vt:i4>
      </vt:variant>
      <vt:variant>
        <vt:i4>0</vt:i4>
      </vt:variant>
      <vt:variant>
        <vt:i4>5</vt:i4>
      </vt:variant>
      <vt:variant>
        <vt:lpwstr/>
      </vt:variant>
      <vt:variant>
        <vt:lpwstr>_Toc439325106</vt:lpwstr>
      </vt:variant>
      <vt:variant>
        <vt:i4>1179710</vt:i4>
      </vt:variant>
      <vt:variant>
        <vt:i4>593</vt:i4>
      </vt:variant>
      <vt:variant>
        <vt:i4>0</vt:i4>
      </vt:variant>
      <vt:variant>
        <vt:i4>5</vt:i4>
      </vt:variant>
      <vt:variant>
        <vt:lpwstr/>
      </vt:variant>
      <vt:variant>
        <vt:lpwstr>_Toc439325105</vt:lpwstr>
      </vt:variant>
      <vt:variant>
        <vt:i4>1179710</vt:i4>
      </vt:variant>
      <vt:variant>
        <vt:i4>587</vt:i4>
      </vt:variant>
      <vt:variant>
        <vt:i4>0</vt:i4>
      </vt:variant>
      <vt:variant>
        <vt:i4>5</vt:i4>
      </vt:variant>
      <vt:variant>
        <vt:lpwstr/>
      </vt:variant>
      <vt:variant>
        <vt:lpwstr>_Toc439325104</vt:lpwstr>
      </vt:variant>
      <vt:variant>
        <vt:i4>1179710</vt:i4>
      </vt:variant>
      <vt:variant>
        <vt:i4>581</vt:i4>
      </vt:variant>
      <vt:variant>
        <vt:i4>0</vt:i4>
      </vt:variant>
      <vt:variant>
        <vt:i4>5</vt:i4>
      </vt:variant>
      <vt:variant>
        <vt:lpwstr/>
      </vt:variant>
      <vt:variant>
        <vt:lpwstr>_Toc439325103</vt:lpwstr>
      </vt:variant>
      <vt:variant>
        <vt:i4>1179710</vt:i4>
      </vt:variant>
      <vt:variant>
        <vt:i4>575</vt:i4>
      </vt:variant>
      <vt:variant>
        <vt:i4>0</vt:i4>
      </vt:variant>
      <vt:variant>
        <vt:i4>5</vt:i4>
      </vt:variant>
      <vt:variant>
        <vt:lpwstr/>
      </vt:variant>
      <vt:variant>
        <vt:lpwstr>_Toc439325102</vt:lpwstr>
      </vt:variant>
      <vt:variant>
        <vt:i4>1179710</vt:i4>
      </vt:variant>
      <vt:variant>
        <vt:i4>569</vt:i4>
      </vt:variant>
      <vt:variant>
        <vt:i4>0</vt:i4>
      </vt:variant>
      <vt:variant>
        <vt:i4>5</vt:i4>
      </vt:variant>
      <vt:variant>
        <vt:lpwstr/>
      </vt:variant>
      <vt:variant>
        <vt:lpwstr>_Toc439325101</vt:lpwstr>
      </vt:variant>
      <vt:variant>
        <vt:i4>1179710</vt:i4>
      </vt:variant>
      <vt:variant>
        <vt:i4>563</vt:i4>
      </vt:variant>
      <vt:variant>
        <vt:i4>0</vt:i4>
      </vt:variant>
      <vt:variant>
        <vt:i4>5</vt:i4>
      </vt:variant>
      <vt:variant>
        <vt:lpwstr/>
      </vt:variant>
      <vt:variant>
        <vt:lpwstr>_Toc439325100</vt:lpwstr>
      </vt:variant>
      <vt:variant>
        <vt:i4>1769535</vt:i4>
      </vt:variant>
      <vt:variant>
        <vt:i4>557</vt:i4>
      </vt:variant>
      <vt:variant>
        <vt:i4>0</vt:i4>
      </vt:variant>
      <vt:variant>
        <vt:i4>5</vt:i4>
      </vt:variant>
      <vt:variant>
        <vt:lpwstr/>
      </vt:variant>
      <vt:variant>
        <vt:lpwstr>_Toc439325099</vt:lpwstr>
      </vt:variant>
      <vt:variant>
        <vt:i4>1769535</vt:i4>
      </vt:variant>
      <vt:variant>
        <vt:i4>551</vt:i4>
      </vt:variant>
      <vt:variant>
        <vt:i4>0</vt:i4>
      </vt:variant>
      <vt:variant>
        <vt:i4>5</vt:i4>
      </vt:variant>
      <vt:variant>
        <vt:lpwstr/>
      </vt:variant>
      <vt:variant>
        <vt:lpwstr>_Toc439325098</vt:lpwstr>
      </vt:variant>
      <vt:variant>
        <vt:i4>1769535</vt:i4>
      </vt:variant>
      <vt:variant>
        <vt:i4>545</vt:i4>
      </vt:variant>
      <vt:variant>
        <vt:i4>0</vt:i4>
      </vt:variant>
      <vt:variant>
        <vt:i4>5</vt:i4>
      </vt:variant>
      <vt:variant>
        <vt:lpwstr/>
      </vt:variant>
      <vt:variant>
        <vt:lpwstr>_Toc439325097</vt:lpwstr>
      </vt:variant>
      <vt:variant>
        <vt:i4>1769535</vt:i4>
      </vt:variant>
      <vt:variant>
        <vt:i4>539</vt:i4>
      </vt:variant>
      <vt:variant>
        <vt:i4>0</vt:i4>
      </vt:variant>
      <vt:variant>
        <vt:i4>5</vt:i4>
      </vt:variant>
      <vt:variant>
        <vt:lpwstr/>
      </vt:variant>
      <vt:variant>
        <vt:lpwstr>_Toc439325096</vt:lpwstr>
      </vt:variant>
      <vt:variant>
        <vt:i4>1769535</vt:i4>
      </vt:variant>
      <vt:variant>
        <vt:i4>533</vt:i4>
      </vt:variant>
      <vt:variant>
        <vt:i4>0</vt:i4>
      </vt:variant>
      <vt:variant>
        <vt:i4>5</vt:i4>
      </vt:variant>
      <vt:variant>
        <vt:lpwstr/>
      </vt:variant>
      <vt:variant>
        <vt:lpwstr>_Toc439325095</vt:lpwstr>
      </vt:variant>
      <vt:variant>
        <vt:i4>1769535</vt:i4>
      </vt:variant>
      <vt:variant>
        <vt:i4>527</vt:i4>
      </vt:variant>
      <vt:variant>
        <vt:i4>0</vt:i4>
      </vt:variant>
      <vt:variant>
        <vt:i4>5</vt:i4>
      </vt:variant>
      <vt:variant>
        <vt:lpwstr/>
      </vt:variant>
      <vt:variant>
        <vt:lpwstr>_Toc439325094</vt:lpwstr>
      </vt:variant>
      <vt:variant>
        <vt:i4>1769535</vt:i4>
      </vt:variant>
      <vt:variant>
        <vt:i4>521</vt:i4>
      </vt:variant>
      <vt:variant>
        <vt:i4>0</vt:i4>
      </vt:variant>
      <vt:variant>
        <vt:i4>5</vt:i4>
      </vt:variant>
      <vt:variant>
        <vt:lpwstr/>
      </vt:variant>
      <vt:variant>
        <vt:lpwstr>_Toc439325093</vt:lpwstr>
      </vt:variant>
      <vt:variant>
        <vt:i4>1769535</vt:i4>
      </vt:variant>
      <vt:variant>
        <vt:i4>515</vt:i4>
      </vt:variant>
      <vt:variant>
        <vt:i4>0</vt:i4>
      </vt:variant>
      <vt:variant>
        <vt:i4>5</vt:i4>
      </vt:variant>
      <vt:variant>
        <vt:lpwstr/>
      </vt:variant>
      <vt:variant>
        <vt:lpwstr>_Toc439325092</vt:lpwstr>
      </vt:variant>
      <vt:variant>
        <vt:i4>1769535</vt:i4>
      </vt:variant>
      <vt:variant>
        <vt:i4>509</vt:i4>
      </vt:variant>
      <vt:variant>
        <vt:i4>0</vt:i4>
      </vt:variant>
      <vt:variant>
        <vt:i4>5</vt:i4>
      </vt:variant>
      <vt:variant>
        <vt:lpwstr/>
      </vt:variant>
      <vt:variant>
        <vt:lpwstr>_Toc439325091</vt:lpwstr>
      </vt:variant>
      <vt:variant>
        <vt:i4>1769535</vt:i4>
      </vt:variant>
      <vt:variant>
        <vt:i4>503</vt:i4>
      </vt:variant>
      <vt:variant>
        <vt:i4>0</vt:i4>
      </vt:variant>
      <vt:variant>
        <vt:i4>5</vt:i4>
      </vt:variant>
      <vt:variant>
        <vt:lpwstr/>
      </vt:variant>
      <vt:variant>
        <vt:lpwstr>_Toc439325090</vt:lpwstr>
      </vt:variant>
      <vt:variant>
        <vt:i4>1703999</vt:i4>
      </vt:variant>
      <vt:variant>
        <vt:i4>497</vt:i4>
      </vt:variant>
      <vt:variant>
        <vt:i4>0</vt:i4>
      </vt:variant>
      <vt:variant>
        <vt:i4>5</vt:i4>
      </vt:variant>
      <vt:variant>
        <vt:lpwstr/>
      </vt:variant>
      <vt:variant>
        <vt:lpwstr>_Toc439325089</vt:lpwstr>
      </vt:variant>
      <vt:variant>
        <vt:i4>1703999</vt:i4>
      </vt:variant>
      <vt:variant>
        <vt:i4>491</vt:i4>
      </vt:variant>
      <vt:variant>
        <vt:i4>0</vt:i4>
      </vt:variant>
      <vt:variant>
        <vt:i4>5</vt:i4>
      </vt:variant>
      <vt:variant>
        <vt:lpwstr/>
      </vt:variant>
      <vt:variant>
        <vt:lpwstr>_Toc439325088</vt:lpwstr>
      </vt:variant>
      <vt:variant>
        <vt:i4>1703999</vt:i4>
      </vt:variant>
      <vt:variant>
        <vt:i4>485</vt:i4>
      </vt:variant>
      <vt:variant>
        <vt:i4>0</vt:i4>
      </vt:variant>
      <vt:variant>
        <vt:i4>5</vt:i4>
      </vt:variant>
      <vt:variant>
        <vt:lpwstr/>
      </vt:variant>
      <vt:variant>
        <vt:lpwstr>_Toc439325087</vt:lpwstr>
      </vt:variant>
      <vt:variant>
        <vt:i4>1703999</vt:i4>
      </vt:variant>
      <vt:variant>
        <vt:i4>479</vt:i4>
      </vt:variant>
      <vt:variant>
        <vt:i4>0</vt:i4>
      </vt:variant>
      <vt:variant>
        <vt:i4>5</vt:i4>
      </vt:variant>
      <vt:variant>
        <vt:lpwstr/>
      </vt:variant>
      <vt:variant>
        <vt:lpwstr>_Toc439325086</vt:lpwstr>
      </vt:variant>
      <vt:variant>
        <vt:i4>1703999</vt:i4>
      </vt:variant>
      <vt:variant>
        <vt:i4>473</vt:i4>
      </vt:variant>
      <vt:variant>
        <vt:i4>0</vt:i4>
      </vt:variant>
      <vt:variant>
        <vt:i4>5</vt:i4>
      </vt:variant>
      <vt:variant>
        <vt:lpwstr/>
      </vt:variant>
      <vt:variant>
        <vt:lpwstr>_Toc439325085</vt:lpwstr>
      </vt:variant>
      <vt:variant>
        <vt:i4>1703999</vt:i4>
      </vt:variant>
      <vt:variant>
        <vt:i4>467</vt:i4>
      </vt:variant>
      <vt:variant>
        <vt:i4>0</vt:i4>
      </vt:variant>
      <vt:variant>
        <vt:i4>5</vt:i4>
      </vt:variant>
      <vt:variant>
        <vt:lpwstr/>
      </vt:variant>
      <vt:variant>
        <vt:lpwstr>_Toc439325084</vt:lpwstr>
      </vt:variant>
      <vt:variant>
        <vt:i4>1703999</vt:i4>
      </vt:variant>
      <vt:variant>
        <vt:i4>461</vt:i4>
      </vt:variant>
      <vt:variant>
        <vt:i4>0</vt:i4>
      </vt:variant>
      <vt:variant>
        <vt:i4>5</vt:i4>
      </vt:variant>
      <vt:variant>
        <vt:lpwstr/>
      </vt:variant>
      <vt:variant>
        <vt:lpwstr>_Toc439325083</vt:lpwstr>
      </vt:variant>
      <vt:variant>
        <vt:i4>1703999</vt:i4>
      </vt:variant>
      <vt:variant>
        <vt:i4>455</vt:i4>
      </vt:variant>
      <vt:variant>
        <vt:i4>0</vt:i4>
      </vt:variant>
      <vt:variant>
        <vt:i4>5</vt:i4>
      </vt:variant>
      <vt:variant>
        <vt:lpwstr/>
      </vt:variant>
      <vt:variant>
        <vt:lpwstr>_Toc439325082</vt:lpwstr>
      </vt:variant>
      <vt:variant>
        <vt:i4>1703999</vt:i4>
      </vt:variant>
      <vt:variant>
        <vt:i4>449</vt:i4>
      </vt:variant>
      <vt:variant>
        <vt:i4>0</vt:i4>
      </vt:variant>
      <vt:variant>
        <vt:i4>5</vt:i4>
      </vt:variant>
      <vt:variant>
        <vt:lpwstr/>
      </vt:variant>
      <vt:variant>
        <vt:lpwstr>_Toc439325081</vt:lpwstr>
      </vt:variant>
      <vt:variant>
        <vt:i4>1703999</vt:i4>
      </vt:variant>
      <vt:variant>
        <vt:i4>443</vt:i4>
      </vt:variant>
      <vt:variant>
        <vt:i4>0</vt:i4>
      </vt:variant>
      <vt:variant>
        <vt:i4>5</vt:i4>
      </vt:variant>
      <vt:variant>
        <vt:lpwstr/>
      </vt:variant>
      <vt:variant>
        <vt:lpwstr>_Toc439325080</vt:lpwstr>
      </vt:variant>
      <vt:variant>
        <vt:i4>1376319</vt:i4>
      </vt:variant>
      <vt:variant>
        <vt:i4>437</vt:i4>
      </vt:variant>
      <vt:variant>
        <vt:i4>0</vt:i4>
      </vt:variant>
      <vt:variant>
        <vt:i4>5</vt:i4>
      </vt:variant>
      <vt:variant>
        <vt:lpwstr/>
      </vt:variant>
      <vt:variant>
        <vt:lpwstr>_Toc439325079</vt:lpwstr>
      </vt:variant>
      <vt:variant>
        <vt:i4>1376319</vt:i4>
      </vt:variant>
      <vt:variant>
        <vt:i4>431</vt:i4>
      </vt:variant>
      <vt:variant>
        <vt:i4>0</vt:i4>
      </vt:variant>
      <vt:variant>
        <vt:i4>5</vt:i4>
      </vt:variant>
      <vt:variant>
        <vt:lpwstr/>
      </vt:variant>
      <vt:variant>
        <vt:lpwstr>_Toc439325078</vt:lpwstr>
      </vt:variant>
      <vt:variant>
        <vt:i4>1376319</vt:i4>
      </vt:variant>
      <vt:variant>
        <vt:i4>425</vt:i4>
      </vt:variant>
      <vt:variant>
        <vt:i4>0</vt:i4>
      </vt:variant>
      <vt:variant>
        <vt:i4>5</vt:i4>
      </vt:variant>
      <vt:variant>
        <vt:lpwstr/>
      </vt:variant>
      <vt:variant>
        <vt:lpwstr>_Toc439325077</vt:lpwstr>
      </vt:variant>
      <vt:variant>
        <vt:i4>1376319</vt:i4>
      </vt:variant>
      <vt:variant>
        <vt:i4>419</vt:i4>
      </vt:variant>
      <vt:variant>
        <vt:i4>0</vt:i4>
      </vt:variant>
      <vt:variant>
        <vt:i4>5</vt:i4>
      </vt:variant>
      <vt:variant>
        <vt:lpwstr/>
      </vt:variant>
      <vt:variant>
        <vt:lpwstr>_Toc439325076</vt:lpwstr>
      </vt:variant>
      <vt:variant>
        <vt:i4>1376319</vt:i4>
      </vt:variant>
      <vt:variant>
        <vt:i4>413</vt:i4>
      </vt:variant>
      <vt:variant>
        <vt:i4>0</vt:i4>
      </vt:variant>
      <vt:variant>
        <vt:i4>5</vt:i4>
      </vt:variant>
      <vt:variant>
        <vt:lpwstr/>
      </vt:variant>
      <vt:variant>
        <vt:lpwstr>_Toc439325075</vt:lpwstr>
      </vt:variant>
      <vt:variant>
        <vt:i4>1376319</vt:i4>
      </vt:variant>
      <vt:variant>
        <vt:i4>407</vt:i4>
      </vt:variant>
      <vt:variant>
        <vt:i4>0</vt:i4>
      </vt:variant>
      <vt:variant>
        <vt:i4>5</vt:i4>
      </vt:variant>
      <vt:variant>
        <vt:lpwstr/>
      </vt:variant>
      <vt:variant>
        <vt:lpwstr>_Toc439325074</vt:lpwstr>
      </vt:variant>
      <vt:variant>
        <vt:i4>1376319</vt:i4>
      </vt:variant>
      <vt:variant>
        <vt:i4>401</vt:i4>
      </vt:variant>
      <vt:variant>
        <vt:i4>0</vt:i4>
      </vt:variant>
      <vt:variant>
        <vt:i4>5</vt:i4>
      </vt:variant>
      <vt:variant>
        <vt:lpwstr/>
      </vt:variant>
      <vt:variant>
        <vt:lpwstr>_Toc439325073</vt:lpwstr>
      </vt:variant>
      <vt:variant>
        <vt:i4>1376319</vt:i4>
      </vt:variant>
      <vt:variant>
        <vt:i4>395</vt:i4>
      </vt:variant>
      <vt:variant>
        <vt:i4>0</vt:i4>
      </vt:variant>
      <vt:variant>
        <vt:i4>5</vt:i4>
      </vt:variant>
      <vt:variant>
        <vt:lpwstr/>
      </vt:variant>
      <vt:variant>
        <vt:lpwstr>_Toc439325072</vt:lpwstr>
      </vt:variant>
      <vt:variant>
        <vt:i4>1376319</vt:i4>
      </vt:variant>
      <vt:variant>
        <vt:i4>389</vt:i4>
      </vt:variant>
      <vt:variant>
        <vt:i4>0</vt:i4>
      </vt:variant>
      <vt:variant>
        <vt:i4>5</vt:i4>
      </vt:variant>
      <vt:variant>
        <vt:lpwstr/>
      </vt:variant>
      <vt:variant>
        <vt:lpwstr>_Toc439325071</vt:lpwstr>
      </vt:variant>
      <vt:variant>
        <vt:i4>1376319</vt:i4>
      </vt:variant>
      <vt:variant>
        <vt:i4>383</vt:i4>
      </vt:variant>
      <vt:variant>
        <vt:i4>0</vt:i4>
      </vt:variant>
      <vt:variant>
        <vt:i4>5</vt:i4>
      </vt:variant>
      <vt:variant>
        <vt:lpwstr/>
      </vt:variant>
      <vt:variant>
        <vt:lpwstr>_Toc439325070</vt:lpwstr>
      </vt:variant>
      <vt:variant>
        <vt:i4>1310783</vt:i4>
      </vt:variant>
      <vt:variant>
        <vt:i4>377</vt:i4>
      </vt:variant>
      <vt:variant>
        <vt:i4>0</vt:i4>
      </vt:variant>
      <vt:variant>
        <vt:i4>5</vt:i4>
      </vt:variant>
      <vt:variant>
        <vt:lpwstr/>
      </vt:variant>
      <vt:variant>
        <vt:lpwstr>_Toc439325069</vt:lpwstr>
      </vt:variant>
      <vt:variant>
        <vt:i4>1310783</vt:i4>
      </vt:variant>
      <vt:variant>
        <vt:i4>371</vt:i4>
      </vt:variant>
      <vt:variant>
        <vt:i4>0</vt:i4>
      </vt:variant>
      <vt:variant>
        <vt:i4>5</vt:i4>
      </vt:variant>
      <vt:variant>
        <vt:lpwstr/>
      </vt:variant>
      <vt:variant>
        <vt:lpwstr>_Toc439325068</vt:lpwstr>
      </vt:variant>
      <vt:variant>
        <vt:i4>1310783</vt:i4>
      </vt:variant>
      <vt:variant>
        <vt:i4>365</vt:i4>
      </vt:variant>
      <vt:variant>
        <vt:i4>0</vt:i4>
      </vt:variant>
      <vt:variant>
        <vt:i4>5</vt:i4>
      </vt:variant>
      <vt:variant>
        <vt:lpwstr/>
      </vt:variant>
      <vt:variant>
        <vt:lpwstr>_Toc439325067</vt:lpwstr>
      </vt:variant>
      <vt:variant>
        <vt:i4>1310783</vt:i4>
      </vt:variant>
      <vt:variant>
        <vt:i4>359</vt:i4>
      </vt:variant>
      <vt:variant>
        <vt:i4>0</vt:i4>
      </vt:variant>
      <vt:variant>
        <vt:i4>5</vt:i4>
      </vt:variant>
      <vt:variant>
        <vt:lpwstr/>
      </vt:variant>
      <vt:variant>
        <vt:lpwstr>_Toc439325066</vt:lpwstr>
      </vt:variant>
      <vt:variant>
        <vt:i4>1310783</vt:i4>
      </vt:variant>
      <vt:variant>
        <vt:i4>353</vt:i4>
      </vt:variant>
      <vt:variant>
        <vt:i4>0</vt:i4>
      </vt:variant>
      <vt:variant>
        <vt:i4>5</vt:i4>
      </vt:variant>
      <vt:variant>
        <vt:lpwstr/>
      </vt:variant>
      <vt:variant>
        <vt:lpwstr>_Toc439325065</vt:lpwstr>
      </vt:variant>
      <vt:variant>
        <vt:i4>1310783</vt:i4>
      </vt:variant>
      <vt:variant>
        <vt:i4>347</vt:i4>
      </vt:variant>
      <vt:variant>
        <vt:i4>0</vt:i4>
      </vt:variant>
      <vt:variant>
        <vt:i4>5</vt:i4>
      </vt:variant>
      <vt:variant>
        <vt:lpwstr/>
      </vt:variant>
      <vt:variant>
        <vt:lpwstr>_Toc439325064</vt:lpwstr>
      </vt:variant>
      <vt:variant>
        <vt:i4>1310783</vt:i4>
      </vt:variant>
      <vt:variant>
        <vt:i4>341</vt:i4>
      </vt:variant>
      <vt:variant>
        <vt:i4>0</vt:i4>
      </vt:variant>
      <vt:variant>
        <vt:i4>5</vt:i4>
      </vt:variant>
      <vt:variant>
        <vt:lpwstr/>
      </vt:variant>
      <vt:variant>
        <vt:lpwstr>_Toc439325063</vt:lpwstr>
      </vt:variant>
      <vt:variant>
        <vt:i4>1310783</vt:i4>
      </vt:variant>
      <vt:variant>
        <vt:i4>335</vt:i4>
      </vt:variant>
      <vt:variant>
        <vt:i4>0</vt:i4>
      </vt:variant>
      <vt:variant>
        <vt:i4>5</vt:i4>
      </vt:variant>
      <vt:variant>
        <vt:lpwstr/>
      </vt:variant>
      <vt:variant>
        <vt:lpwstr>_Toc439325062</vt:lpwstr>
      </vt:variant>
      <vt:variant>
        <vt:i4>1310783</vt:i4>
      </vt:variant>
      <vt:variant>
        <vt:i4>329</vt:i4>
      </vt:variant>
      <vt:variant>
        <vt:i4>0</vt:i4>
      </vt:variant>
      <vt:variant>
        <vt:i4>5</vt:i4>
      </vt:variant>
      <vt:variant>
        <vt:lpwstr/>
      </vt:variant>
      <vt:variant>
        <vt:lpwstr>_Toc439325061</vt:lpwstr>
      </vt:variant>
      <vt:variant>
        <vt:i4>1310783</vt:i4>
      </vt:variant>
      <vt:variant>
        <vt:i4>323</vt:i4>
      </vt:variant>
      <vt:variant>
        <vt:i4>0</vt:i4>
      </vt:variant>
      <vt:variant>
        <vt:i4>5</vt:i4>
      </vt:variant>
      <vt:variant>
        <vt:lpwstr/>
      </vt:variant>
      <vt:variant>
        <vt:lpwstr>_Toc439325060</vt:lpwstr>
      </vt:variant>
      <vt:variant>
        <vt:i4>1507391</vt:i4>
      </vt:variant>
      <vt:variant>
        <vt:i4>317</vt:i4>
      </vt:variant>
      <vt:variant>
        <vt:i4>0</vt:i4>
      </vt:variant>
      <vt:variant>
        <vt:i4>5</vt:i4>
      </vt:variant>
      <vt:variant>
        <vt:lpwstr/>
      </vt:variant>
      <vt:variant>
        <vt:lpwstr>_Toc439325059</vt:lpwstr>
      </vt:variant>
      <vt:variant>
        <vt:i4>1507391</vt:i4>
      </vt:variant>
      <vt:variant>
        <vt:i4>311</vt:i4>
      </vt:variant>
      <vt:variant>
        <vt:i4>0</vt:i4>
      </vt:variant>
      <vt:variant>
        <vt:i4>5</vt:i4>
      </vt:variant>
      <vt:variant>
        <vt:lpwstr/>
      </vt:variant>
      <vt:variant>
        <vt:lpwstr>_Toc439325058</vt:lpwstr>
      </vt:variant>
      <vt:variant>
        <vt:i4>1507391</vt:i4>
      </vt:variant>
      <vt:variant>
        <vt:i4>305</vt:i4>
      </vt:variant>
      <vt:variant>
        <vt:i4>0</vt:i4>
      </vt:variant>
      <vt:variant>
        <vt:i4>5</vt:i4>
      </vt:variant>
      <vt:variant>
        <vt:lpwstr/>
      </vt:variant>
      <vt:variant>
        <vt:lpwstr>_Toc439325057</vt:lpwstr>
      </vt:variant>
      <vt:variant>
        <vt:i4>1507391</vt:i4>
      </vt:variant>
      <vt:variant>
        <vt:i4>299</vt:i4>
      </vt:variant>
      <vt:variant>
        <vt:i4>0</vt:i4>
      </vt:variant>
      <vt:variant>
        <vt:i4>5</vt:i4>
      </vt:variant>
      <vt:variant>
        <vt:lpwstr/>
      </vt:variant>
      <vt:variant>
        <vt:lpwstr>_Toc439325056</vt:lpwstr>
      </vt:variant>
      <vt:variant>
        <vt:i4>1507391</vt:i4>
      </vt:variant>
      <vt:variant>
        <vt:i4>293</vt:i4>
      </vt:variant>
      <vt:variant>
        <vt:i4>0</vt:i4>
      </vt:variant>
      <vt:variant>
        <vt:i4>5</vt:i4>
      </vt:variant>
      <vt:variant>
        <vt:lpwstr/>
      </vt:variant>
      <vt:variant>
        <vt:lpwstr>_Toc439325055</vt:lpwstr>
      </vt:variant>
      <vt:variant>
        <vt:i4>1507391</vt:i4>
      </vt:variant>
      <vt:variant>
        <vt:i4>287</vt:i4>
      </vt:variant>
      <vt:variant>
        <vt:i4>0</vt:i4>
      </vt:variant>
      <vt:variant>
        <vt:i4>5</vt:i4>
      </vt:variant>
      <vt:variant>
        <vt:lpwstr/>
      </vt:variant>
      <vt:variant>
        <vt:lpwstr>_Toc439325054</vt:lpwstr>
      </vt:variant>
      <vt:variant>
        <vt:i4>1507391</vt:i4>
      </vt:variant>
      <vt:variant>
        <vt:i4>281</vt:i4>
      </vt:variant>
      <vt:variant>
        <vt:i4>0</vt:i4>
      </vt:variant>
      <vt:variant>
        <vt:i4>5</vt:i4>
      </vt:variant>
      <vt:variant>
        <vt:lpwstr/>
      </vt:variant>
      <vt:variant>
        <vt:lpwstr>_Toc439325053</vt:lpwstr>
      </vt:variant>
      <vt:variant>
        <vt:i4>1507391</vt:i4>
      </vt:variant>
      <vt:variant>
        <vt:i4>275</vt:i4>
      </vt:variant>
      <vt:variant>
        <vt:i4>0</vt:i4>
      </vt:variant>
      <vt:variant>
        <vt:i4>5</vt:i4>
      </vt:variant>
      <vt:variant>
        <vt:lpwstr/>
      </vt:variant>
      <vt:variant>
        <vt:lpwstr>_Toc439325052</vt:lpwstr>
      </vt:variant>
      <vt:variant>
        <vt:i4>1507391</vt:i4>
      </vt:variant>
      <vt:variant>
        <vt:i4>269</vt:i4>
      </vt:variant>
      <vt:variant>
        <vt:i4>0</vt:i4>
      </vt:variant>
      <vt:variant>
        <vt:i4>5</vt:i4>
      </vt:variant>
      <vt:variant>
        <vt:lpwstr/>
      </vt:variant>
      <vt:variant>
        <vt:lpwstr>_Toc439325051</vt:lpwstr>
      </vt:variant>
      <vt:variant>
        <vt:i4>1507391</vt:i4>
      </vt:variant>
      <vt:variant>
        <vt:i4>263</vt:i4>
      </vt:variant>
      <vt:variant>
        <vt:i4>0</vt:i4>
      </vt:variant>
      <vt:variant>
        <vt:i4>5</vt:i4>
      </vt:variant>
      <vt:variant>
        <vt:lpwstr/>
      </vt:variant>
      <vt:variant>
        <vt:lpwstr>_Toc439325050</vt:lpwstr>
      </vt:variant>
      <vt:variant>
        <vt:i4>1441855</vt:i4>
      </vt:variant>
      <vt:variant>
        <vt:i4>257</vt:i4>
      </vt:variant>
      <vt:variant>
        <vt:i4>0</vt:i4>
      </vt:variant>
      <vt:variant>
        <vt:i4>5</vt:i4>
      </vt:variant>
      <vt:variant>
        <vt:lpwstr/>
      </vt:variant>
      <vt:variant>
        <vt:lpwstr>_Toc439325049</vt:lpwstr>
      </vt:variant>
      <vt:variant>
        <vt:i4>1441855</vt:i4>
      </vt:variant>
      <vt:variant>
        <vt:i4>251</vt:i4>
      </vt:variant>
      <vt:variant>
        <vt:i4>0</vt:i4>
      </vt:variant>
      <vt:variant>
        <vt:i4>5</vt:i4>
      </vt:variant>
      <vt:variant>
        <vt:lpwstr/>
      </vt:variant>
      <vt:variant>
        <vt:lpwstr>_Toc439325048</vt:lpwstr>
      </vt:variant>
      <vt:variant>
        <vt:i4>1441855</vt:i4>
      </vt:variant>
      <vt:variant>
        <vt:i4>245</vt:i4>
      </vt:variant>
      <vt:variant>
        <vt:i4>0</vt:i4>
      </vt:variant>
      <vt:variant>
        <vt:i4>5</vt:i4>
      </vt:variant>
      <vt:variant>
        <vt:lpwstr/>
      </vt:variant>
      <vt:variant>
        <vt:lpwstr>_Toc439325047</vt:lpwstr>
      </vt:variant>
      <vt:variant>
        <vt:i4>1441855</vt:i4>
      </vt:variant>
      <vt:variant>
        <vt:i4>239</vt:i4>
      </vt:variant>
      <vt:variant>
        <vt:i4>0</vt:i4>
      </vt:variant>
      <vt:variant>
        <vt:i4>5</vt:i4>
      </vt:variant>
      <vt:variant>
        <vt:lpwstr/>
      </vt:variant>
      <vt:variant>
        <vt:lpwstr>_Toc439325046</vt:lpwstr>
      </vt:variant>
      <vt:variant>
        <vt:i4>1441855</vt:i4>
      </vt:variant>
      <vt:variant>
        <vt:i4>233</vt:i4>
      </vt:variant>
      <vt:variant>
        <vt:i4>0</vt:i4>
      </vt:variant>
      <vt:variant>
        <vt:i4>5</vt:i4>
      </vt:variant>
      <vt:variant>
        <vt:lpwstr/>
      </vt:variant>
      <vt:variant>
        <vt:lpwstr>_Toc439325045</vt:lpwstr>
      </vt:variant>
      <vt:variant>
        <vt:i4>1441855</vt:i4>
      </vt:variant>
      <vt:variant>
        <vt:i4>227</vt:i4>
      </vt:variant>
      <vt:variant>
        <vt:i4>0</vt:i4>
      </vt:variant>
      <vt:variant>
        <vt:i4>5</vt:i4>
      </vt:variant>
      <vt:variant>
        <vt:lpwstr/>
      </vt:variant>
      <vt:variant>
        <vt:lpwstr>_Toc439325044</vt:lpwstr>
      </vt:variant>
      <vt:variant>
        <vt:i4>1441855</vt:i4>
      </vt:variant>
      <vt:variant>
        <vt:i4>221</vt:i4>
      </vt:variant>
      <vt:variant>
        <vt:i4>0</vt:i4>
      </vt:variant>
      <vt:variant>
        <vt:i4>5</vt:i4>
      </vt:variant>
      <vt:variant>
        <vt:lpwstr/>
      </vt:variant>
      <vt:variant>
        <vt:lpwstr>_Toc439325043</vt:lpwstr>
      </vt:variant>
      <vt:variant>
        <vt:i4>1441855</vt:i4>
      </vt:variant>
      <vt:variant>
        <vt:i4>215</vt:i4>
      </vt:variant>
      <vt:variant>
        <vt:i4>0</vt:i4>
      </vt:variant>
      <vt:variant>
        <vt:i4>5</vt:i4>
      </vt:variant>
      <vt:variant>
        <vt:lpwstr/>
      </vt:variant>
      <vt:variant>
        <vt:lpwstr>_Toc439325042</vt:lpwstr>
      </vt:variant>
      <vt:variant>
        <vt:i4>1441855</vt:i4>
      </vt:variant>
      <vt:variant>
        <vt:i4>209</vt:i4>
      </vt:variant>
      <vt:variant>
        <vt:i4>0</vt:i4>
      </vt:variant>
      <vt:variant>
        <vt:i4>5</vt:i4>
      </vt:variant>
      <vt:variant>
        <vt:lpwstr/>
      </vt:variant>
      <vt:variant>
        <vt:lpwstr>_Toc439325041</vt:lpwstr>
      </vt:variant>
      <vt:variant>
        <vt:i4>1441855</vt:i4>
      </vt:variant>
      <vt:variant>
        <vt:i4>203</vt:i4>
      </vt:variant>
      <vt:variant>
        <vt:i4>0</vt:i4>
      </vt:variant>
      <vt:variant>
        <vt:i4>5</vt:i4>
      </vt:variant>
      <vt:variant>
        <vt:lpwstr/>
      </vt:variant>
      <vt:variant>
        <vt:lpwstr>_Toc439325040</vt:lpwstr>
      </vt:variant>
      <vt:variant>
        <vt:i4>1114175</vt:i4>
      </vt:variant>
      <vt:variant>
        <vt:i4>197</vt:i4>
      </vt:variant>
      <vt:variant>
        <vt:i4>0</vt:i4>
      </vt:variant>
      <vt:variant>
        <vt:i4>5</vt:i4>
      </vt:variant>
      <vt:variant>
        <vt:lpwstr/>
      </vt:variant>
      <vt:variant>
        <vt:lpwstr>_Toc439325039</vt:lpwstr>
      </vt:variant>
      <vt:variant>
        <vt:i4>1114175</vt:i4>
      </vt:variant>
      <vt:variant>
        <vt:i4>191</vt:i4>
      </vt:variant>
      <vt:variant>
        <vt:i4>0</vt:i4>
      </vt:variant>
      <vt:variant>
        <vt:i4>5</vt:i4>
      </vt:variant>
      <vt:variant>
        <vt:lpwstr/>
      </vt:variant>
      <vt:variant>
        <vt:lpwstr>_Toc439325038</vt:lpwstr>
      </vt:variant>
      <vt:variant>
        <vt:i4>1114175</vt:i4>
      </vt:variant>
      <vt:variant>
        <vt:i4>185</vt:i4>
      </vt:variant>
      <vt:variant>
        <vt:i4>0</vt:i4>
      </vt:variant>
      <vt:variant>
        <vt:i4>5</vt:i4>
      </vt:variant>
      <vt:variant>
        <vt:lpwstr/>
      </vt:variant>
      <vt:variant>
        <vt:lpwstr>_Toc439325037</vt:lpwstr>
      </vt:variant>
      <vt:variant>
        <vt:i4>1114175</vt:i4>
      </vt:variant>
      <vt:variant>
        <vt:i4>179</vt:i4>
      </vt:variant>
      <vt:variant>
        <vt:i4>0</vt:i4>
      </vt:variant>
      <vt:variant>
        <vt:i4>5</vt:i4>
      </vt:variant>
      <vt:variant>
        <vt:lpwstr/>
      </vt:variant>
      <vt:variant>
        <vt:lpwstr>_Toc439325036</vt:lpwstr>
      </vt:variant>
      <vt:variant>
        <vt:i4>1114175</vt:i4>
      </vt:variant>
      <vt:variant>
        <vt:i4>173</vt:i4>
      </vt:variant>
      <vt:variant>
        <vt:i4>0</vt:i4>
      </vt:variant>
      <vt:variant>
        <vt:i4>5</vt:i4>
      </vt:variant>
      <vt:variant>
        <vt:lpwstr/>
      </vt:variant>
      <vt:variant>
        <vt:lpwstr>_Toc439325035</vt:lpwstr>
      </vt:variant>
      <vt:variant>
        <vt:i4>1114175</vt:i4>
      </vt:variant>
      <vt:variant>
        <vt:i4>167</vt:i4>
      </vt:variant>
      <vt:variant>
        <vt:i4>0</vt:i4>
      </vt:variant>
      <vt:variant>
        <vt:i4>5</vt:i4>
      </vt:variant>
      <vt:variant>
        <vt:lpwstr/>
      </vt:variant>
      <vt:variant>
        <vt:lpwstr>_Toc439325034</vt:lpwstr>
      </vt:variant>
      <vt:variant>
        <vt:i4>1114175</vt:i4>
      </vt:variant>
      <vt:variant>
        <vt:i4>161</vt:i4>
      </vt:variant>
      <vt:variant>
        <vt:i4>0</vt:i4>
      </vt:variant>
      <vt:variant>
        <vt:i4>5</vt:i4>
      </vt:variant>
      <vt:variant>
        <vt:lpwstr/>
      </vt:variant>
      <vt:variant>
        <vt:lpwstr>_Toc439325033</vt:lpwstr>
      </vt:variant>
      <vt:variant>
        <vt:i4>1114175</vt:i4>
      </vt:variant>
      <vt:variant>
        <vt:i4>155</vt:i4>
      </vt:variant>
      <vt:variant>
        <vt:i4>0</vt:i4>
      </vt:variant>
      <vt:variant>
        <vt:i4>5</vt:i4>
      </vt:variant>
      <vt:variant>
        <vt:lpwstr/>
      </vt:variant>
      <vt:variant>
        <vt:lpwstr>_Toc439325032</vt:lpwstr>
      </vt:variant>
      <vt:variant>
        <vt:i4>1114175</vt:i4>
      </vt:variant>
      <vt:variant>
        <vt:i4>149</vt:i4>
      </vt:variant>
      <vt:variant>
        <vt:i4>0</vt:i4>
      </vt:variant>
      <vt:variant>
        <vt:i4>5</vt:i4>
      </vt:variant>
      <vt:variant>
        <vt:lpwstr/>
      </vt:variant>
      <vt:variant>
        <vt:lpwstr>_Toc439325031</vt:lpwstr>
      </vt:variant>
      <vt:variant>
        <vt:i4>1114175</vt:i4>
      </vt:variant>
      <vt:variant>
        <vt:i4>143</vt:i4>
      </vt:variant>
      <vt:variant>
        <vt:i4>0</vt:i4>
      </vt:variant>
      <vt:variant>
        <vt:i4>5</vt:i4>
      </vt:variant>
      <vt:variant>
        <vt:lpwstr/>
      </vt:variant>
      <vt:variant>
        <vt:lpwstr>_Toc439325030</vt:lpwstr>
      </vt:variant>
      <vt:variant>
        <vt:i4>1048639</vt:i4>
      </vt:variant>
      <vt:variant>
        <vt:i4>137</vt:i4>
      </vt:variant>
      <vt:variant>
        <vt:i4>0</vt:i4>
      </vt:variant>
      <vt:variant>
        <vt:i4>5</vt:i4>
      </vt:variant>
      <vt:variant>
        <vt:lpwstr/>
      </vt:variant>
      <vt:variant>
        <vt:lpwstr>_Toc439325029</vt:lpwstr>
      </vt:variant>
      <vt:variant>
        <vt:i4>1048639</vt:i4>
      </vt:variant>
      <vt:variant>
        <vt:i4>131</vt:i4>
      </vt:variant>
      <vt:variant>
        <vt:i4>0</vt:i4>
      </vt:variant>
      <vt:variant>
        <vt:i4>5</vt:i4>
      </vt:variant>
      <vt:variant>
        <vt:lpwstr/>
      </vt:variant>
      <vt:variant>
        <vt:lpwstr>_Toc439325028</vt:lpwstr>
      </vt:variant>
      <vt:variant>
        <vt:i4>1048639</vt:i4>
      </vt:variant>
      <vt:variant>
        <vt:i4>125</vt:i4>
      </vt:variant>
      <vt:variant>
        <vt:i4>0</vt:i4>
      </vt:variant>
      <vt:variant>
        <vt:i4>5</vt:i4>
      </vt:variant>
      <vt:variant>
        <vt:lpwstr/>
      </vt:variant>
      <vt:variant>
        <vt:lpwstr>_Toc439325027</vt:lpwstr>
      </vt:variant>
      <vt:variant>
        <vt:i4>1048639</vt:i4>
      </vt:variant>
      <vt:variant>
        <vt:i4>119</vt:i4>
      </vt:variant>
      <vt:variant>
        <vt:i4>0</vt:i4>
      </vt:variant>
      <vt:variant>
        <vt:i4>5</vt:i4>
      </vt:variant>
      <vt:variant>
        <vt:lpwstr/>
      </vt:variant>
      <vt:variant>
        <vt:lpwstr>_Toc439325026</vt:lpwstr>
      </vt:variant>
      <vt:variant>
        <vt:i4>1048639</vt:i4>
      </vt:variant>
      <vt:variant>
        <vt:i4>113</vt:i4>
      </vt:variant>
      <vt:variant>
        <vt:i4>0</vt:i4>
      </vt:variant>
      <vt:variant>
        <vt:i4>5</vt:i4>
      </vt:variant>
      <vt:variant>
        <vt:lpwstr/>
      </vt:variant>
      <vt:variant>
        <vt:lpwstr>_Toc439325025</vt:lpwstr>
      </vt:variant>
      <vt:variant>
        <vt:i4>1048639</vt:i4>
      </vt:variant>
      <vt:variant>
        <vt:i4>107</vt:i4>
      </vt:variant>
      <vt:variant>
        <vt:i4>0</vt:i4>
      </vt:variant>
      <vt:variant>
        <vt:i4>5</vt:i4>
      </vt:variant>
      <vt:variant>
        <vt:lpwstr/>
      </vt:variant>
      <vt:variant>
        <vt:lpwstr>_Toc439325024</vt:lpwstr>
      </vt:variant>
      <vt:variant>
        <vt:i4>1048639</vt:i4>
      </vt:variant>
      <vt:variant>
        <vt:i4>101</vt:i4>
      </vt:variant>
      <vt:variant>
        <vt:i4>0</vt:i4>
      </vt:variant>
      <vt:variant>
        <vt:i4>5</vt:i4>
      </vt:variant>
      <vt:variant>
        <vt:lpwstr/>
      </vt:variant>
      <vt:variant>
        <vt:lpwstr>_Toc439325023</vt:lpwstr>
      </vt:variant>
      <vt:variant>
        <vt:i4>1048639</vt:i4>
      </vt:variant>
      <vt:variant>
        <vt:i4>95</vt:i4>
      </vt:variant>
      <vt:variant>
        <vt:i4>0</vt:i4>
      </vt:variant>
      <vt:variant>
        <vt:i4>5</vt:i4>
      </vt:variant>
      <vt:variant>
        <vt:lpwstr/>
      </vt:variant>
      <vt:variant>
        <vt:lpwstr>_Toc439325022</vt:lpwstr>
      </vt:variant>
      <vt:variant>
        <vt:i4>1048639</vt:i4>
      </vt:variant>
      <vt:variant>
        <vt:i4>89</vt:i4>
      </vt:variant>
      <vt:variant>
        <vt:i4>0</vt:i4>
      </vt:variant>
      <vt:variant>
        <vt:i4>5</vt:i4>
      </vt:variant>
      <vt:variant>
        <vt:lpwstr/>
      </vt:variant>
      <vt:variant>
        <vt:lpwstr>_Toc439325021</vt:lpwstr>
      </vt:variant>
      <vt:variant>
        <vt:i4>1048639</vt:i4>
      </vt:variant>
      <vt:variant>
        <vt:i4>83</vt:i4>
      </vt:variant>
      <vt:variant>
        <vt:i4>0</vt:i4>
      </vt:variant>
      <vt:variant>
        <vt:i4>5</vt:i4>
      </vt:variant>
      <vt:variant>
        <vt:lpwstr/>
      </vt:variant>
      <vt:variant>
        <vt:lpwstr>_Toc439325020</vt:lpwstr>
      </vt:variant>
      <vt:variant>
        <vt:i4>1245247</vt:i4>
      </vt:variant>
      <vt:variant>
        <vt:i4>77</vt:i4>
      </vt:variant>
      <vt:variant>
        <vt:i4>0</vt:i4>
      </vt:variant>
      <vt:variant>
        <vt:i4>5</vt:i4>
      </vt:variant>
      <vt:variant>
        <vt:lpwstr/>
      </vt:variant>
      <vt:variant>
        <vt:lpwstr>_Toc439325019</vt:lpwstr>
      </vt:variant>
      <vt:variant>
        <vt:i4>1245247</vt:i4>
      </vt:variant>
      <vt:variant>
        <vt:i4>71</vt:i4>
      </vt:variant>
      <vt:variant>
        <vt:i4>0</vt:i4>
      </vt:variant>
      <vt:variant>
        <vt:i4>5</vt:i4>
      </vt:variant>
      <vt:variant>
        <vt:lpwstr/>
      </vt:variant>
      <vt:variant>
        <vt:lpwstr>_Toc439325018</vt:lpwstr>
      </vt:variant>
      <vt:variant>
        <vt:i4>1245247</vt:i4>
      </vt:variant>
      <vt:variant>
        <vt:i4>65</vt:i4>
      </vt:variant>
      <vt:variant>
        <vt:i4>0</vt:i4>
      </vt:variant>
      <vt:variant>
        <vt:i4>5</vt:i4>
      </vt:variant>
      <vt:variant>
        <vt:lpwstr/>
      </vt:variant>
      <vt:variant>
        <vt:lpwstr>_Toc439325017</vt:lpwstr>
      </vt:variant>
      <vt:variant>
        <vt:i4>1245247</vt:i4>
      </vt:variant>
      <vt:variant>
        <vt:i4>59</vt:i4>
      </vt:variant>
      <vt:variant>
        <vt:i4>0</vt:i4>
      </vt:variant>
      <vt:variant>
        <vt:i4>5</vt:i4>
      </vt:variant>
      <vt:variant>
        <vt:lpwstr/>
      </vt:variant>
      <vt:variant>
        <vt:lpwstr>_Toc439325016</vt:lpwstr>
      </vt:variant>
      <vt:variant>
        <vt:i4>1245247</vt:i4>
      </vt:variant>
      <vt:variant>
        <vt:i4>53</vt:i4>
      </vt:variant>
      <vt:variant>
        <vt:i4>0</vt:i4>
      </vt:variant>
      <vt:variant>
        <vt:i4>5</vt:i4>
      </vt:variant>
      <vt:variant>
        <vt:lpwstr/>
      </vt:variant>
      <vt:variant>
        <vt:lpwstr>_Toc439325015</vt:lpwstr>
      </vt:variant>
      <vt:variant>
        <vt:i4>1245247</vt:i4>
      </vt:variant>
      <vt:variant>
        <vt:i4>47</vt:i4>
      </vt:variant>
      <vt:variant>
        <vt:i4>0</vt:i4>
      </vt:variant>
      <vt:variant>
        <vt:i4>5</vt:i4>
      </vt:variant>
      <vt:variant>
        <vt:lpwstr/>
      </vt:variant>
      <vt:variant>
        <vt:lpwstr>_Toc439325014</vt:lpwstr>
      </vt:variant>
      <vt:variant>
        <vt:i4>1245247</vt:i4>
      </vt:variant>
      <vt:variant>
        <vt:i4>41</vt:i4>
      </vt:variant>
      <vt:variant>
        <vt:i4>0</vt:i4>
      </vt:variant>
      <vt:variant>
        <vt:i4>5</vt:i4>
      </vt:variant>
      <vt:variant>
        <vt:lpwstr/>
      </vt:variant>
      <vt:variant>
        <vt:lpwstr>_Toc439325013</vt:lpwstr>
      </vt:variant>
      <vt:variant>
        <vt:i4>1245247</vt:i4>
      </vt:variant>
      <vt:variant>
        <vt:i4>35</vt:i4>
      </vt:variant>
      <vt:variant>
        <vt:i4>0</vt:i4>
      </vt:variant>
      <vt:variant>
        <vt:i4>5</vt:i4>
      </vt:variant>
      <vt:variant>
        <vt:lpwstr/>
      </vt:variant>
      <vt:variant>
        <vt:lpwstr>_Toc439325012</vt:lpwstr>
      </vt:variant>
      <vt:variant>
        <vt:i4>1245247</vt:i4>
      </vt:variant>
      <vt:variant>
        <vt:i4>29</vt:i4>
      </vt:variant>
      <vt:variant>
        <vt:i4>0</vt:i4>
      </vt:variant>
      <vt:variant>
        <vt:i4>5</vt:i4>
      </vt:variant>
      <vt:variant>
        <vt:lpwstr/>
      </vt:variant>
      <vt:variant>
        <vt:lpwstr>_Toc439325011</vt:lpwstr>
      </vt:variant>
      <vt:variant>
        <vt:i4>1245247</vt:i4>
      </vt:variant>
      <vt:variant>
        <vt:i4>23</vt:i4>
      </vt:variant>
      <vt:variant>
        <vt:i4>0</vt:i4>
      </vt:variant>
      <vt:variant>
        <vt:i4>5</vt:i4>
      </vt:variant>
      <vt:variant>
        <vt:lpwstr/>
      </vt:variant>
      <vt:variant>
        <vt:lpwstr>_Toc439325010</vt:lpwstr>
      </vt:variant>
      <vt:variant>
        <vt:i4>1179711</vt:i4>
      </vt:variant>
      <vt:variant>
        <vt:i4>17</vt:i4>
      </vt:variant>
      <vt:variant>
        <vt:i4>0</vt:i4>
      </vt:variant>
      <vt:variant>
        <vt:i4>5</vt:i4>
      </vt:variant>
      <vt:variant>
        <vt:lpwstr/>
      </vt:variant>
      <vt:variant>
        <vt:lpwstr>_Toc439325009</vt:lpwstr>
      </vt:variant>
      <vt:variant>
        <vt:i4>1179711</vt:i4>
      </vt:variant>
      <vt:variant>
        <vt:i4>11</vt:i4>
      </vt:variant>
      <vt:variant>
        <vt:i4>0</vt:i4>
      </vt:variant>
      <vt:variant>
        <vt:i4>5</vt:i4>
      </vt:variant>
      <vt:variant>
        <vt:lpwstr/>
      </vt:variant>
      <vt:variant>
        <vt:lpwstr>_Toc439325008</vt:lpwstr>
      </vt:variant>
      <vt:variant>
        <vt:i4>1179711</vt:i4>
      </vt:variant>
      <vt:variant>
        <vt:i4>5</vt:i4>
      </vt:variant>
      <vt:variant>
        <vt:i4>0</vt:i4>
      </vt:variant>
      <vt:variant>
        <vt:i4>5</vt:i4>
      </vt:variant>
      <vt:variant>
        <vt:lpwstr/>
      </vt:variant>
      <vt:variant>
        <vt:lpwstr>_Toc439325007</vt:lpwstr>
      </vt:variant>
      <vt:variant>
        <vt:i4>3145824</vt:i4>
      </vt:variant>
      <vt:variant>
        <vt:i4>0</vt:i4>
      </vt:variant>
      <vt:variant>
        <vt:i4>0</vt:i4>
      </vt:variant>
      <vt:variant>
        <vt:i4>5</vt:i4>
      </vt:variant>
      <vt:variant>
        <vt:lpwstr>http:/www.meteofrance.fr/climat-passe-et-futur/bilans-climatiques/bilan-2014/bilan-climatique-provisoire-de-l-annee-2014%23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DELMARES Fabien</dc:creator>
  <cp:lastModifiedBy>DELMARES Fabien</cp:lastModifiedBy>
  <cp:revision>3</cp:revision>
  <cp:lastPrinted>2021-10-18T15:03:00Z</cp:lastPrinted>
  <dcterms:created xsi:type="dcterms:W3CDTF">2022-02-25T15:11:00Z</dcterms:created>
  <dcterms:modified xsi:type="dcterms:W3CDTF">2022-02-25T15:12:00Z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0x010100D89C3BD8C92647428E7E73A324E67C6C</vt:lpwstr>
  </property>
  <property fmtid="{D5CDD505-2E9C-101B-9397-08002B2CF9AE}" pid="4" name="_AdHocReviewCycleID">
    <vt:i4>804597512</vt:i4>
  </property>
  <property fmtid="{D5CDD505-2E9C-101B-9397-08002B2CF9AE}" pid="5" name="_EmailSubject">
    <vt:lpwstr>DPEF 22 à intégrer dans la vitrine</vt:lpwstr>
  </property>
  <property fmtid="{D5CDD505-2E9C-101B-9397-08002B2CF9AE}" pid="6" name="_AuthorEmail">
    <vt:lpwstr>fabien.delmares@ca-nmp.fr</vt:lpwstr>
  </property>
  <property fmtid="{D5CDD505-2E9C-101B-9397-08002B2CF9AE}" pid="7" name="_AuthorEmailDisplayName">
    <vt:lpwstr>DELMARES Fabien</vt:lpwstr>
  </property>
</Properties>
</file>