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D8B" w:rsidRPr="002B5D14" w:rsidRDefault="00FD1DDD">
      <w:pPr>
        <w:pStyle w:val="Corpsdetexte"/>
        <w:ind w:left="550"/>
        <w:rPr>
          <w:b/>
        </w:rPr>
      </w:pPr>
      <w:bookmarkStart w:id="0" w:name="_GoBack"/>
      <w:bookmarkEnd w:id="0"/>
      <w:r>
        <w:t xml:space="preserve">                                                                                                                                                                    </w:t>
      </w:r>
      <w:r w:rsidR="002B5D14">
        <w:tab/>
      </w:r>
      <w:r w:rsidR="002B5D14">
        <w:tab/>
        <w:t xml:space="preserve">        </w:t>
      </w:r>
      <w:r w:rsidR="002B5D14" w:rsidRPr="002B5D14">
        <w:rPr>
          <w:b/>
        </w:rPr>
        <w:t>Mars 2022</w:t>
      </w:r>
    </w:p>
    <w:p w:rsidR="00BA2D8B" w:rsidRDefault="00BA2D8B">
      <w:pPr>
        <w:pStyle w:val="Corpsdetexte"/>
        <w:rPr>
          <w:sz w:val="11"/>
        </w:rPr>
      </w:pPr>
    </w:p>
    <w:p w:rsidR="00DE32A6" w:rsidRDefault="007839E0">
      <w:pPr>
        <w:pStyle w:val="Corpsdetexte"/>
        <w:spacing w:before="91"/>
        <w:ind w:left="668" w:right="678"/>
        <w:rPr>
          <w:color w:val="404040"/>
        </w:rPr>
      </w:pPr>
      <w:r>
        <w:rPr>
          <w:noProof/>
          <w:color w:val="404040"/>
          <w:lang w:eastAsia="fr-FR"/>
        </w:rPr>
        <mc:AlternateContent>
          <mc:Choice Requires="wps">
            <w:drawing>
              <wp:anchor distT="0" distB="0" distL="114300" distR="114300" simplePos="0" relativeHeight="251683840" behindDoc="0" locked="0" layoutInCell="1" allowOverlap="1">
                <wp:simplePos x="0" y="0"/>
                <wp:positionH relativeFrom="column">
                  <wp:posOffset>589280</wp:posOffset>
                </wp:positionH>
                <wp:positionV relativeFrom="paragraph">
                  <wp:posOffset>139700</wp:posOffset>
                </wp:positionV>
                <wp:extent cx="6701155" cy="600710"/>
                <wp:effectExtent l="0" t="0" r="0" b="0"/>
                <wp:wrapNone/>
                <wp:docPr id="6"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01155" cy="600710"/>
                        </a:xfrm>
                        <a:prstGeom prst="roundRect">
                          <a:avLst>
                            <a:gd name="adj" fmla="val 16667"/>
                          </a:avLst>
                        </a:prstGeom>
                        <a:solidFill>
                          <a:srgbClr val="FFFFFF"/>
                        </a:solidFill>
                        <a:ln w="9525">
                          <a:solidFill>
                            <a:srgbClr val="000000"/>
                          </a:solidFill>
                          <a:round/>
                          <a:headEnd/>
                          <a:tailEnd/>
                        </a:ln>
                      </wps:spPr>
                      <wps:txbx>
                        <w:txbxContent>
                          <w:p w:rsidR="007864A3" w:rsidRPr="007864A3" w:rsidRDefault="007864A3" w:rsidP="007864A3">
                            <w:pPr>
                              <w:jc w:val="center"/>
                              <w:rPr>
                                <w:rFonts w:ascii="Arial" w:hAnsi="Arial" w:cs="Arial"/>
                                <w:b/>
                                <w:sz w:val="24"/>
                              </w:rPr>
                            </w:pPr>
                            <w:r w:rsidRPr="007864A3">
                              <w:rPr>
                                <w:rFonts w:ascii="Arial" w:hAnsi="Arial" w:cs="Arial"/>
                                <w:b/>
                                <w:sz w:val="24"/>
                              </w:rPr>
                              <w:t>PUBLICATION ANNUELLE SUR LA QUALITE D’EXECUTION OBTENUE AU TITRE DU SERVICE DE RECEPTION ET TRANSMISSION D’ORDRES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 o:spid="_x0000_s1026" style="position:absolute;left:0;text-align:left;margin-left:46.4pt;margin-top:11pt;width:527.65pt;height:47.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">
                <v:textbox>
                  <w:txbxContent>
                    <w:p w:rsidR="007864A3" w:rsidRPr="007864A3" w:rsidRDefault="007864A3" w:rsidP="007864A3">
                      <w:pPr>
                        <w:jc w:val="center"/>
                        <w:rPr>
                          <w:rFonts w:ascii="Arial" w:hAnsi="Arial" w:cs="Arial"/>
                          <w:b/>
                          <w:sz w:val="24"/>
                        </w:rPr>
                      </w:pPr>
                      <w:r w:rsidRPr="007864A3">
                        <w:rPr>
                          <w:rFonts w:ascii="Arial" w:hAnsi="Arial" w:cs="Arial"/>
                          <w:b/>
                          <w:sz w:val="24"/>
                        </w:rPr>
                        <w:t>PUBLICATION ANNUELLE SUR LA QUALITE D’EXECUTION OBTENUE AU TITRE DU SERVICE DE RECEPTION ET TRANSMISSION D’ORDRES</w:t>
                      </w:r>
                    </w:p>
                  </w:txbxContent>
                </v:textbox>
              </v:roundrect>
            </w:pict>
          </mc:Fallback>
        </mc:AlternateContent>
      </w:r>
    </w:p>
    <w:p w:rsidR="007864A3" w:rsidRDefault="007864A3">
      <w:pPr>
        <w:pStyle w:val="Corpsdetexte"/>
        <w:spacing w:before="91"/>
        <w:ind w:left="668" w:right="678"/>
        <w:rPr>
          <w:color w:val="404040"/>
        </w:rPr>
      </w:pPr>
    </w:p>
    <w:p w:rsidR="007864A3" w:rsidRDefault="007864A3">
      <w:pPr>
        <w:pStyle w:val="Corpsdetexte"/>
        <w:spacing w:before="91"/>
        <w:ind w:left="668" w:right="678"/>
        <w:rPr>
          <w:color w:val="404040"/>
        </w:rPr>
      </w:pPr>
    </w:p>
    <w:p w:rsidR="007864A3" w:rsidRDefault="007864A3">
      <w:pPr>
        <w:pStyle w:val="Corpsdetexte"/>
        <w:spacing w:before="91"/>
        <w:ind w:left="668" w:right="678"/>
        <w:rPr>
          <w:color w:val="404040"/>
        </w:rPr>
      </w:pPr>
    </w:p>
    <w:p w:rsidR="007864A3" w:rsidRDefault="007839E0">
      <w:pPr>
        <w:pStyle w:val="Corpsdetexte"/>
        <w:spacing w:before="91"/>
        <w:ind w:left="668" w:right="678"/>
        <w:rPr>
          <w:color w:val="404040"/>
        </w:rPr>
      </w:pPr>
      <w:r>
        <w:rPr>
          <w:noProof/>
          <w:lang w:eastAsia="fr-FR"/>
        </w:rPr>
        <mc:AlternateContent>
          <mc:Choice Requires="wps">
            <w:drawing>
              <wp:inline distT="0" distB="0" distL="0" distR="0">
                <wp:extent cx="6894830" cy="1092835"/>
                <wp:effectExtent l="11430" t="9525" r="8890" b="12065"/>
                <wp:docPr id="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0" cy="109283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864A3" w:rsidRPr="007864A3" w:rsidRDefault="007864A3" w:rsidP="007864A3">
                            <w:pPr>
                              <w:pStyle w:val="Corpsdetexte"/>
                              <w:spacing w:before="15"/>
                              <w:ind w:left="108" w:right="334"/>
                              <w:rPr>
                                <w:rFonts w:ascii="Arial" w:hAnsi="Arial" w:cs="Arial"/>
                              </w:rPr>
                            </w:pPr>
                            <w:r w:rsidRPr="007864A3">
                              <w:rPr>
                                <w:rFonts w:ascii="Arial" w:hAnsi="Arial" w:cs="Arial"/>
                              </w:rPr>
                              <w:t>En applicatio</w:t>
                            </w:r>
                            <w:r w:rsidRPr="00FC6196">
                              <w:rPr>
                                <w:rFonts w:ascii="Arial" w:hAnsi="Arial" w:cs="Arial"/>
                              </w:rPr>
                              <w:t xml:space="preserve">n de la directive 2014/65/UE relative aux marchés d’instruments financiers dite « Directive MIF 2 », la Caisse régionale de Crédit Agricole Mutuel </w:t>
                            </w:r>
                            <w:r w:rsidR="00DD7162">
                              <w:rPr>
                                <w:rFonts w:ascii="Arial" w:hAnsi="Arial" w:cs="Arial"/>
                              </w:rPr>
                              <w:t>Toulouse 31</w:t>
                            </w:r>
                            <w:r w:rsidRPr="00FC6196">
                              <w:rPr>
                                <w:rFonts w:ascii="Arial" w:hAnsi="Arial" w:cs="Arial"/>
                              </w:rPr>
                              <w:t xml:space="preserve"> établit et publie annuellement, pour chaque catégorie d'instruments financiers, le classement des principaux intermédiaires auxquels sont transmis les ordres émanant de ses clients pour exécution au cours de l’année précédente ainsi que les informations concernant la qualité d’exécution obtenue. Ces informations sont communiquées dans le cadre du service de réception transmission d’ordres fourni aux clients « non professionnels » et « professionnels » de la Caisse régionale de Crédit Agricole Mutuel </w:t>
                            </w:r>
                            <w:r w:rsidR="00DD7162">
                              <w:rPr>
                                <w:rFonts w:ascii="Arial" w:hAnsi="Arial" w:cs="Arial"/>
                              </w:rPr>
                              <w:t>Toulouse 31</w:t>
                            </w:r>
                            <w:r w:rsidRPr="00FC6196">
                              <w:rPr>
                                <w:rFonts w:ascii="Arial" w:hAnsi="Arial" w:cs="Arial"/>
                              </w:rPr>
                              <w:t>.</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6" o:spid="_x0000_s1027" type="#_x0000_t202" style="width:542.9pt;height:8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" filled="f" strokeweight=".48pt">
                <v:textbox inset="0,0,0,0">
                  <w:txbxContent>
                    <w:p w:rsidR="007864A3" w:rsidRPr="007864A3" w:rsidRDefault="007864A3" w:rsidP="007864A3">
                      <w:pPr>
                        <w:pStyle w:val="Corpsdetexte"/>
                        <w:spacing w:before="15"/>
                        <w:ind w:left="108" w:right="334"/>
                        <w:rPr>
                          <w:rFonts w:ascii="Arial" w:hAnsi="Arial" w:cs="Arial"/>
                        </w:rPr>
                      </w:pPr>
                      <w:r w:rsidRPr="007864A3">
                        <w:rPr>
                          <w:rFonts w:ascii="Arial" w:hAnsi="Arial" w:cs="Arial"/>
                        </w:rPr>
                        <w:t>En applicatio</w:t>
                      </w:r>
                      <w:r w:rsidRPr="00FC6196">
                        <w:rPr>
                          <w:rFonts w:ascii="Arial" w:hAnsi="Arial" w:cs="Arial"/>
                        </w:rPr>
                        <w:t xml:space="preserve">n de la directive 2014/65/UE relative aux marchés d’instruments financiers dite « Directive MIF 2 », la Caisse régionale de Crédit Agricole Mutuel </w:t>
                      </w:r>
                      <w:r w:rsidR="00DD7162">
                        <w:rPr>
                          <w:rFonts w:ascii="Arial" w:hAnsi="Arial" w:cs="Arial"/>
                        </w:rPr>
                        <w:t>Toulouse 31</w:t>
                      </w:r>
                      <w:r w:rsidRPr="00FC6196">
                        <w:rPr>
                          <w:rFonts w:ascii="Arial" w:hAnsi="Arial" w:cs="Arial"/>
                        </w:rPr>
                        <w:t xml:space="preserve"> établit et publie annuellement, pour chaque catégorie d'instruments financiers, le classement des principaux intermédiaires auxquels sont transmis les ordres émanant de ses clients pour exécution au cours de l’année précédente ainsi que les informations concernant la qualité d’exécution obtenue. Ces informations sont communiquées dans le cadre du service de réception transmission d’ordres fourni aux clients « non professionnels » et « professionnels » de la Caisse régionale de Crédit Agricole Mutuel </w:t>
                      </w:r>
                      <w:r w:rsidR="00DD7162">
                        <w:rPr>
                          <w:rFonts w:ascii="Arial" w:hAnsi="Arial" w:cs="Arial"/>
                        </w:rPr>
                        <w:t>Toulouse 31</w:t>
                      </w:r>
                      <w:r w:rsidRPr="00FC6196">
                        <w:rPr>
                          <w:rFonts w:ascii="Arial" w:hAnsi="Arial" w:cs="Arial"/>
                        </w:rPr>
                        <w:t>.</w:t>
                      </w:r>
                    </w:p>
                  </w:txbxContent>
                </v:textbox>
                <w10:anchorlock/>
              </v:shape>
            </w:pict>
          </mc:Fallback>
        </mc:AlternateContent>
      </w:r>
    </w:p>
    <w:p w:rsidR="00DE32A6" w:rsidRPr="007864A3" w:rsidRDefault="00DE32A6" w:rsidP="00DE32A6">
      <w:pPr>
        <w:pStyle w:val="Corpsdetexte"/>
        <w:numPr>
          <w:ilvl w:val="0"/>
          <w:numId w:val="1"/>
        </w:numPr>
        <w:spacing w:before="91"/>
        <w:ind w:right="678"/>
        <w:rPr>
          <w:rFonts w:ascii="Arial" w:hAnsi="Arial" w:cs="Arial"/>
          <w:b/>
          <w:sz w:val="24"/>
        </w:rPr>
      </w:pPr>
      <w:r w:rsidRPr="007864A3">
        <w:rPr>
          <w:rFonts w:ascii="Arial" w:hAnsi="Arial" w:cs="Arial"/>
          <w:b/>
          <w:sz w:val="24"/>
        </w:rPr>
        <w:t>Information sur les intermédiaires retenus</w:t>
      </w:r>
    </w:p>
    <w:p w:rsidR="00DE32A6" w:rsidRDefault="00DD7162" w:rsidP="00DE32A6">
      <w:pPr>
        <w:pStyle w:val="Corpsdetexte"/>
        <w:spacing w:before="91"/>
        <w:ind w:right="678"/>
        <w:rPr>
          <w:b/>
          <w:sz w:val="24"/>
        </w:rPr>
      </w:pPr>
      <w:r w:rsidRPr="00DD7162">
        <w:rPr>
          <w:noProof/>
          <w:lang w:eastAsia="fr-FR"/>
        </w:rPr>
        <w:drawing>
          <wp:inline distT="0" distB="0" distL="0" distR="0">
            <wp:extent cx="7473950" cy="6578214"/>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73950" cy="6578214"/>
                    </a:xfrm>
                    <a:prstGeom prst="rect">
                      <a:avLst/>
                    </a:prstGeom>
                    <a:noFill/>
                    <a:ln>
                      <a:noFill/>
                    </a:ln>
                  </pic:spPr>
                </pic:pic>
              </a:graphicData>
            </a:graphic>
          </wp:inline>
        </w:drawing>
      </w:r>
    </w:p>
    <w:p w:rsidR="00DE32A6" w:rsidRDefault="00DE32A6" w:rsidP="00DE32A6">
      <w:pPr>
        <w:pStyle w:val="Corpsdetexte"/>
        <w:spacing w:before="91"/>
        <w:ind w:right="678"/>
        <w:rPr>
          <w:b/>
          <w:sz w:val="24"/>
        </w:rPr>
      </w:pPr>
    </w:p>
    <w:p w:rsidR="00DE32A6" w:rsidRDefault="00DD7162" w:rsidP="00DE32A6">
      <w:pPr>
        <w:pStyle w:val="Corpsdetexte"/>
        <w:spacing w:before="91"/>
        <w:ind w:right="678"/>
        <w:rPr>
          <w:b/>
          <w:sz w:val="24"/>
        </w:rPr>
      </w:pPr>
      <w:r w:rsidRPr="00DD7162">
        <w:rPr>
          <w:noProof/>
          <w:lang w:eastAsia="fr-FR"/>
        </w:rPr>
        <w:lastRenderedPageBreak/>
        <w:drawing>
          <wp:inline distT="0" distB="0" distL="0" distR="0">
            <wp:extent cx="7473950" cy="6124248"/>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73950" cy="6124248"/>
                    </a:xfrm>
                    <a:prstGeom prst="rect">
                      <a:avLst/>
                    </a:prstGeom>
                    <a:noFill/>
                    <a:ln>
                      <a:noFill/>
                    </a:ln>
                  </pic:spPr>
                </pic:pic>
              </a:graphicData>
            </a:graphic>
          </wp:inline>
        </w:drawing>
      </w:r>
    </w:p>
    <w:p w:rsidR="00DE32A6" w:rsidRPr="00FC6196" w:rsidRDefault="00DE32A6" w:rsidP="00DE32A6">
      <w:pPr>
        <w:pStyle w:val="Corpsdetexte"/>
        <w:spacing w:before="91"/>
        <w:ind w:right="678"/>
        <w:rPr>
          <w:b/>
          <w:sz w:val="2"/>
        </w:rPr>
      </w:pPr>
    </w:p>
    <w:p w:rsidR="00DE32A6" w:rsidRDefault="00DD7162" w:rsidP="00DE32A6">
      <w:pPr>
        <w:pStyle w:val="Corpsdetexte"/>
        <w:spacing w:before="91"/>
        <w:ind w:right="678"/>
        <w:rPr>
          <w:b/>
          <w:sz w:val="24"/>
        </w:rPr>
      </w:pPr>
      <w:r w:rsidRPr="00DD7162">
        <w:rPr>
          <w:noProof/>
          <w:lang w:eastAsia="fr-FR"/>
        </w:rPr>
        <w:drawing>
          <wp:inline distT="0" distB="0" distL="0" distR="0">
            <wp:extent cx="7473950" cy="2098632"/>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73950" cy="2098632"/>
                    </a:xfrm>
                    <a:prstGeom prst="rect">
                      <a:avLst/>
                    </a:prstGeom>
                    <a:noFill/>
                    <a:ln>
                      <a:noFill/>
                    </a:ln>
                  </pic:spPr>
                </pic:pic>
              </a:graphicData>
            </a:graphic>
          </wp:inline>
        </w:drawing>
      </w:r>
    </w:p>
    <w:p w:rsidR="00FB32C0" w:rsidRPr="002B5D14" w:rsidRDefault="00FB32C0" w:rsidP="00CD187F">
      <w:pPr>
        <w:pStyle w:val="Corpsdetexte"/>
        <w:spacing w:before="91"/>
        <w:ind w:left="1388" w:right="678"/>
        <w:rPr>
          <w:rFonts w:ascii="Arial" w:hAnsi="Arial" w:cs="Arial"/>
          <w:b/>
          <w:sz w:val="14"/>
          <w:szCs w:val="14"/>
        </w:rPr>
      </w:pPr>
      <w:r w:rsidRPr="002B5D14">
        <w:rPr>
          <w:rFonts w:ascii="Arial" w:hAnsi="Arial" w:cs="Arial"/>
          <w:b/>
          <w:sz w:val="14"/>
          <w:szCs w:val="14"/>
        </w:rPr>
        <w:t>Définition des différents types d’ordres :</w:t>
      </w:r>
    </w:p>
    <w:p w:rsidR="00FB32C0" w:rsidRPr="002B5D14" w:rsidRDefault="00FB32C0" w:rsidP="007864A3">
      <w:pPr>
        <w:pStyle w:val="Corpsdetexte"/>
        <w:numPr>
          <w:ilvl w:val="0"/>
          <w:numId w:val="2"/>
        </w:numPr>
        <w:spacing w:before="91"/>
        <w:ind w:right="678"/>
        <w:rPr>
          <w:rFonts w:ascii="Arial" w:hAnsi="Arial" w:cs="Arial"/>
          <w:sz w:val="14"/>
          <w:szCs w:val="14"/>
        </w:rPr>
      </w:pPr>
      <w:r w:rsidRPr="002B5D14">
        <w:rPr>
          <w:rFonts w:ascii="Arial" w:hAnsi="Arial" w:cs="Arial"/>
          <w:b/>
          <w:sz w:val="14"/>
          <w:szCs w:val="14"/>
        </w:rPr>
        <w:t xml:space="preserve">Ordre passif : </w:t>
      </w:r>
      <w:r w:rsidRPr="002B5D14">
        <w:rPr>
          <w:rFonts w:ascii="Arial" w:hAnsi="Arial" w:cs="Arial"/>
          <w:sz w:val="14"/>
          <w:szCs w:val="14"/>
        </w:rPr>
        <w:t>ordre, inscrit dans le carnet d’ordres, qui a apporté de la liquidité.</w:t>
      </w:r>
    </w:p>
    <w:p w:rsidR="00FB32C0" w:rsidRPr="002B5D14" w:rsidRDefault="00FB32C0" w:rsidP="007864A3">
      <w:pPr>
        <w:pStyle w:val="Corpsdetexte"/>
        <w:spacing w:before="91"/>
        <w:ind w:left="2108" w:right="678"/>
        <w:rPr>
          <w:rFonts w:ascii="Arial" w:hAnsi="Arial" w:cs="Arial"/>
          <w:sz w:val="14"/>
          <w:szCs w:val="14"/>
        </w:rPr>
      </w:pPr>
      <w:r w:rsidRPr="002B5D14">
        <w:rPr>
          <w:rFonts w:ascii="Arial" w:hAnsi="Arial" w:cs="Arial"/>
          <w:sz w:val="14"/>
          <w:szCs w:val="14"/>
        </w:rPr>
        <w:t>Exemple : ordre « à cours limité » attendant une éventuelle exécution.</w:t>
      </w:r>
    </w:p>
    <w:p w:rsidR="00856333" w:rsidRPr="002B5D14" w:rsidRDefault="00FB32C0" w:rsidP="007864A3">
      <w:pPr>
        <w:pStyle w:val="Corpsdetexte"/>
        <w:numPr>
          <w:ilvl w:val="0"/>
          <w:numId w:val="2"/>
        </w:numPr>
        <w:spacing w:before="91"/>
        <w:ind w:right="678"/>
        <w:rPr>
          <w:rFonts w:ascii="Arial" w:hAnsi="Arial" w:cs="Arial"/>
          <w:sz w:val="14"/>
          <w:szCs w:val="14"/>
        </w:rPr>
      </w:pPr>
      <w:r w:rsidRPr="002B5D14">
        <w:rPr>
          <w:rFonts w:ascii="Arial" w:hAnsi="Arial" w:cs="Arial"/>
          <w:b/>
          <w:sz w:val="14"/>
          <w:szCs w:val="14"/>
        </w:rPr>
        <w:t>Ordre agressif :</w:t>
      </w:r>
      <w:r w:rsidRPr="002B5D14">
        <w:rPr>
          <w:rFonts w:ascii="Arial" w:hAnsi="Arial" w:cs="Arial"/>
          <w:sz w:val="14"/>
          <w:szCs w:val="14"/>
        </w:rPr>
        <w:t xml:space="preserve"> ordre, inscrit dans le carnet d’ordres, qui a absorbé de la liquidité.</w:t>
      </w:r>
    </w:p>
    <w:p w:rsidR="00FB32C0" w:rsidRPr="002B5D14" w:rsidRDefault="00FB32C0" w:rsidP="007864A3">
      <w:pPr>
        <w:pStyle w:val="Corpsdetexte"/>
        <w:spacing w:before="91"/>
        <w:ind w:left="2108" w:right="678"/>
        <w:rPr>
          <w:rFonts w:ascii="Arial" w:hAnsi="Arial" w:cs="Arial"/>
          <w:sz w:val="14"/>
          <w:szCs w:val="14"/>
        </w:rPr>
      </w:pPr>
      <w:r w:rsidRPr="002B5D14">
        <w:rPr>
          <w:rFonts w:ascii="Arial" w:hAnsi="Arial" w:cs="Arial"/>
          <w:sz w:val="14"/>
          <w:szCs w:val="14"/>
        </w:rPr>
        <w:t>Exemple : ordre « au cours du marché » s’exécutant sans condition de limite de cours.</w:t>
      </w:r>
    </w:p>
    <w:p w:rsidR="00CD187F" w:rsidRPr="002B5D14" w:rsidRDefault="00FB32C0" w:rsidP="007864A3">
      <w:pPr>
        <w:pStyle w:val="Corpsdetexte"/>
        <w:numPr>
          <w:ilvl w:val="0"/>
          <w:numId w:val="2"/>
        </w:numPr>
        <w:spacing w:before="91"/>
        <w:ind w:right="678"/>
        <w:rPr>
          <w:rFonts w:ascii="Arial" w:hAnsi="Arial" w:cs="Arial"/>
          <w:b/>
          <w:sz w:val="14"/>
          <w:szCs w:val="14"/>
        </w:rPr>
      </w:pPr>
      <w:r w:rsidRPr="002B5D14">
        <w:rPr>
          <w:rFonts w:ascii="Arial" w:hAnsi="Arial" w:cs="Arial"/>
          <w:b/>
          <w:sz w:val="14"/>
          <w:szCs w:val="14"/>
        </w:rPr>
        <w:t>Ordre dirigé :</w:t>
      </w:r>
      <w:r w:rsidRPr="002B5D14">
        <w:rPr>
          <w:rFonts w:ascii="Arial" w:hAnsi="Arial" w:cs="Arial"/>
          <w:sz w:val="14"/>
          <w:szCs w:val="14"/>
        </w:rPr>
        <w:t xml:space="preserve"> ordre pour lequel le client a spécifié par avance la plateforme d’exécution.</w:t>
      </w:r>
    </w:p>
    <w:p w:rsidR="00856333" w:rsidRDefault="00856333" w:rsidP="00CD187F">
      <w:pPr>
        <w:pStyle w:val="Corpsdetexte"/>
        <w:spacing w:before="91"/>
        <w:ind w:left="1388" w:right="678"/>
        <w:rPr>
          <w:b/>
          <w:sz w:val="24"/>
        </w:rPr>
      </w:pPr>
    </w:p>
    <w:p w:rsidR="00DE32A6" w:rsidRDefault="00DE32A6" w:rsidP="00DE32A6">
      <w:pPr>
        <w:pStyle w:val="Corpsdetexte"/>
        <w:numPr>
          <w:ilvl w:val="0"/>
          <w:numId w:val="1"/>
        </w:numPr>
        <w:spacing w:before="91"/>
        <w:ind w:right="678"/>
        <w:rPr>
          <w:rFonts w:ascii="Arial" w:hAnsi="Arial" w:cs="Arial"/>
          <w:b/>
          <w:sz w:val="24"/>
        </w:rPr>
      </w:pPr>
      <w:r w:rsidRPr="007864A3">
        <w:rPr>
          <w:rFonts w:ascii="Arial" w:hAnsi="Arial" w:cs="Arial"/>
          <w:b/>
          <w:sz w:val="24"/>
        </w:rPr>
        <w:t>Information sur la qualité d’exécution obtenue</w:t>
      </w:r>
    </w:p>
    <w:p w:rsidR="00DE32A6" w:rsidRDefault="007839E0" w:rsidP="00454F20">
      <w:pPr>
        <w:pStyle w:val="Corpsdetexte"/>
        <w:spacing w:before="91"/>
        <w:ind w:right="678"/>
        <w:rPr>
          <w:color w:val="404040"/>
        </w:rPr>
      </w:pPr>
      <w:r>
        <w:rPr>
          <w:rFonts w:ascii="Arial Narrow"/>
          <w:b/>
          <w:i/>
          <w:noProof/>
          <w:sz w:val="17"/>
          <w:lang w:eastAsia="fr-FR"/>
        </w:rPr>
        <mc:AlternateContent>
          <mc:Choice Requires="wps">
            <w:drawing>
              <wp:anchor distT="0" distB="0" distL="114300" distR="114300" simplePos="0" relativeHeight="251672576" behindDoc="0" locked="0" layoutInCell="1" allowOverlap="1">
                <wp:simplePos x="0" y="0"/>
                <wp:positionH relativeFrom="column">
                  <wp:posOffset>-54610</wp:posOffset>
                </wp:positionH>
                <wp:positionV relativeFrom="paragraph">
                  <wp:posOffset>137795</wp:posOffset>
                </wp:positionV>
                <wp:extent cx="7919720" cy="23749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19720" cy="23749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 xml:space="preserve">Critères d’évaluation de la qualité d’exécution </w:t>
                            </w:r>
                          </w:p>
                        </w:txbxContent>
                      </wps:txbx>
                      <wps:bodyPr wrap="square" lIns="36000" rIns="36000">
                        <a:spAutoFit/>
                      </wps:bodyPr>
                    </wps:wsp>
                  </a:graphicData>
                </a:graphic>
                <wp14:sizeRelH relativeFrom="page">
                  <wp14:pctWidth>0</wp14:pctWidth>
                </wp14:sizeRelH>
                <wp14:sizeRelV relativeFrom="page">
                  <wp14:pctHeight>0</wp14:pctHeight>
                </wp14:sizeRelV>
              </wp:anchor>
            </w:drawing>
          </mc:Choice>
          <mc:Fallback>
            <w:pict>
              <v:rect id="Rectangle 6" o:spid="_x0000_s1028" style="position:absolute;margin-left:-4.3pt;margin-top:10.85pt;width:623.6pt;height:18.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" fillcolor="#76923c [2406]" stroked="f">
                <v:path arrowok="t"/>
                <v:textbox style="mso-fit-shape-to-text:t" inset="1mm,,1mm">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 xml:space="preserve">Critères d’évaluation de la qualité d’exécution </w:t>
                      </w:r>
                    </w:p>
                  </w:txbxContent>
                </v:textbox>
              </v:rect>
            </w:pict>
          </mc:Fallback>
        </mc:AlternateContent>
      </w:r>
    </w:p>
    <w:p w:rsidR="00DE32A6" w:rsidRDefault="00DE32A6">
      <w:pPr>
        <w:pStyle w:val="Corpsdetexte"/>
        <w:spacing w:before="91"/>
        <w:ind w:left="668" w:right="678"/>
        <w:rPr>
          <w:color w:val="404040"/>
        </w:rPr>
      </w:pPr>
    </w:p>
    <w:p w:rsidR="00BA2D8B" w:rsidRPr="007864A3" w:rsidRDefault="00261CBA" w:rsidP="0050197A">
      <w:pPr>
        <w:pStyle w:val="Corpsdetexte"/>
        <w:spacing w:before="91"/>
        <w:ind w:left="668" w:right="678"/>
        <w:jc w:val="both"/>
        <w:rPr>
          <w:rFonts w:ascii="Arial" w:hAnsi="Arial" w:cs="Arial"/>
        </w:rPr>
      </w:pPr>
      <w:r w:rsidRPr="007864A3">
        <w:rPr>
          <w:rFonts w:ascii="Arial" w:hAnsi="Arial" w:cs="Arial"/>
          <w:color w:val="404040"/>
        </w:rPr>
        <w:t xml:space="preserve">L’importance relative accordée au prix, aux coûts, à la rapidité et à la probabilité de l’exécution est précisée par la </w:t>
      </w:r>
      <w:hyperlink r:id="rId11" w:history="1">
        <w:r w:rsidRPr="0050197A">
          <w:rPr>
            <w:rStyle w:val="Lienhypertexte"/>
            <w:rFonts w:ascii="Arial" w:hAnsi="Arial" w:cs="Arial"/>
          </w:rPr>
          <w:t xml:space="preserve">politique de </w:t>
        </w:r>
        <w:r w:rsidR="00EE771B" w:rsidRPr="0050197A">
          <w:rPr>
            <w:rStyle w:val="Lienhypertexte"/>
            <w:rFonts w:ascii="Arial" w:hAnsi="Arial" w:cs="Arial"/>
          </w:rPr>
          <w:t xml:space="preserve">meilleure sélection </w:t>
        </w:r>
        <w:r w:rsidR="00EE771B" w:rsidRPr="0050197A">
          <w:rPr>
            <w:rStyle w:val="Lienhypertexte"/>
            <w:rFonts w:ascii="Arial" w:hAnsi="Arial" w:cs="Arial"/>
            <w:u w:color="0000FF"/>
          </w:rPr>
          <w:t>202</w:t>
        </w:r>
        <w:r w:rsidR="00DD3C45" w:rsidRPr="0050197A">
          <w:rPr>
            <w:rStyle w:val="Lienhypertexte"/>
            <w:rFonts w:ascii="Arial" w:hAnsi="Arial" w:cs="Arial"/>
            <w:u w:color="0000FF"/>
          </w:rPr>
          <w:t>1</w:t>
        </w:r>
      </w:hyperlink>
    </w:p>
    <w:p w:rsidR="00BA2D8B" w:rsidRPr="007864A3" w:rsidRDefault="00261CBA" w:rsidP="0050197A">
      <w:pPr>
        <w:pStyle w:val="Corpsdetexte"/>
        <w:spacing w:before="119"/>
        <w:ind w:left="668" w:right="678"/>
        <w:jc w:val="both"/>
        <w:rPr>
          <w:rFonts w:ascii="Arial" w:hAnsi="Arial" w:cs="Arial"/>
        </w:rPr>
      </w:pPr>
      <w:r w:rsidRPr="007864A3">
        <w:rPr>
          <w:rFonts w:ascii="Arial" w:hAnsi="Arial" w:cs="Arial"/>
          <w:color w:val="404040"/>
        </w:rPr>
        <w:t xml:space="preserve">La Caisse régionale agissant en tant que transmetteur d’ordres a </w:t>
      </w:r>
      <w:r w:rsidR="0050197A">
        <w:rPr>
          <w:rFonts w:ascii="Arial" w:hAnsi="Arial" w:cs="Arial"/>
          <w:color w:val="404040"/>
        </w:rPr>
        <w:t>sé</w:t>
      </w:r>
      <w:r w:rsidR="0050197A" w:rsidRPr="007864A3">
        <w:rPr>
          <w:rFonts w:ascii="Arial" w:hAnsi="Arial" w:cs="Arial"/>
          <w:color w:val="404040"/>
        </w:rPr>
        <w:t>lectionné</w:t>
      </w:r>
      <w:r w:rsidRPr="007864A3">
        <w:rPr>
          <w:rFonts w:ascii="Arial" w:hAnsi="Arial" w:cs="Arial"/>
          <w:color w:val="404040"/>
        </w:rPr>
        <w:t xml:space="preserve"> un intermédiaire pour la qualité </w:t>
      </w:r>
      <w:r w:rsidR="002B5D14">
        <w:rPr>
          <w:rFonts w:ascii="Arial" w:hAnsi="Arial" w:cs="Arial"/>
          <w:color w:val="404040"/>
        </w:rPr>
        <w:t xml:space="preserve">de son service d’exécution : </w:t>
      </w:r>
      <w:proofErr w:type="gramStart"/>
      <w:r w:rsidR="002B5D14">
        <w:rPr>
          <w:rFonts w:ascii="Arial" w:hAnsi="Arial" w:cs="Arial"/>
          <w:color w:val="404040"/>
        </w:rPr>
        <w:t>CA Titres</w:t>
      </w:r>
      <w:proofErr w:type="gramEnd"/>
      <w:r w:rsidRPr="007864A3">
        <w:rPr>
          <w:rFonts w:ascii="Arial" w:hAnsi="Arial" w:cs="Arial"/>
          <w:color w:val="404040"/>
        </w:rPr>
        <w:t xml:space="preserve"> pour les ordres sur valeurs mobilières, et Cr</w:t>
      </w:r>
      <w:r w:rsidR="00DD3C45">
        <w:rPr>
          <w:rFonts w:ascii="Arial" w:hAnsi="Arial" w:cs="Arial"/>
          <w:color w:val="404040"/>
        </w:rPr>
        <w:t>é</w:t>
      </w:r>
      <w:r w:rsidRPr="007864A3">
        <w:rPr>
          <w:rFonts w:ascii="Arial" w:hAnsi="Arial" w:cs="Arial"/>
          <w:color w:val="404040"/>
        </w:rPr>
        <w:t xml:space="preserve">dit Agricole </w:t>
      </w:r>
      <w:proofErr w:type="spellStart"/>
      <w:r w:rsidRPr="007864A3">
        <w:rPr>
          <w:rFonts w:ascii="Arial" w:hAnsi="Arial" w:cs="Arial"/>
          <w:color w:val="404040"/>
        </w:rPr>
        <w:t>Corporate</w:t>
      </w:r>
      <w:proofErr w:type="spellEnd"/>
      <w:r w:rsidRPr="007864A3">
        <w:rPr>
          <w:rFonts w:ascii="Arial" w:hAnsi="Arial" w:cs="Arial"/>
          <w:color w:val="404040"/>
        </w:rPr>
        <w:t xml:space="preserve"> and Investment Bank (CACIB), pour les opérations de marché.</w:t>
      </w:r>
    </w:p>
    <w:p w:rsidR="00BA2D8B" w:rsidRPr="007864A3" w:rsidRDefault="00BA2D8B" w:rsidP="0050197A">
      <w:pPr>
        <w:pStyle w:val="Corpsdetexte"/>
        <w:spacing w:before="1"/>
        <w:jc w:val="both"/>
        <w:rPr>
          <w:rFonts w:ascii="Arial" w:hAnsi="Arial" w:cs="Arial"/>
        </w:rPr>
      </w:pPr>
    </w:p>
    <w:p w:rsidR="00BA2D8B" w:rsidRPr="007864A3" w:rsidRDefault="00261CBA" w:rsidP="0050197A">
      <w:pPr>
        <w:pStyle w:val="Corpsdetexte"/>
        <w:spacing w:before="1"/>
        <w:ind w:left="668" w:right="459"/>
        <w:jc w:val="both"/>
        <w:rPr>
          <w:rFonts w:ascii="Arial" w:hAnsi="Arial" w:cs="Arial"/>
          <w:color w:val="404040"/>
        </w:rPr>
      </w:pPr>
      <w:r w:rsidRPr="007864A3">
        <w:rPr>
          <w:rFonts w:ascii="Arial" w:hAnsi="Arial" w:cs="Arial"/>
          <w:color w:val="404040"/>
        </w:rPr>
        <w:t>La politique d’exécution de ces deux intermédiaires fait l’objet d’une évaluation régulière par la Caisse régionale sur les critères suivants : accès aux différentes plateformes d’exécution, qualité d’exécution (fiabilité, rapidité d’exécution, soin et suivi des ordres) et coût.</w:t>
      </w:r>
    </w:p>
    <w:p w:rsidR="00DE32A6" w:rsidRDefault="00DE32A6">
      <w:pPr>
        <w:pStyle w:val="Corpsdetexte"/>
        <w:spacing w:before="1"/>
        <w:ind w:left="668" w:right="459"/>
        <w:jc w:val="both"/>
      </w:pPr>
    </w:p>
    <w:p w:rsidR="00BA2D8B" w:rsidRDefault="007839E0">
      <w:pPr>
        <w:pStyle w:val="Corpsdetexte"/>
        <w:spacing w:before="10"/>
        <w:rPr>
          <w:sz w:val="17"/>
        </w:rPr>
      </w:pPr>
      <w:r>
        <w:rPr>
          <w:noProof/>
          <w:sz w:val="17"/>
          <w:lang w:eastAsia="fr-FR"/>
        </w:rPr>
        <mc:AlternateContent>
          <mc:Choice Requires="wps">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7919720" cy="237490"/>
                <wp:effectExtent l="0" t="0" r="0" b="0"/>
                <wp:wrapNone/>
                <wp:docPr id="1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19720" cy="23749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 xml:space="preserve">Liens, participation, conflits d'intérêts avec les plateformes utilisées pour l’exécution des ordres </w:t>
                            </w:r>
                          </w:p>
                        </w:txbxContent>
                      </wps:txbx>
                      <wps:bodyPr wrap="square" lIns="36000" rIns="36000">
                        <a:spAutoFit/>
                      </wps:bodyPr>
                    </wps:wsp>
                  </a:graphicData>
                </a:graphic>
                <wp14:sizeRelH relativeFrom="page">
                  <wp14:pctWidth>0</wp14:pctWidth>
                </wp14:sizeRelH>
                <wp14:sizeRelV relativeFrom="page">
                  <wp14:pctHeight>0</wp14:pctHeight>
                </wp14:sizeRelV>
              </wp:anchor>
            </w:drawing>
          </mc:Choice>
          <mc:Fallback>
            <w:pict>
              <v:rect id="Rectangle 9" o:spid="_x0000_s1029" style="position:absolute;margin-left:0;margin-top:0;width:623.6pt;height:18.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" fillcolor="#76923c [2406]" stroked="f">
                <v:path arrowok="t"/>
                <v:textbox style="mso-fit-shape-to-text:t" inset="1mm,,1mm">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 xml:space="preserve">Liens, participation, conflits d'intérêts avec les plateformes utilisées pour l’exécution des ordres </w:t>
                      </w:r>
                    </w:p>
                  </w:txbxContent>
                </v:textbox>
              </v:rect>
            </w:pict>
          </mc:Fallback>
        </mc:AlternateContent>
      </w:r>
    </w:p>
    <w:p w:rsidR="00BA2D8B" w:rsidRDefault="00BA2D8B">
      <w:pPr>
        <w:pStyle w:val="Corpsdetexte"/>
        <w:spacing w:before="1"/>
        <w:rPr>
          <w:b/>
          <w:i/>
          <w:sz w:val="21"/>
        </w:rPr>
      </w:pPr>
    </w:p>
    <w:p w:rsidR="00BA2D8B" w:rsidRPr="007864A3" w:rsidRDefault="00261CBA" w:rsidP="0050197A">
      <w:pPr>
        <w:spacing w:before="91"/>
        <w:ind w:left="668"/>
        <w:jc w:val="both"/>
        <w:rPr>
          <w:rFonts w:ascii="Arial" w:hAnsi="Arial" w:cs="Arial"/>
          <w:b/>
          <w:sz w:val="20"/>
          <w:szCs w:val="20"/>
        </w:rPr>
      </w:pPr>
      <w:r w:rsidRPr="007864A3">
        <w:rPr>
          <w:rFonts w:ascii="Arial" w:hAnsi="Arial" w:cs="Arial"/>
          <w:b/>
          <w:color w:val="404040"/>
          <w:sz w:val="20"/>
          <w:szCs w:val="20"/>
        </w:rPr>
        <w:t>Valeurs mobilières :</w:t>
      </w:r>
    </w:p>
    <w:p w:rsidR="00BA2D8B" w:rsidRPr="007864A3" w:rsidRDefault="00261CBA" w:rsidP="0050197A">
      <w:pPr>
        <w:pStyle w:val="Corpsdetexte"/>
        <w:spacing w:before="116" w:line="227" w:lineRule="exact"/>
        <w:ind w:left="668"/>
        <w:jc w:val="both"/>
        <w:rPr>
          <w:rFonts w:ascii="Arial" w:hAnsi="Arial" w:cs="Arial"/>
        </w:rPr>
      </w:pPr>
      <w:r w:rsidRPr="007864A3">
        <w:rPr>
          <w:rFonts w:ascii="Arial" w:hAnsi="Arial" w:cs="Arial"/>
          <w:color w:val="404040"/>
        </w:rPr>
        <w:t>Il n’existe aucun lien, aucune participation significative ou conflit d’intérêt entre la Caisse régionale et les plateformes d’exécution</w:t>
      </w:r>
      <w:r w:rsidR="007864A3">
        <w:rPr>
          <w:rFonts w:ascii="Arial" w:hAnsi="Arial" w:cs="Arial"/>
          <w:color w:val="404040"/>
        </w:rPr>
        <w:t xml:space="preserve"> </w:t>
      </w:r>
      <w:r w:rsidR="00DE32A6" w:rsidRPr="007864A3">
        <w:rPr>
          <w:rFonts w:ascii="Arial" w:hAnsi="Arial" w:cs="Arial"/>
          <w:color w:val="404040"/>
          <w:position w:val="7"/>
          <w:sz w:val="13"/>
        </w:rPr>
        <w:t>(1)</w:t>
      </w:r>
      <w:r w:rsidRPr="007864A3">
        <w:rPr>
          <w:rFonts w:ascii="Arial" w:hAnsi="Arial" w:cs="Arial"/>
          <w:color w:val="404040"/>
          <w:position w:val="7"/>
        </w:rPr>
        <w:t xml:space="preserve"> </w:t>
      </w:r>
      <w:r w:rsidRPr="007864A3">
        <w:rPr>
          <w:rFonts w:ascii="Arial" w:hAnsi="Arial" w:cs="Arial"/>
          <w:color w:val="404040"/>
        </w:rPr>
        <w:t>utilisées par CA Titres.</w:t>
      </w:r>
    </w:p>
    <w:p w:rsidR="00BA2D8B" w:rsidRPr="007864A3" w:rsidRDefault="00261CBA" w:rsidP="0050197A">
      <w:pPr>
        <w:pStyle w:val="Titre2"/>
        <w:spacing w:before="125"/>
        <w:ind w:left="717"/>
        <w:jc w:val="both"/>
        <w:rPr>
          <w:rFonts w:ascii="Arial" w:hAnsi="Arial" w:cs="Arial"/>
        </w:rPr>
      </w:pPr>
      <w:r w:rsidRPr="007864A3">
        <w:rPr>
          <w:rFonts w:ascii="Arial" w:hAnsi="Arial" w:cs="Arial"/>
          <w:color w:val="404040"/>
        </w:rPr>
        <w:t>Opérations de marché</w:t>
      </w:r>
    </w:p>
    <w:p w:rsidR="00BA2D8B" w:rsidRPr="007864A3" w:rsidRDefault="00261CBA" w:rsidP="0050197A">
      <w:pPr>
        <w:pStyle w:val="Corpsdetexte"/>
        <w:spacing w:before="116"/>
        <w:ind w:left="668" w:right="712"/>
        <w:jc w:val="both"/>
        <w:rPr>
          <w:rFonts w:ascii="Arial" w:hAnsi="Arial" w:cs="Arial"/>
          <w:color w:val="404040"/>
        </w:rPr>
      </w:pPr>
      <w:r w:rsidRPr="007864A3">
        <w:rPr>
          <w:rFonts w:ascii="Arial" w:hAnsi="Arial" w:cs="Arial"/>
          <w:color w:val="404040"/>
        </w:rPr>
        <w:t>Les ordres sont transmis à Cr</w:t>
      </w:r>
      <w:r w:rsidR="00DD3C45">
        <w:rPr>
          <w:rFonts w:ascii="Arial" w:hAnsi="Arial" w:cs="Arial"/>
          <w:color w:val="404040"/>
        </w:rPr>
        <w:t>é</w:t>
      </w:r>
      <w:r w:rsidRPr="007864A3">
        <w:rPr>
          <w:rFonts w:ascii="Arial" w:hAnsi="Arial" w:cs="Arial"/>
          <w:color w:val="404040"/>
        </w:rPr>
        <w:t xml:space="preserve">dit Agricole </w:t>
      </w:r>
      <w:proofErr w:type="spellStart"/>
      <w:r w:rsidRPr="007864A3">
        <w:rPr>
          <w:rFonts w:ascii="Arial" w:hAnsi="Arial" w:cs="Arial"/>
          <w:color w:val="404040"/>
        </w:rPr>
        <w:t>Corporate</w:t>
      </w:r>
      <w:proofErr w:type="spellEnd"/>
      <w:r w:rsidRPr="007864A3">
        <w:rPr>
          <w:rFonts w:ascii="Arial" w:hAnsi="Arial" w:cs="Arial"/>
          <w:color w:val="404040"/>
        </w:rPr>
        <w:t xml:space="preserve"> and Investment Bank (CACIB), société détenue à 100% par Crédit Agricole SA.</w:t>
      </w:r>
    </w:p>
    <w:p w:rsidR="00DE32A6" w:rsidRPr="00454F20" w:rsidRDefault="00DE32A6" w:rsidP="0050197A">
      <w:pPr>
        <w:pStyle w:val="Corpsdetexte"/>
        <w:spacing w:before="116"/>
        <w:ind w:left="668" w:right="712"/>
        <w:jc w:val="both"/>
        <w:rPr>
          <w:color w:val="404040"/>
          <w:sz w:val="12"/>
        </w:rPr>
      </w:pPr>
    </w:p>
    <w:p w:rsidR="00DE32A6" w:rsidRDefault="007839E0" w:rsidP="0050197A">
      <w:pPr>
        <w:pStyle w:val="Corpsdetexte"/>
        <w:spacing w:before="116"/>
        <w:ind w:left="668" w:right="712"/>
        <w:jc w:val="both"/>
      </w:pPr>
      <w:r>
        <w:rPr>
          <w:noProof/>
          <w:lang w:eastAsia="fr-FR"/>
        </w:rPr>
        <mc:AlternateContent>
          <mc:Choice Requires="wps">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7919720" cy="237490"/>
                <wp:effectExtent l="0" t="0" r="0" b="0"/>
                <wp:wrapNone/>
                <wp:docPr id="1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19720" cy="23749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Accords avec les plateformes d’exécution des ordres concernant des paiements, rabais, remises ou avantages</w:t>
                            </w:r>
                          </w:p>
                        </w:txbxContent>
                      </wps:txbx>
                      <wps:bodyPr wrap="square" lIns="36000">
                        <a:spAutoFit/>
                      </wps:bodyPr>
                    </wps:wsp>
                  </a:graphicData>
                </a:graphic>
                <wp14:sizeRelH relativeFrom="page">
                  <wp14:pctWidth>0</wp14:pctWidth>
                </wp14:sizeRelH>
                <wp14:sizeRelV relativeFrom="page">
                  <wp14:pctHeight>0</wp14:pctHeight>
                </wp14:sizeRelV>
              </wp:anchor>
            </w:drawing>
          </mc:Choice>
          <mc:Fallback>
            <w:pict>
              <v:rect id="Rectangle 11" o:spid="_x0000_s1030" style="position:absolute;left:0;text-align:left;margin-left:0;margin-top:0;width:623.6pt;height:18.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" fillcolor="#76923c [2406]" stroked="f">
                <v:path arrowok="t"/>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Accords avec les plateformes d’exécution des ordres concernant des paiements, rabais, remises ou avantages</w:t>
                      </w:r>
                    </w:p>
                  </w:txbxContent>
                </v:textbox>
              </v:rect>
            </w:pict>
          </mc:Fallback>
        </mc:AlternateContent>
      </w:r>
    </w:p>
    <w:p w:rsidR="00BA2D8B" w:rsidRPr="007864A3" w:rsidRDefault="00261CBA">
      <w:pPr>
        <w:spacing w:before="91"/>
        <w:ind w:left="668"/>
        <w:rPr>
          <w:rFonts w:ascii="Arial" w:hAnsi="Arial" w:cs="Arial"/>
          <w:b/>
          <w:sz w:val="20"/>
        </w:rPr>
      </w:pPr>
      <w:r w:rsidRPr="007864A3">
        <w:rPr>
          <w:rFonts w:ascii="Arial" w:hAnsi="Arial" w:cs="Arial"/>
          <w:b/>
          <w:color w:val="404040"/>
          <w:sz w:val="20"/>
        </w:rPr>
        <w:t>Valeurs mobilières :</w:t>
      </w:r>
    </w:p>
    <w:p w:rsidR="00BA2D8B" w:rsidRPr="007864A3" w:rsidRDefault="00261CBA">
      <w:pPr>
        <w:pStyle w:val="Corpsdetexte"/>
        <w:spacing w:before="111"/>
        <w:ind w:left="668"/>
        <w:rPr>
          <w:rFonts w:ascii="Arial" w:hAnsi="Arial" w:cs="Arial"/>
        </w:rPr>
      </w:pPr>
      <w:r w:rsidRPr="007864A3">
        <w:rPr>
          <w:rFonts w:ascii="Arial" w:hAnsi="Arial" w:cs="Arial"/>
          <w:color w:val="404040"/>
        </w:rPr>
        <w:t xml:space="preserve">Il n’existe aucun accord de ce type entre la Caisse régionale et les plateformes d’exécution </w:t>
      </w:r>
      <w:r w:rsidRPr="007864A3">
        <w:rPr>
          <w:rFonts w:ascii="Arial" w:hAnsi="Arial" w:cs="Arial"/>
          <w:color w:val="404040"/>
          <w:position w:val="7"/>
          <w:sz w:val="13"/>
        </w:rPr>
        <w:t xml:space="preserve">(1) </w:t>
      </w:r>
      <w:r w:rsidRPr="007864A3">
        <w:rPr>
          <w:rFonts w:ascii="Arial" w:hAnsi="Arial" w:cs="Arial"/>
          <w:color w:val="404040"/>
        </w:rPr>
        <w:t>utilisées par CA Titres.</w:t>
      </w:r>
    </w:p>
    <w:p w:rsidR="00BA2D8B" w:rsidRPr="007864A3" w:rsidRDefault="00261CBA">
      <w:pPr>
        <w:pStyle w:val="Titre2"/>
        <w:spacing w:before="125"/>
        <w:rPr>
          <w:rFonts w:ascii="Arial" w:hAnsi="Arial" w:cs="Arial"/>
        </w:rPr>
      </w:pPr>
      <w:r w:rsidRPr="007864A3">
        <w:rPr>
          <w:rFonts w:ascii="Arial" w:hAnsi="Arial" w:cs="Arial"/>
          <w:color w:val="404040"/>
        </w:rPr>
        <w:t>Opérations de marché</w:t>
      </w:r>
    </w:p>
    <w:p w:rsidR="00BA2D8B" w:rsidRPr="007864A3" w:rsidRDefault="00261CBA">
      <w:pPr>
        <w:pStyle w:val="Corpsdetexte"/>
        <w:spacing w:before="111"/>
        <w:ind w:left="668"/>
        <w:rPr>
          <w:rFonts w:ascii="Arial" w:hAnsi="Arial" w:cs="Arial"/>
          <w:color w:val="404040"/>
        </w:rPr>
      </w:pPr>
      <w:r w:rsidRPr="007864A3">
        <w:rPr>
          <w:rFonts w:ascii="Arial" w:hAnsi="Arial" w:cs="Arial"/>
          <w:color w:val="404040"/>
        </w:rPr>
        <w:t xml:space="preserve">Il n’existe aucun accord de ce type entre la Caisse régionale et les plateformes d’exécution </w:t>
      </w:r>
      <w:r w:rsidRPr="007864A3">
        <w:rPr>
          <w:rFonts w:ascii="Arial" w:hAnsi="Arial" w:cs="Arial"/>
          <w:color w:val="404040"/>
          <w:position w:val="7"/>
          <w:sz w:val="13"/>
        </w:rPr>
        <w:t xml:space="preserve">(1) </w:t>
      </w:r>
      <w:r w:rsidRPr="007864A3">
        <w:rPr>
          <w:rFonts w:ascii="Arial" w:hAnsi="Arial" w:cs="Arial"/>
          <w:color w:val="404040"/>
        </w:rPr>
        <w:t>utilisées par CACIB.</w:t>
      </w:r>
    </w:p>
    <w:p w:rsidR="00DE32A6" w:rsidRPr="00454F20" w:rsidRDefault="00DE32A6">
      <w:pPr>
        <w:pStyle w:val="Corpsdetexte"/>
        <w:spacing w:before="111"/>
        <w:ind w:left="668"/>
        <w:rPr>
          <w:sz w:val="12"/>
        </w:rPr>
      </w:pPr>
    </w:p>
    <w:p w:rsidR="00DE32A6" w:rsidRPr="00DE32A6" w:rsidRDefault="007839E0" w:rsidP="00DE32A6">
      <w:pPr>
        <w:pStyle w:val="Corpsdetexte"/>
        <w:spacing w:before="5"/>
        <w:rPr>
          <w:sz w:val="15"/>
        </w:rPr>
      </w:pPr>
      <w:r>
        <w:rPr>
          <w:noProof/>
          <w:sz w:val="15"/>
          <w:lang w:eastAsia="fr-FR"/>
        </w:rPr>
        <mc:AlternateContent>
          <mc:Choice Requires="wps">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7919720" cy="237490"/>
                <wp:effectExtent l="0" t="0" r="0" b="0"/>
                <wp:wrapNone/>
                <wp:docPr id="1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19720" cy="23749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Facteurs ayant conduit à modifier la liste des plates-formes d'exécution mentionnée dans la politique d’exécution</w:t>
                            </w:r>
                          </w:p>
                        </w:txbxContent>
                      </wps:txbx>
                      <wps:bodyPr wrap="square" lIns="36000">
                        <a:spAutoFit/>
                      </wps:bodyPr>
                    </wps:wsp>
                  </a:graphicData>
                </a:graphic>
                <wp14:sizeRelH relativeFrom="page">
                  <wp14:pctWidth>0</wp14:pctWidth>
                </wp14:sizeRelH>
                <wp14:sizeRelV relativeFrom="page">
                  <wp14:pctHeight>0</wp14:pctHeight>
                </wp14:sizeRelV>
              </wp:anchor>
            </w:drawing>
          </mc:Choice>
          <mc:Fallback>
            <w:pict>
              <v:rect id="Rectangle 15" o:spid="_x0000_s1031" style="position:absolute;margin-left:0;margin-top:0;width:623.6pt;height:18.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" fillcolor="#76923c [2406]" stroked="f">
                <v:path arrowok="t"/>
                <v:textbox style="mso-fit-shape-to-text:t" inset="1mm">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Facteurs ayant conduit à modifier la liste des plates-formes d'exécution mentionnée dans la politique d’exécution</w:t>
                      </w:r>
                    </w:p>
                  </w:txbxContent>
                </v:textbox>
              </v:rect>
            </w:pict>
          </mc:Fallback>
        </mc:AlternateContent>
      </w:r>
    </w:p>
    <w:p w:rsidR="00BA2D8B" w:rsidRDefault="00BA2D8B">
      <w:pPr>
        <w:pStyle w:val="Corpsdetexte"/>
        <w:spacing w:before="7"/>
        <w:rPr>
          <w:color w:val="404040"/>
        </w:rPr>
      </w:pPr>
    </w:p>
    <w:p w:rsidR="008E75C7" w:rsidRP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Default="008E75C7">
      <w:pPr>
        <w:pStyle w:val="Corpsdetexte"/>
        <w:spacing w:before="7"/>
      </w:pPr>
    </w:p>
    <w:p w:rsidR="00DE32A6" w:rsidRDefault="007839E0">
      <w:pPr>
        <w:pStyle w:val="Corpsdetexte"/>
        <w:spacing w:before="7"/>
      </w:pPr>
      <w:r>
        <w:rPr>
          <w:noProof/>
          <w:lang w:eastAsia="fr-FR"/>
        </w:rPr>
        <mc:AlternateContent>
          <mc:Choice Requires="wps">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7919720" cy="237490"/>
                <wp:effectExtent l="0" t="0" r="0" b="0"/>
                <wp:wrapNone/>
                <wp:docPr id="1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19720" cy="23749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Incidence de la catégorie de client sur les modalités d’exécution des ordres</w:t>
                            </w:r>
                          </w:p>
                        </w:txbxContent>
                      </wps:txbx>
                      <wps:bodyPr wrap="square" lIns="36000">
                        <a:spAutoFit/>
                      </wps:bodyPr>
                    </wps:wsp>
                  </a:graphicData>
                </a:graphic>
                <wp14:sizeRelH relativeFrom="page">
                  <wp14:pctWidth>0</wp14:pctWidth>
                </wp14:sizeRelH>
                <wp14:sizeRelV relativeFrom="page">
                  <wp14:pctHeight>0</wp14:pctHeight>
                </wp14:sizeRelV>
              </wp:anchor>
            </w:drawing>
          </mc:Choice>
          <mc:Fallback>
            <w:pict>
              <v:rect id="Rectangle 17" o:spid="_x0000_s1032" style="position:absolute;margin-left:0;margin-top:0;width:623.6pt;height:18.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" fillcolor="#76923c [2406]" stroked="f">
                <v:path arrowok="t"/>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Incidence de la catégorie de client sur les modalités d’exécution des ordres</w:t>
                      </w:r>
                    </w:p>
                  </w:txbxContent>
                </v:textbox>
              </v:rect>
            </w:pict>
          </mc:Fallback>
        </mc:AlternateContent>
      </w:r>
    </w:p>
    <w:p w:rsidR="00DE32A6" w:rsidRDefault="00DE32A6">
      <w:pPr>
        <w:pStyle w:val="Corpsdetexte"/>
        <w:spacing w:before="8"/>
      </w:pPr>
    </w:p>
    <w:p w:rsidR="008E75C7" w:rsidRP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Default="008E75C7">
      <w:pPr>
        <w:pStyle w:val="Corpsdetexte"/>
        <w:spacing w:before="8"/>
        <w:rPr>
          <w:sz w:val="13"/>
        </w:rPr>
      </w:pPr>
    </w:p>
    <w:p w:rsidR="00DE32A6" w:rsidRDefault="007839E0">
      <w:pPr>
        <w:pStyle w:val="Corpsdetexte"/>
        <w:spacing w:before="8"/>
        <w:rPr>
          <w:sz w:val="13"/>
        </w:rPr>
      </w:pPr>
      <w:r>
        <w:rPr>
          <w:noProof/>
          <w:sz w:val="13"/>
          <w:lang w:eastAsia="fr-FR"/>
        </w:rPr>
        <mc:AlternateContent>
          <mc:Choice Requires="wps">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7830185" cy="383540"/>
                <wp:effectExtent l="0" t="0" r="0" b="0"/>
                <wp:wrapNone/>
                <wp:docPr id="2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30185" cy="38354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Autres critères privilégiés par rapport au prix et aux coûts immédiats lors de l’exécution des ordres de clients non professionnels</w:t>
                            </w:r>
                          </w:p>
                        </w:txbxContent>
                      </wps:txbx>
                      <wps:bodyPr wrap="square" lIns="36000">
                        <a:spAutoFit/>
                      </wps:bodyPr>
                    </wps:wsp>
                  </a:graphicData>
                </a:graphic>
                <wp14:sizeRelH relativeFrom="page">
                  <wp14:pctWidth>0</wp14:pctWidth>
                </wp14:sizeRelH>
                <wp14:sizeRelV relativeFrom="page">
                  <wp14:pctHeight>0</wp14:pctHeight>
                </wp14:sizeRelV>
              </wp:anchor>
            </w:drawing>
          </mc:Choice>
          <mc:Fallback>
            <w:pict>
              <v:rect id="Rectangle 19" o:spid="_x0000_s1033" style="position:absolute;margin-left:0;margin-top:0;width:616.55pt;height:30.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" fillcolor="#76923c [2406]" stroked="f">
                <v:path arrowok="t"/>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Autres critères privilégiés par rapport au prix et aux coûts immédiats lors de l’exécution des ordres de clients non professionnels</w:t>
                      </w:r>
                    </w:p>
                  </w:txbxContent>
                </v:textbox>
              </v:rect>
            </w:pict>
          </mc:Fallback>
        </mc:AlternateContent>
      </w:r>
    </w:p>
    <w:p w:rsidR="00BA2D8B" w:rsidRDefault="00BA2D8B">
      <w:pPr>
        <w:pStyle w:val="Corpsdetexte"/>
        <w:spacing w:before="8"/>
        <w:rPr>
          <w:sz w:val="13"/>
        </w:rPr>
      </w:pPr>
    </w:p>
    <w:p w:rsidR="008E75C7" w:rsidRDefault="008E75C7" w:rsidP="008E75C7">
      <w:pPr>
        <w:pStyle w:val="Corpsdetexte"/>
        <w:spacing w:before="91"/>
        <w:rPr>
          <w:color w:val="404040"/>
        </w:rPr>
      </w:pPr>
    </w:p>
    <w:p w:rsidR="008E75C7" w:rsidRPr="008E75C7" w:rsidRDefault="008E75C7" w:rsidP="008E75C7">
      <w:pPr>
        <w:pStyle w:val="Corpsdetexte"/>
        <w:spacing w:before="91"/>
        <w:ind w:left="668"/>
        <w:rPr>
          <w:rFonts w:ascii="Arial" w:hAnsi="Arial" w:cs="Arial"/>
          <w:color w:val="404040"/>
          <w:sz w:val="6"/>
        </w:rPr>
      </w:pPr>
    </w:p>
    <w:p w:rsidR="008E75C7" w:rsidRP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Pr="00454F20" w:rsidRDefault="008E75C7" w:rsidP="008E75C7">
      <w:pPr>
        <w:pStyle w:val="Corpsdetexte"/>
        <w:spacing w:before="91"/>
        <w:rPr>
          <w:rFonts w:ascii="Arial" w:hAnsi="Arial" w:cs="Arial"/>
          <w:color w:val="404040"/>
          <w:sz w:val="16"/>
        </w:rPr>
      </w:pPr>
    </w:p>
    <w:p w:rsidR="00DE32A6" w:rsidRDefault="007839E0" w:rsidP="00DE32A6">
      <w:pPr>
        <w:pStyle w:val="Corpsdetexte"/>
        <w:spacing w:before="178"/>
        <w:ind w:left="668"/>
        <w:rPr>
          <w:color w:val="404040"/>
        </w:rPr>
      </w:pPr>
      <w:r>
        <w:rPr>
          <w:noProof/>
          <w:color w:val="404040"/>
          <w:lang w:eastAsia="fr-FR"/>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7830185" cy="383540"/>
                <wp:effectExtent l="0" t="0" r="0" b="0"/>
                <wp:wrapNone/>
                <wp:docPr id="22"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30185" cy="38354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 xml:space="preserve">Utilisation des données ou des outils en rapport avec la qualité d'exécution, fournis par les plateformes d’exécution conformément au RD (UE) 2017/575 </w:t>
                            </w:r>
                          </w:p>
                        </w:txbxContent>
                      </wps:txbx>
                      <wps:bodyPr wrap="square" lIns="36000">
                        <a:spAutoFit/>
                      </wps:bodyPr>
                    </wps:wsp>
                  </a:graphicData>
                </a:graphic>
                <wp14:sizeRelH relativeFrom="page">
                  <wp14:pctWidth>0</wp14:pctWidth>
                </wp14:sizeRelH>
                <wp14:sizeRelV relativeFrom="page">
                  <wp14:pctHeight>0</wp14:pctHeight>
                </wp14:sizeRelV>
              </wp:anchor>
            </w:drawing>
          </mc:Choice>
          <mc:Fallback>
            <w:pict>
              <v:rect id="Rectangle 21" o:spid="_x0000_s1034" style="position:absolute;left:0;text-align:left;margin-left:0;margin-top:0;width:616.55pt;height:30.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" fillcolor="#76923c [2406]" stroked="f">
                <v:path arrowok="t"/>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 xml:space="preserve">Utilisation des données ou des outils en rapport avec la qualité d'exécution, fournis par les plateformes d’exécution conformément au RD (UE) 2017/575 </w:t>
                      </w:r>
                    </w:p>
                  </w:txbxContent>
                </v:textbox>
              </v:rect>
            </w:pict>
          </mc:Fallback>
        </mc:AlternateContent>
      </w:r>
    </w:p>
    <w:p w:rsidR="00DE32A6" w:rsidRDefault="00DE32A6" w:rsidP="00DE32A6">
      <w:pPr>
        <w:pStyle w:val="Corpsdetexte"/>
        <w:spacing w:before="178"/>
        <w:ind w:left="668"/>
        <w:rPr>
          <w:color w:val="404040"/>
        </w:rPr>
      </w:pPr>
    </w:p>
    <w:p w:rsid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Pr="00454F20" w:rsidRDefault="008E75C7" w:rsidP="008E75C7">
      <w:pPr>
        <w:pStyle w:val="Corpsdetexte"/>
        <w:spacing w:before="91"/>
        <w:ind w:left="668"/>
        <w:rPr>
          <w:rFonts w:ascii="Arial" w:hAnsi="Arial" w:cs="Arial"/>
          <w:color w:val="404040"/>
          <w:sz w:val="16"/>
        </w:rPr>
      </w:pPr>
    </w:p>
    <w:p w:rsidR="00BA2D8B" w:rsidRPr="00DE32A6" w:rsidRDefault="007839E0" w:rsidP="00DE32A6">
      <w:pPr>
        <w:pStyle w:val="Corpsdetexte"/>
        <w:spacing w:before="178"/>
        <w:ind w:left="668"/>
        <w:rPr>
          <w:color w:val="404040"/>
        </w:rPr>
      </w:pPr>
      <w:r>
        <w:rPr>
          <w:noProof/>
          <w:color w:val="404040"/>
          <w:lang w:eastAsia="fr-FR"/>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7830185" cy="237490"/>
                <wp:effectExtent l="0" t="0" r="0" b="0"/>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30185" cy="237490"/>
                        </a:xfrm>
                        <a:prstGeom prst="rect">
                          <a:avLst/>
                        </a:prstGeom>
                        <a:solidFill>
                          <a:schemeClr val="accent3">
                            <a:lumMod val="75000"/>
                          </a:schemeClr>
                        </a:solidFill>
                      </wps:spPr>
                      <wps:txbx>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Utilisation des éléments provenant d’un fournisseur de système consolidé de publication (CTP)</w:t>
                            </w:r>
                          </w:p>
                        </w:txbxContent>
                      </wps:txbx>
                      <wps:bodyPr wrap="square" lIns="36000">
                        <a:spAutoFit/>
                      </wps:bodyPr>
                    </wps:wsp>
                  </a:graphicData>
                </a:graphic>
                <wp14:sizeRelH relativeFrom="page">
                  <wp14:pctWidth>0</wp14:pctWidth>
                </wp14:sizeRelH>
                <wp14:sizeRelV relativeFrom="page">
                  <wp14:pctHeight>0</wp14:pctHeight>
                </wp14:sizeRelV>
              </wp:anchor>
            </w:drawing>
          </mc:Choice>
          <mc:Fallback>
            <w:pict>
              <v:rect id="Rectangle 23" o:spid="_x0000_s1035" style="position:absolute;left:0;text-align:left;margin-left:0;margin-top:0;width:616.55pt;height:18.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" fillcolor="#76923c [2406]" stroked="f">
                <v:path arrowok="t"/>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Utilisation des éléments provenant d’un fournisseur de système consolidé de publication (CTP)</w:t>
                      </w:r>
                    </w:p>
                  </w:txbxContent>
                </v:textbox>
              </v:rect>
            </w:pict>
          </mc:Fallback>
        </mc:AlternateContent>
      </w:r>
    </w:p>
    <w:p w:rsidR="00DE32A6" w:rsidRPr="00FC6196" w:rsidRDefault="00DE32A6" w:rsidP="00454F20">
      <w:pPr>
        <w:pStyle w:val="Corpsdetexte"/>
        <w:spacing w:before="178"/>
        <w:ind w:left="668"/>
        <w:rPr>
          <w:rFonts w:ascii="Arial" w:hAnsi="Arial" w:cs="Arial"/>
          <w:color w:val="404040"/>
        </w:rPr>
      </w:pPr>
      <w:r w:rsidRPr="00FC6196">
        <w:rPr>
          <w:rFonts w:ascii="Arial" w:hAnsi="Arial" w:cs="Arial"/>
          <w:color w:val="404040"/>
        </w:rPr>
        <w:t>NEANT</w:t>
      </w:r>
    </w:p>
    <w:p w:rsidR="007864A3" w:rsidRPr="002B5D14" w:rsidRDefault="00261CBA" w:rsidP="00454F20">
      <w:pPr>
        <w:spacing w:before="187"/>
        <w:ind w:left="951" w:right="583" w:hanging="360"/>
        <w:rPr>
          <w:rFonts w:ascii="Arial" w:hAnsi="Arial"/>
          <w:i/>
          <w:sz w:val="16"/>
          <w:szCs w:val="16"/>
        </w:rPr>
      </w:pPr>
      <w:r w:rsidRPr="002B5D14">
        <w:rPr>
          <w:rFonts w:ascii="Arial" w:hAnsi="Arial"/>
          <w:i/>
          <w:color w:val="252525"/>
          <w:sz w:val="16"/>
          <w:szCs w:val="16"/>
        </w:rPr>
        <w:t xml:space="preserve">(1) Pour mémoire : une </w:t>
      </w:r>
      <w:r w:rsidRPr="002B5D14">
        <w:rPr>
          <w:rFonts w:ascii="Arial" w:hAnsi="Arial"/>
          <w:b/>
          <w:i/>
          <w:color w:val="252525"/>
          <w:sz w:val="16"/>
          <w:szCs w:val="16"/>
        </w:rPr>
        <w:t xml:space="preserve">plateforme d'exécution </w:t>
      </w:r>
      <w:r w:rsidRPr="002B5D14">
        <w:rPr>
          <w:rFonts w:ascii="Arial" w:hAnsi="Arial"/>
          <w:i/>
          <w:color w:val="252525"/>
          <w:sz w:val="16"/>
          <w:szCs w:val="16"/>
        </w:rPr>
        <w:t xml:space="preserve">est un </w:t>
      </w:r>
      <w:r w:rsidRPr="002B5D14">
        <w:rPr>
          <w:rFonts w:ascii="Arial" w:hAnsi="Arial"/>
          <w:b/>
          <w:i/>
          <w:color w:val="252525"/>
          <w:sz w:val="16"/>
          <w:szCs w:val="16"/>
        </w:rPr>
        <w:t xml:space="preserve">marché réglementé </w:t>
      </w:r>
      <w:r w:rsidRPr="002B5D14">
        <w:rPr>
          <w:rFonts w:ascii="Arial" w:hAnsi="Arial"/>
          <w:i/>
          <w:color w:val="252525"/>
          <w:sz w:val="16"/>
          <w:szCs w:val="16"/>
        </w:rPr>
        <w:t>(</w:t>
      </w:r>
      <w:proofErr w:type="spellStart"/>
      <w:proofErr w:type="gramStart"/>
      <w:r w:rsidRPr="002B5D14">
        <w:rPr>
          <w:rFonts w:ascii="Arial" w:hAnsi="Arial"/>
          <w:i/>
          <w:color w:val="252525"/>
          <w:sz w:val="16"/>
          <w:szCs w:val="16"/>
        </w:rPr>
        <w:t>Ex.Euronext</w:t>
      </w:r>
      <w:proofErr w:type="spellEnd"/>
      <w:proofErr w:type="gramEnd"/>
      <w:r w:rsidRPr="002B5D14">
        <w:rPr>
          <w:rFonts w:ascii="Arial" w:hAnsi="Arial"/>
          <w:i/>
          <w:color w:val="252525"/>
          <w:sz w:val="16"/>
          <w:szCs w:val="16"/>
        </w:rPr>
        <w:t xml:space="preserve">), un </w:t>
      </w:r>
      <w:r w:rsidRPr="002B5D14">
        <w:rPr>
          <w:rFonts w:ascii="Arial" w:hAnsi="Arial"/>
          <w:b/>
          <w:i/>
          <w:color w:val="252525"/>
          <w:sz w:val="16"/>
          <w:szCs w:val="16"/>
        </w:rPr>
        <w:t xml:space="preserve">MTF </w:t>
      </w:r>
      <w:r w:rsidRPr="002B5D14">
        <w:rPr>
          <w:rFonts w:ascii="Arial" w:hAnsi="Arial"/>
          <w:i/>
          <w:color w:val="252525"/>
          <w:sz w:val="16"/>
          <w:szCs w:val="16"/>
        </w:rPr>
        <w:t>(</w:t>
      </w:r>
      <w:proofErr w:type="spellStart"/>
      <w:r w:rsidRPr="002B5D14">
        <w:rPr>
          <w:rFonts w:ascii="Arial" w:hAnsi="Arial"/>
          <w:i/>
          <w:color w:val="252525"/>
          <w:sz w:val="16"/>
          <w:szCs w:val="16"/>
        </w:rPr>
        <w:t>Multilateral</w:t>
      </w:r>
      <w:proofErr w:type="spellEnd"/>
      <w:r w:rsidRPr="002B5D14">
        <w:rPr>
          <w:rFonts w:ascii="Arial" w:hAnsi="Arial"/>
          <w:i/>
          <w:color w:val="252525"/>
          <w:sz w:val="16"/>
          <w:szCs w:val="16"/>
        </w:rPr>
        <w:t xml:space="preserve"> Trading Facility ou système multilatéral de négociation. Ex. Turquoise), un </w:t>
      </w:r>
      <w:r w:rsidRPr="002B5D14">
        <w:rPr>
          <w:rFonts w:ascii="Arial" w:hAnsi="Arial"/>
          <w:b/>
          <w:i/>
          <w:color w:val="252525"/>
          <w:sz w:val="16"/>
          <w:szCs w:val="16"/>
        </w:rPr>
        <w:t xml:space="preserve">OTF </w:t>
      </w:r>
      <w:r w:rsidRPr="002B5D14">
        <w:rPr>
          <w:rFonts w:ascii="Arial" w:hAnsi="Arial"/>
          <w:i/>
          <w:color w:val="252525"/>
          <w:sz w:val="16"/>
          <w:szCs w:val="16"/>
        </w:rPr>
        <w:t>(</w:t>
      </w:r>
      <w:proofErr w:type="spellStart"/>
      <w:r w:rsidRPr="002B5D14">
        <w:rPr>
          <w:rFonts w:ascii="Arial" w:hAnsi="Arial"/>
          <w:i/>
          <w:color w:val="252525"/>
          <w:sz w:val="16"/>
          <w:szCs w:val="16"/>
        </w:rPr>
        <w:t>Organised</w:t>
      </w:r>
      <w:proofErr w:type="spellEnd"/>
      <w:r w:rsidRPr="002B5D14">
        <w:rPr>
          <w:rFonts w:ascii="Arial" w:hAnsi="Arial"/>
          <w:i/>
          <w:color w:val="252525"/>
          <w:sz w:val="16"/>
          <w:szCs w:val="16"/>
        </w:rPr>
        <w:t xml:space="preserve"> Trading Facility ou système organisé de négociation</w:t>
      </w:r>
      <w:proofErr w:type="gramStart"/>
      <w:r w:rsidRPr="002B5D14">
        <w:rPr>
          <w:rFonts w:ascii="Arial" w:hAnsi="Arial"/>
          <w:i/>
          <w:color w:val="252525"/>
          <w:sz w:val="16"/>
          <w:szCs w:val="16"/>
        </w:rPr>
        <w:t>) ,</w:t>
      </w:r>
      <w:proofErr w:type="gramEnd"/>
      <w:r w:rsidRPr="002B5D14">
        <w:rPr>
          <w:rFonts w:ascii="Arial" w:hAnsi="Arial"/>
          <w:i/>
          <w:color w:val="252525"/>
          <w:sz w:val="16"/>
          <w:szCs w:val="16"/>
        </w:rPr>
        <w:t xml:space="preserve"> un </w:t>
      </w:r>
      <w:proofErr w:type="spellStart"/>
      <w:r w:rsidRPr="002B5D14">
        <w:rPr>
          <w:rFonts w:ascii="Arial" w:hAnsi="Arial"/>
          <w:b/>
          <w:i/>
          <w:color w:val="252525"/>
          <w:sz w:val="16"/>
          <w:szCs w:val="16"/>
        </w:rPr>
        <w:t>internalisateur</w:t>
      </w:r>
      <w:proofErr w:type="spellEnd"/>
      <w:r w:rsidRPr="002B5D14">
        <w:rPr>
          <w:rFonts w:ascii="Arial" w:hAnsi="Arial"/>
          <w:b/>
          <w:i/>
          <w:color w:val="252525"/>
          <w:sz w:val="16"/>
          <w:szCs w:val="16"/>
        </w:rPr>
        <w:t xml:space="preserve"> systématique </w:t>
      </w:r>
      <w:r w:rsidRPr="002B5D14">
        <w:rPr>
          <w:rFonts w:ascii="Arial" w:hAnsi="Arial"/>
          <w:i/>
          <w:color w:val="252525"/>
          <w:sz w:val="16"/>
          <w:szCs w:val="16"/>
        </w:rPr>
        <w:t xml:space="preserve">(Ex. CACIB), un </w:t>
      </w:r>
      <w:r w:rsidRPr="002B5D14">
        <w:rPr>
          <w:rFonts w:ascii="Arial" w:hAnsi="Arial"/>
          <w:b/>
          <w:i/>
          <w:color w:val="252525"/>
          <w:sz w:val="16"/>
          <w:szCs w:val="16"/>
        </w:rPr>
        <w:t xml:space="preserve">teneur de marché </w:t>
      </w:r>
      <w:r w:rsidRPr="002B5D14">
        <w:rPr>
          <w:rFonts w:ascii="Arial" w:hAnsi="Arial"/>
          <w:i/>
          <w:color w:val="252525"/>
          <w:sz w:val="16"/>
          <w:szCs w:val="16"/>
        </w:rPr>
        <w:t xml:space="preserve">ou un autre </w:t>
      </w:r>
      <w:r w:rsidRPr="002B5D14">
        <w:rPr>
          <w:rFonts w:ascii="Arial" w:hAnsi="Arial"/>
          <w:b/>
          <w:i/>
          <w:color w:val="252525"/>
          <w:sz w:val="16"/>
          <w:szCs w:val="16"/>
        </w:rPr>
        <w:t xml:space="preserve">fournisseur de liquidité </w:t>
      </w:r>
      <w:r w:rsidRPr="002B5D14">
        <w:rPr>
          <w:rFonts w:ascii="Arial" w:hAnsi="Arial"/>
          <w:i/>
          <w:color w:val="252525"/>
          <w:sz w:val="16"/>
          <w:szCs w:val="16"/>
        </w:rPr>
        <w:t>- (définition issue du Règlement délégué UE 2017/565)</w:t>
      </w:r>
    </w:p>
    <w:sectPr w:rsidR="007864A3" w:rsidRPr="002B5D14" w:rsidSect="002B5D14">
      <w:headerReference w:type="default" r:id="rId12"/>
      <w:footerReference w:type="default" r:id="rId13"/>
      <w:pgSz w:w="11910" w:h="16840"/>
      <w:pgMar w:top="426" w:right="100" w:bottom="426" w:left="40" w:header="1077" w:footer="28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06C0" w:rsidRDefault="00C006C0">
      <w:r>
        <w:separator/>
      </w:r>
    </w:p>
  </w:endnote>
  <w:endnote w:type="continuationSeparator" w:id="0">
    <w:p w:rsidR="00C006C0" w:rsidRDefault="00C00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D8B" w:rsidRPr="0050197A" w:rsidRDefault="0050197A" w:rsidP="0050197A">
    <w:pPr>
      <w:pStyle w:val="Pieddepage"/>
      <w:jc w:val="center"/>
    </w:pPr>
    <w:r w:rsidRPr="000A536A">
      <w:rPr>
        <w:sz w:val="16"/>
        <w:szCs w:val="16"/>
      </w:rPr>
      <w:t>CAISSE REGIONALE DE CREDIT AGRICOLE MUTUEL TOULOUSE 31 - Société coopérative à capital et personnel variables, agréée en tant qu’établissement de crédit. Société de Courtage d’Assurance immatriculée au Registre des Intermédiaires en Assurances sous le numéro 07 022 951. Siège social : 6-7 Place Jeanne d’Arc BP 40535 – 31005 TOULOUSE CEDEX 6. 776916207 RCS TOULOUSE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06C0" w:rsidRDefault="00C006C0">
      <w:r>
        <w:separator/>
      </w:r>
    </w:p>
  </w:footnote>
  <w:footnote w:type="continuationSeparator" w:id="0">
    <w:p w:rsidR="00C006C0" w:rsidRDefault="00C00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D8B" w:rsidRDefault="002B5D14">
    <w:pPr>
      <w:pStyle w:val="Corpsdetexte"/>
      <w:spacing w:line="14" w:lineRule="auto"/>
    </w:pPr>
    <w:r w:rsidRPr="00DD7162">
      <w:rPr>
        <w:noProof/>
        <w:lang w:eastAsia="fr-FR"/>
      </w:rPr>
      <w:drawing>
        <wp:anchor distT="0" distB="0" distL="114300" distR="114300" simplePos="0" relativeHeight="251658240" behindDoc="0" locked="0" layoutInCell="1" allowOverlap="1">
          <wp:simplePos x="0" y="0"/>
          <wp:positionH relativeFrom="column">
            <wp:posOffset>104141</wp:posOffset>
          </wp:positionH>
          <wp:positionV relativeFrom="paragraph">
            <wp:posOffset>-600075</wp:posOffset>
          </wp:positionV>
          <wp:extent cx="899160" cy="626688"/>
          <wp:effectExtent l="0" t="0" r="0" b="254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904489" cy="630402"/>
                  </a:xfrm>
                  <a:prstGeom prst="rect">
                    <a:avLst/>
                  </a:prstGeom>
                </pic:spPr>
              </pic:pic>
            </a:graphicData>
          </a:graphic>
          <wp14:sizeRelH relativeFrom="margin">
            <wp14:pctWidth>0</wp14:pctWidth>
          </wp14:sizeRelH>
          <wp14:sizeRelV relativeFrom="margin">
            <wp14:pctHeight>0</wp14:pctHeight>
          </wp14:sizeRelV>
        </wp:anchor>
      </w:drawing>
    </w:r>
    <w:r>
      <w:tab/>
    </w:r>
    <w:r>
      <w:tab/>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D4313"/>
    <w:multiLevelType w:val="hybridMultilevel"/>
    <w:tmpl w:val="661E1560"/>
    <w:lvl w:ilvl="0" w:tplc="B450CD44">
      <w:numFmt w:val="bullet"/>
      <w:lvlText w:val="-"/>
      <w:lvlJc w:val="left"/>
      <w:pPr>
        <w:ind w:left="1748" w:hanging="360"/>
      </w:pPr>
      <w:rPr>
        <w:rFonts w:ascii="Arial" w:eastAsia="Times New Roman" w:hAnsi="Arial" w:cs="Arial" w:hint="default"/>
        <w:b/>
      </w:rPr>
    </w:lvl>
    <w:lvl w:ilvl="1" w:tplc="040C0003" w:tentative="1">
      <w:start w:val="1"/>
      <w:numFmt w:val="bullet"/>
      <w:lvlText w:val="o"/>
      <w:lvlJc w:val="left"/>
      <w:pPr>
        <w:ind w:left="2468" w:hanging="360"/>
      </w:pPr>
      <w:rPr>
        <w:rFonts w:ascii="Courier New" w:hAnsi="Courier New" w:cs="Courier New" w:hint="default"/>
      </w:rPr>
    </w:lvl>
    <w:lvl w:ilvl="2" w:tplc="040C0005" w:tentative="1">
      <w:start w:val="1"/>
      <w:numFmt w:val="bullet"/>
      <w:lvlText w:val=""/>
      <w:lvlJc w:val="left"/>
      <w:pPr>
        <w:ind w:left="3188" w:hanging="360"/>
      </w:pPr>
      <w:rPr>
        <w:rFonts w:ascii="Wingdings" w:hAnsi="Wingdings" w:hint="default"/>
      </w:rPr>
    </w:lvl>
    <w:lvl w:ilvl="3" w:tplc="040C0001" w:tentative="1">
      <w:start w:val="1"/>
      <w:numFmt w:val="bullet"/>
      <w:lvlText w:val=""/>
      <w:lvlJc w:val="left"/>
      <w:pPr>
        <w:ind w:left="3908" w:hanging="360"/>
      </w:pPr>
      <w:rPr>
        <w:rFonts w:ascii="Symbol" w:hAnsi="Symbol" w:hint="default"/>
      </w:rPr>
    </w:lvl>
    <w:lvl w:ilvl="4" w:tplc="040C0003" w:tentative="1">
      <w:start w:val="1"/>
      <w:numFmt w:val="bullet"/>
      <w:lvlText w:val="o"/>
      <w:lvlJc w:val="left"/>
      <w:pPr>
        <w:ind w:left="4628" w:hanging="360"/>
      </w:pPr>
      <w:rPr>
        <w:rFonts w:ascii="Courier New" w:hAnsi="Courier New" w:cs="Courier New" w:hint="default"/>
      </w:rPr>
    </w:lvl>
    <w:lvl w:ilvl="5" w:tplc="040C0005" w:tentative="1">
      <w:start w:val="1"/>
      <w:numFmt w:val="bullet"/>
      <w:lvlText w:val=""/>
      <w:lvlJc w:val="left"/>
      <w:pPr>
        <w:ind w:left="5348" w:hanging="360"/>
      </w:pPr>
      <w:rPr>
        <w:rFonts w:ascii="Wingdings" w:hAnsi="Wingdings" w:hint="default"/>
      </w:rPr>
    </w:lvl>
    <w:lvl w:ilvl="6" w:tplc="040C0001" w:tentative="1">
      <w:start w:val="1"/>
      <w:numFmt w:val="bullet"/>
      <w:lvlText w:val=""/>
      <w:lvlJc w:val="left"/>
      <w:pPr>
        <w:ind w:left="6068" w:hanging="360"/>
      </w:pPr>
      <w:rPr>
        <w:rFonts w:ascii="Symbol" w:hAnsi="Symbol" w:hint="default"/>
      </w:rPr>
    </w:lvl>
    <w:lvl w:ilvl="7" w:tplc="040C0003" w:tentative="1">
      <w:start w:val="1"/>
      <w:numFmt w:val="bullet"/>
      <w:lvlText w:val="o"/>
      <w:lvlJc w:val="left"/>
      <w:pPr>
        <w:ind w:left="6788" w:hanging="360"/>
      </w:pPr>
      <w:rPr>
        <w:rFonts w:ascii="Courier New" w:hAnsi="Courier New" w:cs="Courier New" w:hint="default"/>
      </w:rPr>
    </w:lvl>
    <w:lvl w:ilvl="8" w:tplc="040C0005" w:tentative="1">
      <w:start w:val="1"/>
      <w:numFmt w:val="bullet"/>
      <w:lvlText w:val=""/>
      <w:lvlJc w:val="left"/>
      <w:pPr>
        <w:ind w:left="7508" w:hanging="360"/>
      </w:pPr>
      <w:rPr>
        <w:rFonts w:ascii="Wingdings" w:hAnsi="Wingdings" w:hint="default"/>
      </w:rPr>
    </w:lvl>
  </w:abstractNum>
  <w:abstractNum w:abstractNumId="1" w15:restartNumberingAfterBreak="0">
    <w:nsid w:val="534C52A8"/>
    <w:multiLevelType w:val="hybridMultilevel"/>
    <w:tmpl w:val="9AB6CABC"/>
    <w:lvl w:ilvl="0" w:tplc="040C0001">
      <w:start w:val="1"/>
      <w:numFmt w:val="bullet"/>
      <w:lvlText w:val=""/>
      <w:lvlJc w:val="left"/>
      <w:pPr>
        <w:ind w:left="2108" w:hanging="360"/>
      </w:pPr>
      <w:rPr>
        <w:rFonts w:ascii="Symbol" w:hAnsi="Symbol" w:hint="default"/>
      </w:rPr>
    </w:lvl>
    <w:lvl w:ilvl="1" w:tplc="040C0003" w:tentative="1">
      <w:start w:val="1"/>
      <w:numFmt w:val="bullet"/>
      <w:lvlText w:val="o"/>
      <w:lvlJc w:val="left"/>
      <w:pPr>
        <w:ind w:left="2828" w:hanging="360"/>
      </w:pPr>
      <w:rPr>
        <w:rFonts w:ascii="Courier New" w:hAnsi="Courier New" w:cs="Courier New" w:hint="default"/>
      </w:rPr>
    </w:lvl>
    <w:lvl w:ilvl="2" w:tplc="040C0005" w:tentative="1">
      <w:start w:val="1"/>
      <w:numFmt w:val="bullet"/>
      <w:lvlText w:val=""/>
      <w:lvlJc w:val="left"/>
      <w:pPr>
        <w:ind w:left="3548" w:hanging="360"/>
      </w:pPr>
      <w:rPr>
        <w:rFonts w:ascii="Wingdings" w:hAnsi="Wingdings" w:hint="default"/>
      </w:rPr>
    </w:lvl>
    <w:lvl w:ilvl="3" w:tplc="040C0001" w:tentative="1">
      <w:start w:val="1"/>
      <w:numFmt w:val="bullet"/>
      <w:lvlText w:val=""/>
      <w:lvlJc w:val="left"/>
      <w:pPr>
        <w:ind w:left="4268" w:hanging="360"/>
      </w:pPr>
      <w:rPr>
        <w:rFonts w:ascii="Symbol" w:hAnsi="Symbol" w:hint="default"/>
      </w:rPr>
    </w:lvl>
    <w:lvl w:ilvl="4" w:tplc="040C0003" w:tentative="1">
      <w:start w:val="1"/>
      <w:numFmt w:val="bullet"/>
      <w:lvlText w:val="o"/>
      <w:lvlJc w:val="left"/>
      <w:pPr>
        <w:ind w:left="4988" w:hanging="360"/>
      </w:pPr>
      <w:rPr>
        <w:rFonts w:ascii="Courier New" w:hAnsi="Courier New" w:cs="Courier New" w:hint="default"/>
      </w:rPr>
    </w:lvl>
    <w:lvl w:ilvl="5" w:tplc="040C0005" w:tentative="1">
      <w:start w:val="1"/>
      <w:numFmt w:val="bullet"/>
      <w:lvlText w:val=""/>
      <w:lvlJc w:val="left"/>
      <w:pPr>
        <w:ind w:left="5708" w:hanging="360"/>
      </w:pPr>
      <w:rPr>
        <w:rFonts w:ascii="Wingdings" w:hAnsi="Wingdings" w:hint="default"/>
      </w:rPr>
    </w:lvl>
    <w:lvl w:ilvl="6" w:tplc="040C0001" w:tentative="1">
      <w:start w:val="1"/>
      <w:numFmt w:val="bullet"/>
      <w:lvlText w:val=""/>
      <w:lvlJc w:val="left"/>
      <w:pPr>
        <w:ind w:left="6428" w:hanging="360"/>
      </w:pPr>
      <w:rPr>
        <w:rFonts w:ascii="Symbol" w:hAnsi="Symbol" w:hint="default"/>
      </w:rPr>
    </w:lvl>
    <w:lvl w:ilvl="7" w:tplc="040C0003" w:tentative="1">
      <w:start w:val="1"/>
      <w:numFmt w:val="bullet"/>
      <w:lvlText w:val="o"/>
      <w:lvlJc w:val="left"/>
      <w:pPr>
        <w:ind w:left="7148" w:hanging="360"/>
      </w:pPr>
      <w:rPr>
        <w:rFonts w:ascii="Courier New" w:hAnsi="Courier New" w:cs="Courier New" w:hint="default"/>
      </w:rPr>
    </w:lvl>
    <w:lvl w:ilvl="8" w:tplc="040C0005" w:tentative="1">
      <w:start w:val="1"/>
      <w:numFmt w:val="bullet"/>
      <w:lvlText w:val=""/>
      <w:lvlJc w:val="left"/>
      <w:pPr>
        <w:ind w:left="7868" w:hanging="360"/>
      </w:pPr>
      <w:rPr>
        <w:rFonts w:ascii="Wingdings" w:hAnsi="Wingdings" w:hint="default"/>
      </w:rPr>
    </w:lvl>
  </w:abstractNum>
  <w:abstractNum w:abstractNumId="2" w15:restartNumberingAfterBreak="0">
    <w:nsid w:val="6B7531FD"/>
    <w:multiLevelType w:val="hybridMultilevel"/>
    <w:tmpl w:val="92D2F186"/>
    <w:lvl w:ilvl="0" w:tplc="CE1C7C42">
      <w:start w:val="1"/>
      <w:numFmt w:val="upperRoman"/>
      <w:lvlText w:val="%1."/>
      <w:lvlJc w:val="left"/>
      <w:pPr>
        <w:ind w:left="1388" w:hanging="720"/>
      </w:pPr>
      <w:rPr>
        <w:rFonts w:hint="default"/>
      </w:rPr>
    </w:lvl>
    <w:lvl w:ilvl="1" w:tplc="040C0019" w:tentative="1">
      <w:start w:val="1"/>
      <w:numFmt w:val="lowerLetter"/>
      <w:lvlText w:val="%2."/>
      <w:lvlJc w:val="left"/>
      <w:pPr>
        <w:ind w:left="1748" w:hanging="360"/>
      </w:pPr>
    </w:lvl>
    <w:lvl w:ilvl="2" w:tplc="040C001B" w:tentative="1">
      <w:start w:val="1"/>
      <w:numFmt w:val="lowerRoman"/>
      <w:lvlText w:val="%3."/>
      <w:lvlJc w:val="right"/>
      <w:pPr>
        <w:ind w:left="2468" w:hanging="180"/>
      </w:pPr>
    </w:lvl>
    <w:lvl w:ilvl="3" w:tplc="040C000F" w:tentative="1">
      <w:start w:val="1"/>
      <w:numFmt w:val="decimal"/>
      <w:lvlText w:val="%4."/>
      <w:lvlJc w:val="left"/>
      <w:pPr>
        <w:ind w:left="3188" w:hanging="360"/>
      </w:pPr>
    </w:lvl>
    <w:lvl w:ilvl="4" w:tplc="040C0019" w:tentative="1">
      <w:start w:val="1"/>
      <w:numFmt w:val="lowerLetter"/>
      <w:lvlText w:val="%5."/>
      <w:lvlJc w:val="left"/>
      <w:pPr>
        <w:ind w:left="3908" w:hanging="360"/>
      </w:pPr>
    </w:lvl>
    <w:lvl w:ilvl="5" w:tplc="040C001B" w:tentative="1">
      <w:start w:val="1"/>
      <w:numFmt w:val="lowerRoman"/>
      <w:lvlText w:val="%6."/>
      <w:lvlJc w:val="right"/>
      <w:pPr>
        <w:ind w:left="4628" w:hanging="180"/>
      </w:pPr>
    </w:lvl>
    <w:lvl w:ilvl="6" w:tplc="040C000F" w:tentative="1">
      <w:start w:val="1"/>
      <w:numFmt w:val="decimal"/>
      <w:lvlText w:val="%7."/>
      <w:lvlJc w:val="left"/>
      <w:pPr>
        <w:ind w:left="5348" w:hanging="360"/>
      </w:pPr>
    </w:lvl>
    <w:lvl w:ilvl="7" w:tplc="040C0019" w:tentative="1">
      <w:start w:val="1"/>
      <w:numFmt w:val="lowerLetter"/>
      <w:lvlText w:val="%8."/>
      <w:lvlJc w:val="left"/>
      <w:pPr>
        <w:ind w:left="6068" w:hanging="360"/>
      </w:pPr>
    </w:lvl>
    <w:lvl w:ilvl="8" w:tplc="040C001B" w:tentative="1">
      <w:start w:val="1"/>
      <w:numFmt w:val="lowerRoman"/>
      <w:lvlText w:val="%9."/>
      <w:lvlJc w:val="right"/>
      <w:pPr>
        <w:ind w:left="6788"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D8B"/>
    <w:rsid w:val="00261CBA"/>
    <w:rsid w:val="002B5D14"/>
    <w:rsid w:val="003506ED"/>
    <w:rsid w:val="00454F20"/>
    <w:rsid w:val="0050197A"/>
    <w:rsid w:val="005842BA"/>
    <w:rsid w:val="006E65A6"/>
    <w:rsid w:val="007839E0"/>
    <w:rsid w:val="007864A3"/>
    <w:rsid w:val="007B3D51"/>
    <w:rsid w:val="00856333"/>
    <w:rsid w:val="008B0553"/>
    <w:rsid w:val="008E75C7"/>
    <w:rsid w:val="009068D0"/>
    <w:rsid w:val="00B92DAC"/>
    <w:rsid w:val="00B9458B"/>
    <w:rsid w:val="00BA2D8B"/>
    <w:rsid w:val="00C006C0"/>
    <w:rsid w:val="00C35B0F"/>
    <w:rsid w:val="00C733C4"/>
    <w:rsid w:val="00CD187F"/>
    <w:rsid w:val="00DD3C45"/>
    <w:rsid w:val="00DD7162"/>
    <w:rsid w:val="00DE32A6"/>
    <w:rsid w:val="00ED1B8C"/>
    <w:rsid w:val="00EE771B"/>
    <w:rsid w:val="00F13D27"/>
    <w:rsid w:val="00FB32C0"/>
    <w:rsid w:val="00FC6196"/>
    <w:rsid w:val="00FD1D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F4A801-0B7D-4598-B87F-AC47426F6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fr-FR"/>
    </w:rPr>
  </w:style>
  <w:style w:type="paragraph" w:styleId="Titre1">
    <w:name w:val="heading 1"/>
    <w:basedOn w:val="Normal"/>
    <w:uiPriority w:val="1"/>
    <w:qFormat/>
    <w:pPr>
      <w:ind w:left="178"/>
      <w:outlineLvl w:val="0"/>
    </w:pPr>
    <w:rPr>
      <w:b/>
      <w:bCs/>
      <w:i/>
      <w:sz w:val="24"/>
      <w:szCs w:val="24"/>
    </w:rPr>
  </w:style>
  <w:style w:type="paragraph" w:styleId="Titre2">
    <w:name w:val="heading 2"/>
    <w:basedOn w:val="Normal"/>
    <w:uiPriority w:val="1"/>
    <w:qFormat/>
    <w:pPr>
      <w:spacing w:before="91"/>
      <w:ind w:left="668"/>
      <w:outlineLvl w:val="1"/>
    </w:pPr>
    <w:rPr>
      <w:b/>
      <w:bCs/>
      <w:sz w:val="20"/>
      <w:szCs w:val="20"/>
    </w:rPr>
  </w:style>
  <w:style w:type="paragraph" w:styleId="Titre3">
    <w:name w:val="heading 3"/>
    <w:basedOn w:val="Normal"/>
    <w:uiPriority w:val="1"/>
    <w:qFormat/>
    <w:pPr>
      <w:spacing w:before="91"/>
      <w:ind w:left="178"/>
      <w:outlineLvl w:val="2"/>
    </w:pPr>
    <w:rPr>
      <w:b/>
      <w:bCs/>
      <w:i/>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DE32A6"/>
    <w:pPr>
      <w:widowControl/>
      <w:autoSpaceDE/>
      <w:autoSpaceDN/>
      <w:spacing w:before="100" w:beforeAutospacing="1" w:after="100" w:afterAutospacing="1"/>
    </w:pPr>
    <w:rPr>
      <w:rFonts w:eastAsiaTheme="minorEastAsia"/>
      <w:sz w:val="24"/>
      <w:szCs w:val="24"/>
      <w:lang w:eastAsia="fr-FR"/>
    </w:rPr>
  </w:style>
  <w:style w:type="paragraph" w:styleId="En-tte">
    <w:name w:val="header"/>
    <w:basedOn w:val="Normal"/>
    <w:link w:val="En-tteCar"/>
    <w:uiPriority w:val="99"/>
    <w:unhideWhenUsed/>
    <w:rsid w:val="00856333"/>
    <w:pPr>
      <w:tabs>
        <w:tab w:val="center" w:pos="4536"/>
        <w:tab w:val="right" w:pos="9072"/>
      </w:tabs>
    </w:pPr>
  </w:style>
  <w:style w:type="character" w:customStyle="1" w:styleId="En-tteCar">
    <w:name w:val="En-tête Car"/>
    <w:basedOn w:val="Policepardfaut"/>
    <w:link w:val="En-tte"/>
    <w:uiPriority w:val="99"/>
    <w:rsid w:val="00856333"/>
    <w:rPr>
      <w:rFonts w:ascii="Times New Roman" w:eastAsia="Times New Roman" w:hAnsi="Times New Roman" w:cs="Times New Roman"/>
      <w:lang w:val="fr-FR"/>
    </w:rPr>
  </w:style>
  <w:style w:type="paragraph" w:styleId="Pieddepage">
    <w:name w:val="footer"/>
    <w:basedOn w:val="Normal"/>
    <w:link w:val="PieddepageCar"/>
    <w:uiPriority w:val="99"/>
    <w:unhideWhenUsed/>
    <w:rsid w:val="00856333"/>
    <w:pPr>
      <w:tabs>
        <w:tab w:val="center" w:pos="4536"/>
        <w:tab w:val="right" w:pos="9072"/>
      </w:tabs>
    </w:pPr>
  </w:style>
  <w:style w:type="character" w:customStyle="1" w:styleId="PieddepageCar">
    <w:name w:val="Pied de page Car"/>
    <w:basedOn w:val="Policepardfaut"/>
    <w:link w:val="Pieddepage"/>
    <w:uiPriority w:val="99"/>
    <w:rsid w:val="00856333"/>
    <w:rPr>
      <w:rFonts w:ascii="Times New Roman" w:eastAsia="Times New Roman" w:hAnsi="Times New Roman" w:cs="Times New Roman"/>
      <w:lang w:val="fr-FR"/>
    </w:rPr>
  </w:style>
  <w:style w:type="character" w:styleId="Lienhypertexte">
    <w:name w:val="Hyperlink"/>
    <w:basedOn w:val="Policepardfaut"/>
    <w:uiPriority w:val="99"/>
    <w:unhideWhenUsed/>
    <w:rsid w:val="00EE771B"/>
    <w:rPr>
      <w:color w:val="0000FF" w:themeColor="hyperlink"/>
      <w:u w:val="single"/>
    </w:rPr>
  </w:style>
  <w:style w:type="character" w:styleId="Lienhypertextesuivivisit">
    <w:name w:val="FollowedHyperlink"/>
    <w:basedOn w:val="Policepardfaut"/>
    <w:uiPriority w:val="99"/>
    <w:semiHidden/>
    <w:unhideWhenUsed/>
    <w:rsid w:val="007B3D51"/>
    <w:rPr>
      <w:color w:val="800080" w:themeColor="followedHyperlink"/>
      <w:u w:val="single"/>
    </w:rPr>
  </w:style>
  <w:style w:type="paragraph" w:styleId="Textedebulles">
    <w:name w:val="Balloon Text"/>
    <w:basedOn w:val="Normal"/>
    <w:link w:val="TextedebullesCar"/>
    <w:uiPriority w:val="99"/>
    <w:semiHidden/>
    <w:unhideWhenUsed/>
    <w:rsid w:val="002B5D14"/>
    <w:rPr>
      <w:rFonts w:ascii="Segoe UI" w:hAnsi="Segoe UI" w:cs="Segoe UI"/>
      <w:sz w:val="18"/>
      <w:szCs w:val="18"/>
    </w:rPr>
  </w:style>
  <w:style w:type="character" w:customStyle="1" w:styleId="TextedebullesCar">
    <w:name w:val="Texte de bulles Car"/>
    <w:basedOn w:val="Policepardfaut"/>
    <w:link w:val="Textedebulles"/>
    <w:uiPriority w:val="99"/>
    <w:semiHidden/>
    <w:rsid w:val="002B5D14"/>
    <w:rPr>
      <w:rFonts w:ascii="Segoe UI" w:eastAsia="Times New Roman" w:hAnsi="Segoe UI" w:cs="Segoe UI"/>
      <w:sz w:val="18"/>
      <w:szCs w:val="18"/>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43867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redit-agricole.fr/content/dam/assetsca/cr831/npc/documents/relation-banque-client/CR831_Politique_de_meilleure_selection_2021.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74D42-932E-4CD5-B723-0053F526D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418</Words>
  <Characters>2304</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Credit Agricole</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DUPUY Michel</dc:creator>
  <cp:lastModifiedBy>ARIBAUD Benjamin</cp:lastModifiedBy>
  <cp:revision>2</cp:revision>
  <cp:lastPrinted>2022-04-27T15:33:00Z</cp:lastPrinted>
  <dcterms:created xsi:type="dcterms:W3CDTF">2022-04-28T16:12:00Z</dcterms:created>
  <dcterms:modified xsi:type="dcterms:W3CDTF">2022-04-28T16:12:00Z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2020-06-15T00:00:00Z</vt:filetime>
  </property>
  <property fmtid="{D5CDD505-2E9C-101B-9397-08002B2CF9AE}" pid="3" name="LastSaved">
    <vt:filetime>2021-04-30T00:00:00Z</vt:filetime>
  </property>
  <property fmtid="{D5CDD505-2E9C-101B-9397-08002B2CF9AE}" pid="4" name="_AdHocReviewCycleID">
    <vt:i4>2043240628</vt:i4>
  </property>
  <property fmtid="{D5CDD505-2E9C-101B-9397-08002B2CF9AE}" pid="5" name="_NewReviewCycle">
    <vt:lpwstr/>
  </property>
  <property fmtid="{D5CDD505-2E9C-101B-9397-08002B2CF9AE}" pid="6" name="_EmailSubject">
    <vt:lpwstr>RTS 28</vt:lpwstr>
  </property>
  <property fmtid="{D5CDD505-2E9C-101B-9397-08002B2CF9AE}" pid="7" name="_AuthorEmail">
    <vt:lpwstr>geraldine.bras@ca-toulouse31.fr</vt:lpwstr>
  </property>
  <property fmtid="{D5CDD505-2E9C-101B-9397-08002B2CF9AE}" pid="8" name="_AuthorEmailDisplayName">
    <vt:lpwstr>BRAS Geraldine</vt:lpwstr>
  </property>
  <property fmtid="{D5CDD505-2E9C-101B-9397-08002B2CF9AE}" pid="9" name="_PreviousAdHocReviewCycleID">
    <vt:i4>793068822</vt:i4>
  </property>
  <property fmtid="{D5CDD505-2E9C-101B-9397-08002B2CF9AE}" pid="10" name="_ReviewingToolsShownOnce">
    <vt:lpwstr/>
  </property>
</Properties>
</file>